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548-2_def14a.htm"/>
        <w:bookmarkStart w:id="1" w:name="kstm252548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Arial;Helvetica;sans-serif" w:hAnsi="Arial;Helvetica;sans-serif"/>
          <w:b/>
          <w:i w:val="false"/>
          <w:caps w:val="false"/>
          <w:smallCaps w:val="false"/>
          <w:color w:val="000000"/>
          <w:spacing w:val="-3"/>
          <w:sz w:val="24"/>
        </w:rPr>
      </w:pPr>
      <w:r>
        <w:rPr>
          <w:rFonts w:ascii="Arial;Helvetica;sans-serif" w:hAnsi="Arial;Helvetica;sans-serif"/>
          <w:b/>
          <w:i w:val="false"/>
          <w:caps w:val="false"/>
          <w:smallCaps w:val="false"/>
          <w:color w:val="000000"/>
          <w:spacing w:val="-3"/>
          <w:sz w:val="24"/>
        </w:rPr>
        <w:t xml:space="preserve">UNITED STATES </w:t>
        <w:br/>
        <w:t xml:space="preserve">SECURITIES AND EXCHANGE COMMISSION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0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SCHEDULE 14A INFORMATION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Proxy Statement Pursuant to Section 14(a) of </w:t>
        <w:br/>
        <w:t>the Securities Exchange Act of 1934</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the Registrant ☒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Soliciting Material Under Rule 14a-12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48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CTO REALTY GROWTH, INC.</w:t>
      </w:r>
      <w:r>
        <w:rPr>
          <w:rFonts w:ascii="Arial;Helvetica;sans-serif" w:hAnsi="Arial;Helvetica;sans-serif"/>
          <w:b/>
          <w:i w:val="false"/>
          <w:caps w:val="false"/>
          <w:smallCaps w:val="false"/>
          <w:color w:val="000000"/>
          <w:spacing w:val="6"/>
          <w:sz w:val="32"/>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Person(s) Filing Proxy Statement, if other than the Registrant)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 of Filing Fee (Check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91400" cy="9629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391400" cy="96297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246" w:type="dxa"/>
        <w:jc w:val="left"/>
        <w:tblInd w:w="1393" w:type="dxa"/>
        <w:tblLayout w:type="fixed"/>
        <w:tblCellMar>
          <w:top w:w="0" w:type="dxa"/>
          <w:left w:w="0" w:type="dxa"/>
          <w:bottom w:w="0" w:type="dxa"/>
          <w:right w:w="0" w:type="dxa"/>
        </w:tblCellMar>
      </w:tblPr>
      <w:tblGrid>
        <w:gridCol w:w="124"/>
        <w:gridCol w:w="1346"/>
        <w:gridCol w:w="109"/>
        <w:gridCol w:w="109"/>
        <w:gridCol w:w="3404"/>
        <w:gridCol w:w="154"/>
      </w:tblGrid>
      <w:tr>
        <w:trPr/>
        <w:tc>
          <w:tcPr>
            <w:tcW w:w="124" w:type="dxa"/>
            <w:tcBorders/>
            <w:vAlign w:val="center"/>
          </w:tcPr>
          <w:p>
            <w:pPr>
              <w:pStyle w:val="TableContents"/>
              <w:bidi w:val="0"/>
              <w:spacing w:before="0" w:after="283"/>
              <w:jc w:val="left"/>
              <w:rPr/>
            </w:pPr>
            <w:r>
              <w:rPr/>
              <w:t>​</w:t>
            </w:r>
          </w:p>
        </w:tc>
        <w:tc>
          <w:tcPr>
            <w:tcW w:w="1346" w:type="dxa"/>
            <w:tcBorders/>
            <w:vAlign w:val="center"/>
          </w:tcPr>
          <w:p>
            <w:pPr>
              <w:pStyle w:val="TableContents"/>
              <w:bidi w:val="0"/>
              <w:spacing w:before="0" w:after="0"/>
              <w:jc w:val="left"/>
              <w:rPr/>
            </w:pPr>
            <w:r>
              <w:rPr/>
              <w:drawing>
                <wp:inline distT="0" distB="0" distL="0" distR="0">
                  <wp:extent cx="762000" cy="5524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62000" cy="552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4" w:type="dxa"/>
            <w:tcBorders/>
            <w:vAlign w:val="center"/>
          </w:tcPr>
          <w:p>
            <w:pPr>
              <w:pStyle w:val="TableContents"/>
              <w:bidi w:val="0"/>
              <w:spacing w:lineRule="atLeast" w:line="180" w:before="0" w:after="0"/>
              <w:jc w:val="left"/>
              <w:rPr/>
            </w:pPr>
            <w:r>
              <w:rPr>
                <w:spacing w:val="-2"/>
              </w:rPr>
              <w:t>CTO REALTY GROWTH, INC.</w:t>
            </w:r>
            <w:r>
              <w:rPr/>
              <w:t xml:space="preserve"> </w:t>
              <w:br/>
            </w:r>
            <w:r>
              <w:rPr>
                <w:spacing w:val="0"/>
              </w:rPr>
              <w:t xml:space="preserve">369 N. New York Ave, Suite 201 </w:t>
              <w:br/>
              <w:t>Winter Park, FL 32789</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ANNUAL MEETING OF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Annual Meeting Date:</w:t>
      </w:r>
      <w:r>
        <w:rPr>
          <w:rFonts w:ascii="Arial;Helvetica;sans-serif" w:hAnsi="Arial;Helvetica;sans-serif"/>
          <w:b w:val="false"/>
          <w:i w:val="false"/>
          <w:caps w:val="false"/>
          <w:smallCaps w:val="false"/>
          <w:color w:val="000000"/>
          <w:spacing w:val="-2"/>
          <w:sz w:val="20"/>
        </w:rPr>
        <w:t xml:space="preserve"> June 18, 2025</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Time:</w:t>
      </w:r>
      <w:r>
        <w:rPr>
          <w:rFonts w:ascii="Arial;Helvetica;sans-serif" w:hAnsi="Arial;Helvetica;sans-serif"/>
          <w:b w:val="false"/>
          <w:i w:val="false"/>
          <w:caps w:val="false"/>
          <w:smallCaps w:val="false"/>
          <w:color w:val="000000"/>
          <w:spacing w:val="-2"/>
          <w:sz w:val="20"/>
        </w:rPr>
        <w:t xml:space="preserve"> 3:00 p.m. eastern time</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Location:</w:t>
      </w:r>
      <w:r>
        <w:rPr>
          <w:rFonts w:ascii="Arial;Helvetica;sans-serif" w:hAnsi="Arial;Helvetica;sans-serif"/>
          <w:b w:val="false"/>
          <w:i w:val="false"/>
          <w:caps w:val="false"/>
          <w:smallCaps w:val="false"/>
          <w:color w:val="000000"/>
          <w:spacing w:val="-2"/>
          <w:sz w:val="20"/>
        </w:rPr>
        <w:t xml:space="preserve"> Online Meeting Only — No Physical Location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AGENDA: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Election of the six director nominees listed in the proxy statement for one-year terms expiring at the 2026 annual meeting of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Ratify the appointment of Grant Thornton LLP as our independent registered public accounting firm for fiscal year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Hold an advisory vote to approve executive compensation;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Transact such other business as may properly come before the meeting or any adjournments or postponements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of record at the close of business on April 17, 2025, are entitled to notice of, and to participate in and vote at, the 2025 annual meeting of stockholders (including any adjournments or postponements thereof,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hope you will be able to participate in the Annual Meeting. However, whether or not you plan to participate live in the Annual Meeting, you are urged to vote by telephone or online as instructed in the Notice of Internet Availability of Proxy Materials, in order to ensure your representation and the presence of a quorum at the Annual Meeting. You may also request a printed proxy card to submit your vote by mail. You will not receive a printed copy of the proxy materials unless you request them as instructed in the Notice of Internet Availability of Proxy Materials. If you submit your proxy (whether via Internet, telephone or return of paper proxy card by mail) and then decide to either (i) revoke your proxy or (ii) participate live in the Annual Meeting and to vote your shares during the Annual Meeting, you may do so in accordance with the procedures set forth in the accompanying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5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ind w:left="6593" w:right="0" w:hanging="0"/>
        <w:jc w:val="left"/>
        <w:rPr>
          <w:caps w:val="false"/>
          <w:smallCaps w:val="false"/>
          <w:color w:val="000000"/>
        </w:rPr>
      </w:pPr>
      <w:r>
        <w:rPr>
          <w:caps w:val="false"/>
          <w:smallCaps w:val="false"/>
          <w:color w:val="000000"/>
        </w:rPr>
        <w:drawing>
          <wp:inline distT="0" distB="0" distL="0" distR="0">
            <wp:extent cx="1314450" cy="4572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1314450" cy="457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Daniel E. Smith </w:t>
        <w:br/>
        <w:t xml:space="preserve">Senior Vice President, </w:t>
        <w:br/>
        <w:t>General Counsel &amp; Corporate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Winter Park, Florida </w:t>
        <w:br/>
        <w:t>April 28,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Important Notice Regarding the Availability of Proxy Materials for the Annual Meeting of Stockholders to be Held on June 18, 2025: CTO Realty Growth, Inc.’s proxy statement in connection with the Annual Meeting and its Annual Report on Form 10-K for the year ended December 31, 2024 as filed with the Securities and Exchange Commission are available at: www.edocumentview.com/CTO</w:t>
      </w:r>
      <w:r>
        <w:rPr>
          <w:rFonts w:ascii="Arial;Helvetica;sans-serif" w:hAnsi="Arial;Helvetica;sans-serif"/>
          <w:b/>
          <w:i w:val="false"/>
          <w:caps w:val="false"/>
          <w:smallCaps w:val="false"/>
          <w:color w:val="000000"/>
          <w:spacing w:val="-3"/>
          <w:sz w:val="20"/>
        </w:rPr>
        <w:t>.</w:t>
      </w:r>
      <w:r>
        <w:rPr>
          <w:rFonts w:ascii="Arial;Helvetica;sans-serif" w:hAnsi="Arial;Helvetica;san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95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CTO REALTY GROWTH, INC. </w:t>
        <w:br/>
        <w:t>PROXY STATEMENT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TABLE OF CONTENTS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56"/>
        <w:gridCol w:w="109"/>
        <w:gridCol w:w="109"/>
        <w:gridCol w:w="109"/>
        <w:gridCol w:w="109"/>
        <w:gridCol w:w="456"/>
        <w:gridCol w:w="109"/>
        <w:gridCol w:w="155"/>
      </w:tblGrid>
      <w:tr>
        <w:trPr/>
        <w:tc>
          <w:tcPr>
            <w:tcW w:w="7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3"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LFTC">
              <w:r>
                <w:rPr>
                  <w:rStyle w:val="InternetLink"/>
                  <w:spacing w:val="-2"/>
                </w:rPr>
                <w:t xml:space="preserve">LETTER FROM THE CHAIRMAN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LFTC">
              <w:r>
                <w:rPr>
                  <w:rStyle w:val="InternetLink"/>
                  <w:spacing w:val="-2"/>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GEIN">
              <w:r>
                <w:rPr>
                  <w:rStyle w:val="InternetLink"/>
                  <w:spacing w:val="-2"/>
                </w:rPr>
                <w:t xml:space="preserve">GENERAL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GEIN">
              <w:r>
                <w:rPr>
                  <w:rStyle w:val="InternetLink"/>
                  <w:spacing w:val="-2"/>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P1EO">
              <w:r>
                <w:rPr>
                  <w:rStyle w:val="InternetLink"/>
                  <w:spacing w:val="-3"/>
                </w:rPr>
                <w:t>PROPOSAL 1: ELECTION OF DIRECTORS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P1EO">
              <w:r>
                <w:rPr>
                  <w:rStyle w:val="InternetLink"/>
                  <w:spacing w:val="-3"/>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DCF2">
              <w:r>
                <w:rPr>
                  <w:rStyle w:val="InternetLink"/>
                  <w:spacing w:val="-2"/>
                </w:rPr>
                <w:t xml:space="preserve">DIRECTOR COMPENSATION FOR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DCF2">
              <w:r>
                <w:rPr>
                  <w:rStyle w:val="InternetLink"/>
                  <w:spacing w:val="-2"/>
                </w:rPr>
                <w:t>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CGCO">
              <w:r>
                <w:rPr>
                  <w:rStyle w:val="InternetLink"/>
                  <w:spacing w:val="-2"/>
                </w:rPr>
                <w:t xml:space="preserve">CORPORATE GOVERNANCE — COMMITTEES OF THE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CGCO">
              <w:r>
                <w:rPr>
                  <w:rStyle w:val="InternetLink"/>
                  <w:spacing w:val="-2"/>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CGHA">
              <w:r>
                <w:rPr>
                  <w:rStyle w:val="InternetLink"/>
                  <w:spacing w:val="-2"/>
                </w:rPr>
                <w:t xml:space="preserve">CORPORATE GOVERNANCE — HIGHLIGHTS AND ESG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CGHA">
              <w:r>
                <w:rPr>
                  <w:rStyle w:val="InternetLink"/>
                  <w:spacing w:val="-2"/>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CGEO">
              <w:r>
                <w:rPr>
                  <w:rStyle w:val="InternetLink"/>
                  <w:spacing w:val="-2"/>
                </w:rPr>
                <w:t xml:space="preserve">CORPORATE GOVERNANCE —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CGEO">
              <w:r>
                <w:rPr>
                  <w:rStyle w:val="InternetLink"/>
                  <w:spacing w:val="-2"/>
                </w:rPr>
                <w:t>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BOOC">
              <w:r>
                <w:rPr>
                  <w:rStyle w:val="InternetLink"/>
                  <w:spacing w:val="-2"/>
                </w:rPr>
                <w:t xml:space="preserve">BENEFICIAL OWNERSHIP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BOOC">
              <w:r>
                <w:rPr>
                  <w:rStyle w:val="InternetLink"/>
                  <w:spacing w:val="-2"/>
                </w:rPr>
                <w:t>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CDAA">
              <w:r>
                <w:rPr>
                  <w:rStyle w:val="InternetLink"/>
                  <w:spacing w:val="-2"/>
                </w:rPr>
                <w:t xml:space="preserve">COMPENSATION DISCUSSION AND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CDAA">
              <w:r>
                <w:rPr>
                  <w:rStyle w:val="InternetLink"/>
                  <w:spacing w:val="-2"/>
                </w:rPr>
                <w:t>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CCR">
              <w:r>
                <w:rPr>
                  <w:rStyle w:val="InternetLink"/>
                  <w:spacing w:val="-2"/>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CCR">
              <w:r>
                <w:rPr>
                  <w:rStyle w:val="InternetLink"/>
                  <w:spacing w:val="-2"/>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2SCT">
              <w:r>
                <w:rPr>
                  <w:rStyle w:val="InternetLink"/>
                  <w:spacing w:val="-2"/>
                </w:rPr>
                <w:t xml:space="preserve">SUMMARY COMPENSATION TABLE FOR 2022 –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2SCT">
              <w:r>
                <w:rPr>
                  <w:rStyle w:val="InternetLink"/>
                  <w:spacing w:val="-2"/>
                </w:rPr>
                <w:t>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GOPA">
              <w:r>
                <w:rPr>
                  <w:rStyle w:val="InternetLink"/>
                  <w:spacing w:val="-2"/>
                </w:rPr>
                <w:t xml:space="preserve">GRANTS OF PLAN-BASED AWARDS DURING THE YEAR ENDED DECEMBER 31,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GOPA">
              <w:r>
                <w:rPr>
                  <w:rStyle w:val="InternetLink"/>
                  <w:spacing w:val="-2"/>
                </w:rPr>
                <w:t>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OEAA">
              <w:r>
                <w:rPr>
                  <w:rStyle w:val="InternetLink"/>
                  <w:spacing w:val="-2"/>
                </w:rPr>
                <w:t xml:space="preserve">OUTSTANDING EQUITY AWARDS AT FISCAL YEAR END FOR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OEAA">
              <w:r>
                <w:rPr>
                  <w:rStyle w:val="InternetLink"/>
                  <w:spacing w:val="-2"/>
                </w:rPr>
                <w:t>47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ind w:left="200" w:right="0" w:hanging="200"/>
              <w:jc w:val="left"/>
              <w:rPr/>
            </w:pPr>
            <w:hyperlink w:anchor="tOEAS">
              <w:r>
                <w:rPr>
                  <w:rStyle w:val="InternetLink"/>
                  <w:spacing w:val="-2"/>
                </w:rPr>
                <w:t xml:space="preserve">OPTIONS EXERCISED AND STOCK VESTED DURING THE YEAR ENDED DECEMBER 31,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OEAS">
              <w:r>
                <w:rPr>
                  <w:rStyle w:val="InternetLink"/>
                  <w:spacing w:val="-2"/>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PPUT">
              <w:r>
                <w:rPr>
                  <w:rStyle w:val="InternetLink"/>
                  <w:spacing w:val="-2"/>
                </w:rPr>
                <w:t xml:space="preserve">POTENTIAL PAYMENTS UPON TERMINATION OR CHANGE IN CONTROL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PPUT">
              <w:r>
                <w:rPr>
                  <w:rStyle w:val="InternetLink"/>
                  <w:spacing w:val="-2"/>
                </w:rPr>
                <w:t>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PARA">
              <w:r>
                <w:rPr>
                  <w:rStyle w:val="InternetLink"/>
                  <w:spacing w:val="-2"/>
                </w:rPr>
                <w:t xml:space="preserve">PAY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PARA">
              <w:r>
                <w:rPr>
                  <w:rStyle w:val="InternetLink"/>
                  <w:spacing w:val="-2"/>
                </w:rPr>
                <w:t>54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PVP">
              <w:r>
                <w:rPr>
                  <w:rStyle w:val="InternetLink"/>
                  <w:spacing w:val="-2"/>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PVP">
              <w:r>
                <w:rPr>
                  <w:rStyle w:val="InternetLink"/>
                  <w:spacing w:val="-2"/>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ROTA">
              <w:r>
                <w:rPr>
                  <w:rStyle w:val="InternetLink"/>
                  <w:spacing w:val="-2"/>
                </w:rPr>
                <w:t xml:space="preserve">REPORT OF THE 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ROTA">
              <w:r>
                <w:rPr>
                  <w:rStyle w:val="InternetLink"/>
                  <w:spacing w:val="-2"/>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ind w:left="200" w:right="0" w:hanging="200"/>
              <w:jc w:val="left"/>
              <w:rPr/>
            </w:pPr>
            <w:hyperlink w:anchor="tP2RO">
              <w:r>
                <w:rPr>
                  <w:rStyle w:val="InternetLink"/>
                  <w:b/>
                  <w:spacing w:val="-3"/>
                </w:rPr>
                <w:t>PROPOSAL 2: RATIFICATION OF SELECTION OF INDEPENDENT REGISTERED PUBLIC ACCOUNTING FIRM</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P2RO">
              <w:r>
                <w:rPr>
                  <w:rStyle w:val="InternetLink"/>
                  <w:spacing w:val="-2"/>
                </w:rPr>
                <w:t>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P3AV">
              <w:r>
                <w:rPr>
                  <w:rStyle w:val="InternetLink"/>
                  <w:spacing w:val="-3"/>
                </w:rPr>
                <w:t>PROPOSAL 3: ADVISORY VOTE TO APPROVE EXECUTIVE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P3AV">
              <w:r>
                <w:rPr>
                  <w:rStyle w:val="InternetLink"/>
                  <w:spacing w:val="-3"/>
                </w:rPr>
                <w:t>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OTMA">
              <w:r>
                <w:rPr>
                  <w:rStyle w:val="InternetLink"/>
                  <w:spacing w:val="-2"/>
                </w:rPr>
                <w:t xml:space="preserve">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OTMA">
              <w:r>
                <w:rPr>
                  <w:rStyle w:val="InternetLink"/>
                  <w:spacing w:val="-2"/>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DS1R">
              <w:r>
                <w:rPr>
                  <w:rStyle w:val="InternetLink"/>
                  <w:spacing w:val="-2"/>
                </w:rPr>
                <w:t xml:space="preserve">DELINQUENT SECTION 16(a) REPORTS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DS1R">
              <w:r>
                <w:rPr>
                  <w:rStyle w:val="InternetLink"/>
                  <w:spacing w:val="-2"/>
                </w:rPr>
                <w:t>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SPAD">
              <w:r>
                <w:rPr>
                  <w:rStyle w:val="InternetLink"/>
                  <w:spacing w:val="-2"/>
                </w:rPr>
                <w:t xml:space="preserve">STOCKHOLDER PROPOSALS AND DIRECTOR CANDIDATE NOMINATIONS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SPAD">
              <w:r>
                <w:rPr>
                  <w:rStyle w:val="InternetLink"/>
                  <w:spacing w:val="-2"/>
                </w:rPr>
                <w:t>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before="0" w:after="0"/>
              <w:jc w:val="left"/>
              <w:rPr/>
            </w:pPr>
            <w:hyperlink w:anchor="tANRE">
              <w:r>
                <w:rPr>
                  <w:rStyle w:val="InternetLink"/>
                  <w:spacing w:val="-2"/>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ANRE">
              <w:r>
                <w:rPr>
                  <w:rStyle w:val="InternetLink"/>
                  <w:spacing w:val="-2"/>
                </w:rPr>
                <w:t>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jc w:val="left"/>
              <w:rPr/>
            </w:pPr>
            <w:hyperlink w:anchor="tAPA">
              <w:r>
                <w:rPr>
                  <w:rStyle w:val="InternetLink"/>
                  <w:spacing w:val="-2"/>
                </w:rPr>
                <w:t xml:space="preserve">APPENDIX 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APA">
              <w:r>
                <w:rPr>
                  <w:rStyle w:val="InternetLink"/>
                  <w:spacing w:val="-2"/>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LFTC"/>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LETTER FROM THE CHAIRMAN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Fellow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It is my pleasure to inform you that our 2025 Annual Meeting of Stockholders will be conducted online on Wednesday, June 18, 2025. The virtual nature of the meeting will enable us to increase stockholder accessibility, while improving meeting efficiency and reducing costs. Stockholders will be able to listen, vote and submit questions from their home or any remote location with Internet connectivity. Information on how to participate in this year’s virtual meeting can be found beginning on page 3. For all of you who participate, whether live or by proxy, we thank you for your investment in the Company and for taking part in the election of directors and voting on the other proposals brought before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 the Company does not have a staggered Board of Directors, all of our Board members stand for election every year. In addition to the director election, there are two proposals to be voted on: ratification of the selection our external auditor, and an advisory vote on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discussed in detail in the Compensation Discussion and Analysis section, the Compensation Committee of the Board of Directors, under the direction of the Board, continued to administer and refine our executive compensation program, which was restructured in early 2017, and further refined in 2021 to reflect our conversion in 2020 to a real estate investment trust. We believe that our compensation program effectively links pay with performance, and aligns management’s interests with the interests of the Company’s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executive compensation program, similar to many other companies’ compensation programs, consists of a blend of base salary, service-based equity incentive compensation, and performance-based cash and equity incentive compensation. Under the program, the Compensation Committee establishes at the beginning of each year a set of objective, measurable metrics that will be used to evaluate management’s performance, on both an annual and long-term basis. The metrics are weighted to reflect the Company’s progress and priorities in executing our business plan. Rigorous performance goals are also established each year for each metric, with “threshold,” “target” and “outperform/maximum” performance levels set for each metric. The metrics and weighting are reviewed each year and adjusted as necessary based on the Company’s progress in executing our business plan. All of these decisions are made in a manner designed to incentivize management to execute our business plan in a manner that will increase the value of the Company’s assets and maximize returns to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2024 proved to be a successful year of continued progress towards accomplishing the Company’s long term business objectives — please see our 2024 Annual Report on Form 10-K and letter to stockholders from our President and Chief Executive Officer, John Albright, for additional discussion. Our accomplishments for 2024 included the acquisition of six high-quality retail assets and one land parcel for a total of $226.8 million, as well as the origination of four structured investments totaling $104.0 million, all at favorable return rates. Additionally, we meaningfully increased our signed but not open leasing pipeline, generated positive leasing momentum, and strategically recycled capital by disposing of two non-core properties and other non-income producing assets. Moreover, we took advantage of favorable opportunities to issue additional shares of our common stock and Series A Preferred Stock, raising almost $200 million of additional equity capital. Finally, our AFFO per share increased by 4.7% compared to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2024 was a successful year for the Company. Our executive team achieved the “outperform” level of performance with respect to the primary financial performance metric under our annual incentive plan. With respect to long-term performance-based equity incentive compensation, performance shares awarded in February of 2022 vested in early 2025. Based on the Company’s total stockholder return relative to our peer group during the three-year performance period, these performance shares vested at the “outperform” level of performance. A discussion of our annual and long-term incentive plans can be found beginning on page 34.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56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very pleased with the Company’s 2024 results and our management team’s performance, and hope you will enjoy reading the more detailed Compensation Discussion and Analysis section in the pages that follow.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5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Laura M. Franklin </w:t>
        <w:br/>
        <w:t xml:space="preserve">Chairman of the Board </w:t>
        <w:br/>
        <w:t>CTO Realty Growth, Inc.</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GEIN"/>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214" w:type="dxa"/>
        <w:jc w:val="left"/>
        <w:tblInd w:w="1393" w:type="dxa"/>
        <w:tblLayout w:type="fixed"/>
        <w:tblCellMar>
          <w:top w:w="0" w:type="dxa"/>
          <w:left w:w="0" w:type="dxa"/>
          <w:bottom w:w="0" w:type="dxa"/>
          <w:right w:w="0" w:type="dxa"/>
        </w:tblCellMar>
      </w:tblPr>
      <w:tblGrid>
        <w:gridCol w:w="124"/>
        <w:gridCol w:w="1346"/>
        <w:gridCol w:w="109"/>
        <w:gridCol w:w="109"/>
        <w:gridCol w:w="3372"/>
        <w:gridCol w:w="154"/>
      </w:tblGrid>
      <w:tr>
        <w:trPr/>
        <w:tc>
          <w:tcPr>
            <w:tcW w:w="124" w:type="dxa"/>
            <w:tcBorders/>
            <w:vAlign w:val="center"/>
          </w:tcPr>
          <w:p>
            <w:pPr>
              <w:pStyle w:val="TableContents"/>
              <w:bidi w:val="0"/>
              <w:spacing w:before="0" w:after="283"/>
              <w:jc w:val="left"/>
              <w:rPr/>
            </w:pPr>
            <w:r>
              <w:rPr/>
              <w:t>​</w:t>
            </w:r>
          </w:p>
        </w:tc>
        <w:tc>
          <w:tcPr>
            <w:tcW w:w="1346" w:type="dxa"/>
            <w:tcBorders/>
            <w:vAlign w:val="center"/>
          </w:tcPr>
          <w:p>
            <w:pPr>
              <w:pStyle w:val="TableContents"/>
              <w:bidi w:val="0"/>
              <w:spacing w:before="0" w:after="0"/>
              <w:jc w:val="left"/>
              <w:rPr/>
            </w:pPr>
            <w:r>
              <w:rPr/>
              <w:drawing>
                <wp:inline distT="0" distB="0" distL="0" distR="0">
                  <wp:extent cx="762000" cy="5524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762000" cy="5524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72" w:type="dxa"/>
            <w:tcBorders/>
            <w:vAlign w:val="center"/>
          </w:tcPr>
          <w:p>
            <w:pPr>
              <w:pStyle w:val="TableContents"/>
              <w:bidi w:val="0"/>
              <w:spacing w:lineRule="atLeast" w:line="240" w:before="0" w:after="0"/>
              <w:jc w:val="left"/>
              <w:rPr/>
            </w:pPr>
            <w:r>
              <w:rPr>
                <w:spacing w:val="-4"/>
              </w:rPr>
              <w:t xml:space="preserve">CTO REALTY GROWTH, INC. </w:t>
              <w:br/>
              <w:t xml:space="preserve">369 N. New York Ave, Suite 201 </w:t>
              <w:br/>
              <w:t>Winter Park, Florida 32789</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GENERAL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Why am I receiving this proxy statement?</w:t>
      </w:r>
      <w:r>
        <w:rPr>
          <w:rFonts w:ascii="Arial;Helvetica;sans-serif" w:hAnsi="Arial;Helvetica;sans-serif"/>
          <w:b w:val="false"/>
          <w:i w:val="false"/>
          <w:caps w:val="false"/>
          <w:smallCaps w:val="false"/>
          <w:color w:val="000000"/>
          <w:spacing w:val="-2"/>
          <w:sz w:val="20"/>
        </w:rPr>
        <w:t>   The board of directors (the “Board of Directors” or “Board”) of CTO Realty Growth, Inc., a Maryland corporation (the “Company,” “we,” “our” and “us”), is soliciting proxies for use at the 2025 annual meeting of stockholders to be held on Wednesday, June 18, 2025 at 3:00 p.m. eastern time (including any adjournments or postponements thereof, the “Annual Meeting”). The Annual Meeting will be held online in a “virtual only” format.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or about May 6, 2025, we will mail to you and our other stockholders a Notice of Internet Availability of Proxy Materials (the “Internet Availability Notice”) containing instructions on (i) how to access online this proxy statement and our 2024 annual report, which includes our Annual Report on Form 10-K for the fiscal year ended December 31, 2024, and our audited consolidated financial statements included therein (collectively, the “Annual Report”); and (ii) how to vote your shares by telephone, over the Internet, or by mail. You will not receive a printed copy of the proxy materials and Annual Report unless you request them. If you would like to receive a printed copy of the proxy materials, including a printed proxy card on which you may submit your vote by mail, then you should follow the instructions for obtaining such materials contained in the Internet Availability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is a proxy?</w:t>
      </w:r>
      <w:r>
        <w:rPr>
          <w:rFonts w:ascii="Arial;Helvetica;sans-serif" w:hAnsi="Arial;Helvetica;sans-serif"/>
          <w:b w:val="false"/>
          <w:i w:val="false"/>
          <w:caps w:val="false"/>
          <w:smallCaps w:val="false"/>
          <w:color w:val="000000"/>
          <w:spacing w:val="-2"/>
          <w:sz w:val="20"/>
        </w:rPr>
        <w:t>   A proxy is your legal designation of another person to vote the shares you own. That other person is called a proxy. If you designate someone as your proxy, the document in which you make that designation is also called a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is a proxy statement?</w:t>
      </w:r>
      <w:r>
        <w:rPr>
          <w:rFonts w:ascii="Arial;Helvetica;sans-serif" w:hAnsi="Arial;Helvetica;sans-serif"/>
          <w:b w:val="false"/>
          <w:i w:val="false"/>
          <w:caps w:val="false"/>
          <w:smallCaps w:val="false"/>
          <w:color w:val="000000"/>
          <w:spacing w:val="-2"/>
          <w:sz w:val="20"/>
        </w:rPr>
        <w:t>   This document is a proxy statement. It is a document that we are required by law to give you when we ask you to name a proxy to vote your shares. We encourage you to read this proxy statement carefully.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is the purpose of the Annual Meeting?</w:t>
      </w:r>
      <w:r>
        <w:rPr>
          <w:rFonts w:ascii="Arial;Helvetica;sans-serif" w:hAnsi="Arial;Helvetica;sans-serif"/>
          <w:b w:val="false"/>
          <w:i w:val="false"/>
          <w:caps w:val="false"/>
          <w:smallCaps w:val="false"/>
          <w:color w:val="000000"/>
          <w:spacing w:val="-2"/>
          <w:sz w:val="20"/>
        </w:rPr>
        <w:t>   The purpose of the Annual Meeting is to obtain stockholder action on the matters outlined in this proxy statement. These matters include: (1) the election of six directors for one-year terms expiring at the 2026 annual meeting of stockholders; (2) the ratification of the appointment of Grant Thornton LLP as our independent registered public accounting firm for fiscal year 2025; and (3) an advisory vote to approve executive compensation. We will also consider any other business that properly comes before the Annual Meeting. This proxy statement provides you with detailed information about these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Why are you holding the Annual Meeting in a virtual format?</w:t>
      </w:r>
      <w:r>
        <w:rPr>
          <w:rFonts w:ascii="Arial;Helvetica;sans-serif" w:hAnsi="Arial;Helvetica;sans-serif"/>
          <w:b w:val="false"/>
          <w:i w:val="false"/>
          <w:caps w:val="false"/>
          <w:smallCaps w:val="false"/>
          <w:color w:val="000000"/>
          <w:spacing w:val="-2"/>
          <w:sz w:val="20"/>
        </w:rPr>
        <w:t>   In accordance with our recent practice and to maintain ease of access for our stockholders, 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as time permits.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is a record date and who is entitled to vote at the Annual Meeting?</w:t>
      </w:r>
      <w:r>
        <w:rPr>
          <w:rFonts w:ascii="Arial;Helvetica;sans-serif" w:hAnsi="Arial;Helvetica;sans-serif"/>
          <w:b w:val="false"/>
          <w:i w:val="false"/>
          <w:caps w:val="false"/>
          <w:smallCaps w:val="false"/>
          <w:color w:val="000000"/>
          <w:spacing w:val="-2"/>
          <w:sz w:val="20"/>
        </w:rPr>
        <w:t>   The record date for determining the stockholders entitled to receive notice of and to vote at the Annual Meeting is April 17, 2025. The record date was established by our Board as required by the laws of the State of Maryland and the third amended and restated bylaws of the Company (the “Bylaws”). Owners of record of shares of our common stock at the close of business on the record date are entitled to receive notice of and to vote at the Annual Meeting. You are entitled to one vote for each share of our common stock that you owned on the record date on every matter properly submitted for stockholder vote at the Annual Meeting. Our charter and Bylaws do not provide for cumulative voting for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How many shares can be voted and what is a quorum?</w:t>
      </w:r>
      <w:r>
        <w:rPr>
          <w:rFonts w:ascii="Arial;Helvetica;sans-serif" w:hAnsi="Arial;Helvetica;sans-serif"/>
          <w:b w:val="false"/>
          <w:i w:val="false"/>
          <w:caps w:val="false"/>
          <w:smallCaps w:val="false"/>
          <w:color w:val="000000"/>
          <w:spacing w:val="-2"/>
          <w:sz w:val="20"/>
        </w:rPr>
        <w:t>   You are entitled to one vote for each share of our common stock that you owned as of the close of business on April 17, 2025. At the close of business on April 17, 2025, there were 32,934,716 shares of our common stock outstanding and entitled to vote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quorum is the minimum number of shares that must be represented in person or by proxy in order for us to conduct the Annual Meeting. The presence in person or by proxy of stockholders entitled to cast a majority of all the votes entitled to be cast at the Annual Meeting on any matter, or 16,467,359 shares of common stock, will constitute a quorum to hold the Annual Meeting. If you grant your proxy by Internet, telephone or by mailing a proxy card, your shares will be considered present at the Annual Meeting and part of the quorum. Abstentions and broker “non-votes” will be considered shares represented at the meeting for the purposes of establishing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different methods can I use to vote?</w:t>
      </w:r>
      <w:r>
        <w:rPr>
          <w:rFonts w:ascii="Arial;Helvetica;sans-serif" w:hAnsi="Arial;Helvetica;sans-serif"/>
          <w:b w:val="false"/>
          <w:i w:val="false"/>
          <w:caps w:val="false"/>
          <w:smallCaps w:val="false"/>
          <w:color w:val="000000"/>
          <w:spacing w:val="-2"/>
          <w:sz w:val="20"/>
        </w:rPr>
        <w:t>   You have a choice of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telephone;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Over the Internet;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mail;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you are a record holder of the Company’s common stock or have obtained a “Legal Proxy” from the record holder of shares you beneficially own, by participating online during the Annual Meeting.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Even if you plan to participate live in the Annual Meeting, we encourage you to vote now by telephone, over the Internet, or by mail. Please carefully read the instructions on the Internet Availability Notice on how to vote your shares. Because the instructions vary depending on how you hold your shares and the method you use to vote, it is important that you follow the instructions that apply to your particular situation. </w:t>
      </w:r>
      <w:r>
        <w:rPr>
          <w:rFonts w:ascii="Arial;Helvetica;sans-serif" w:hAnsi="Arial;Helvetica;sans-serif"/>
          <w:b/>
          <w:i w:val="false"/>
          <w:caps w:val="false"/>
          <w:smallCaps w:val="false"/>
          <w:color w:val="000000"/>
          <w:spacing w:val="0"/>
          <w:sz w:val="20"/>
        </w:rPr>
        <w:t>If you vote by telephone or over the Internet, you do not need to return a proxy card by mail.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is the difference between a “record holder” and an owner holding shares in “street name”?</w:t>
      </w:r>
      <w:r>
        <w:rPr>
          <w:rFonts w:ascii="Arial;Helvetica;sans-serif" w:hAnsi="Arial;Helvetica;sans-serif"/>
          <w:b w:val="false"/>
          <w:i w:val="false"/>
          <w:caps w:val="false"/>
          <w:smallCaps w:val="false"/>
          <w:color w:val="000000"/>
          <w:spacing w:val="-2"/>
          <w:sz w:val="20"/>
        </w:rPr>
        <w:t xml:space="preserve">   If your shares are registered in your name, you are a </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caps w:val="false"/>
          <w:smallCaps w:val="false"/>
          <w:color w:val="000000"/>
          <w:sz w:val="20"/>
        </w:rPr>
        <w:t>record holder.”</w:t>
      </w:r>
      <w:r>
        <w:rPr>
          <w:rFonts w:ascii="Arial;Helvetica;sans-serif" w:hAnsi="Arial;Helvetica;sans-serif"/>
          <w:b w:val="false"/>
          <w:i w:val="false"/>
          <w:caps w:val="false"/>
          <w:smallCaps w:val="false"/>
          <w:color w:val="000000"/>
          <w:spacing w:val="-2"/>
          <w:sz w:val="20"/>
        </w:rPr>
        <w:t xml:space="preserve"> You will be a record holder if you have an account directly with our transfer agent, Computershare Trust Company, N.A. (“Computershare”). If your shares are registered or held in the name of your broker or bank or other nominee, your shares are held in </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caps w:val="false"/>
          <w:smallCaps w:val="false"/>
          <w:color w:val="000000"/>
          <w:sz w:val="20"/>
        </w:rPr>
        <w:t>street name,”</w:t>
      </w:r>
      <w:r>
        <w:rPr>
          <w:rFonts w:ascii="Arial;Helvetica;sans-serif" w:hAnsi="Arial;Helvetica;sans-serif"/>
          <w:b w:val="false"/>
          <w:i w:val="false"/>
          <w:caps w:val="false"/>
          <w:smallCaps w:val="false"/>
          <w:color w:val="000000"/>
          <w:spacing w:val="-2"/>
          <w:sz w:val="20"/>
        </w:rPr>
        <w:t xml:space="preserve"> and you are considered the beneficial owner of such shares, but not the record 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How do I vote if my shares are registered in my name?</w:t>
      </w:r>
      <w:r>
        <w:rPr>
          <w:rFonts w:ascii="Arial;Helvetica;sans-serif" w:hAnsi="Arial;Helvetica;sans-serif"/>
          <w:b w:val="false"/>
          <w:i w:val="false"/>
          <w:caps w:val="false"/>
          <w:smallCaps w:val="false"/>
          <w:color w:val="000000"/>
          <w:spacing w:val="-2"/>
          <w:sz w:val="20"/>
        </w:rPr>
        <w:t>   </w:t>
      </w:r>
      <w:r>
        <w:rPr>
          <w:rFonts w:ascii="Arial;Helvetica;sans-serif" w:hAnsi="Arial;Helvetica;sans-serif"/>
          <w:b w:val="false"/>
          <w:i/>
          <w:caps w:val="false"/>
          <w:smallCaps w:val="false"/>
          <w:color w:val="000000"/>
          <w:sz w:val="20"/>
        </w:rPr>
        <w:t>Voting by telephone, over the Internet, or by mail:</w:t>
      </w:r>
      <w:r>
        <w:rPr>
          <w:rFonts w:ascii="Arial;Helvetica;sans-serif" w:hAnsi="Arial;Helvetica;sans-serif"/>
          <w:b w:val="false"/>
          <w:i w:val="false"/>
          <w:caps w:val="false"/>
          <w:smallCaps w:val="false"/>
          <w:color w:val="000000"/>
          <w:spacing w:val="-2"/>
          <w:sz w:val="20"/>
        </w:rPr>
        <w:t>   If you are a stockholder of record, you can vote by telephone, over the Internet, or by mail. The Internet Availability Notice contains instructions for voting by telephone or over the Internet. You can also vote by mail by requesting, completing and returning a printed proxy card as described in the Internet Availability Notice. Please promptly vote by telephone, over the Internet or by mailing your proxy card to ensure your representation and the presence of a quorum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during the meeting:</w:t>
      </w:r>
      <w:r>
        <w:rPr>
          <w:rFonts w:ascii="Arial;Helvetica;sans-serif" w:hAnsi="Arial;Helvetica;sans-serif"/>
          <w:b w:val="false"/>
          <w:i w:val="false"/>
          <w:caps w:val="false"/>
          <w:smallCaps w:val="false"/>
          <w:color w:val="000000"/>
          <w:spacing w:val="-2"/>
          <w:sz w:val="20"/>
        </w:rPr>
        <w:t>   If you are a stockholder of record, and you plan to participate live in the Annual Meeting, you can vote during the meeting. To vote while participating live in the Annual Meeting, please log on to https://meetnow.global/MQGUDXC. To log in, you will need to enter the fifteen-digit control number located on the notice, proxy card or email sent to you by Computershare.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How do I vote if my shares are held in “street name”?</w:t>
      </w:r>
      <w:r>
        <w:rPr>
          <w:rFonts w:ascii="Arial;Helvetica;sans-serif" w:hAnsi="Arial;Helvetica;sans-serif"/>
          <w:b w:val="false"/>
          <w:i w:val="false"/>
          <w:caps w:val="false"/>
          <w:smallCaps w:val="false"/>
          <w:color w:val="000000"/>
          <w:spacing w:val="-2"/>
          <w:sz w:val="20"/>
        </w:rPr>
        <w:t>   </w:t>
      </w:r>
      <w:r>
        <w:rPr>
          <w:rFonts w:ascii="Arial;Helvetica;sans-serif" w:hAnsi="Arial;Helvetica;sans-serif"/>
          <w:b w:val="false"/>
          <w:i/>
          <w:caps w:val="false"/>
          <w:smallCaps w:val="false"/>
          <w:color w:val="000000"/>
          <w:sz w:val="20"/>
        </w:rPr>
        <w:t>Voting by telephone, over the Internet, or by mail:</w:t>
      </w:r>
      <w:r>
        <w:rPr>
          <w:rFonts w:ascii="Arial;Helvetica;sans-serif" w:hAnsi="Arial;Helvetica;sans-serif"/>
          <w:b w:val="false"/>
          <w:i w:val="false"/>
          <w:caps w:val="false"/>
          <w:smallCaps w:val="false"/>
          <w:color w:val="000000"/>
          <w:spacing w:val="-2"/>
          <w:sz w:val="20"/>
        </w:rPr>
        <w:t>   If your shares are held in the name of your broker, bank, or other nominee, you have the right to direct your broker, bank, or other nominee on how to vote, and you should vote your shares using the method directed by your broker, bank, or other nominee. In addition to voting by mail, a large number of banks and brokerage firms are participating in online or telephonic voting programs. These programs provide eligible “street name” stockholders the opportunity to vote by telephone or over the Internet. Voting instruction forms will provide instructions for stockholders whose banks or brokerage firms are participating in such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while participating live in the meeting:   </w:t>
      </w:r>
      <w:r>
        <w:rPr>
          <w:rFonts w:ascii="Arial;Helvetica;sans-serif" w:hAnsi="Arial;Helvetica;sans-serif"/>
          <w:b w:val="false"/>
          <w:i w:val="false"/>
          <w:caps w:val="false"/>
          <w:smallCaps w:val="false"/>
          <w:color w:val="000000"/>
          <w:spacing w:val="-2"/>
          <w:sz w:val="20"/>
        </w:rPr>
        <w:t xml:space="preserve">If your shares are held in the name of your broker, bank or other nominee, and you plan to vote your shares during the meeting, in order to do so you must first obtain from the broker, bank or other nominee in whose name the shares are held the proxy power or “legal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2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to vote the shares in question. You will then need to register to attend the Annual Meeting by submitting proof of your proxy power for your share holdings along with your name and email address to Computershare. Requests for registration must be labeled as “Legal Proxy” and be received by Computershare no later than 5:00 p.m. eastern time on Friday, June 13, 2025 (3 business days in advance of the Annual Meeting). You will receive confirmation of your registration and a 15-digit control number by email after Computershare receives your registration materials. Requests for registration should be directed to Computershare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8" w:after="0"/>
        <w:ind w:left="275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Email an image of your legal proxy, or forward the email from your broker, bank or other nominee containing the legal proxy, to legalproxy@comptershare.com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254000" distR="0" simplePos="0" locked="0" layoutInCell="1" allowOverlap="1" relativeHeight="37">
                <wp:simplePos x="0" y="0"/>
                <wp:positionH relativeFrom="column">
                  <wp:align>left</wp:align>
                </wp:positionH>
                <wp:positionV relativeFrom="line">
                  <wp:align>top</wp:align>
                </wp:positionV>
                <wp:extent cx="609600" cy="525780"/>
                <wp:effectExtent l="0" t="0" r="0" b="0"/>
                <wp:wrapSquare wrapText="right"/>
                <wp:docPr id="21" name="Frame17"/>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both"/>
                              <w:rPr/>
                            </w:pPr>
                            <w:r>
                              <w:rPr>
                                <w:spacing w:val="-2"/>
                              </w:rPr>
                              <w:t>By email:</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By 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75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Computershare </w:t>
        <w:br/>
        <w:t xml:space="preserve">CTO Realty Growth, Inc. Legal Proxy </w:t>
        <w:br/>
        <w:t xml:space="preserve">P.O. Box 43001 </w:t>
        <w:br/>
        <w:t>Providence, RI 02940-3001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3980" distB="0" distL="254000" distR="0" simplePos="0" locked="0" layoutInCell="1" allowOverlap="1" relativeHeight="38">
                <wp:simplePos x="0" y="0"/>
                <wp:positionH relativeFrom="column">
                  <wp:align>left</wp:align>
                </wp:positionH>
                <wp:positionV relativeFrom="line">
                  <wp:align>top</wp:align>
                </wp:positionV>
                <wp:extent cx="6096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2"/>
                              </w:rPr>
                              <w:t>By 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By 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in street name and you do not timely register as described above, you may still log on to https://meetnow.global/MQGUDXC and participate in the Annual Meeting, but you will be unable to vote your shares during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Who will count the votes?</w:t>
      </w:r>
      <w:r>
        <w:rPr>
          <w:rFonts w:ascii="Arial;Helvetica;sans-serif" w:hAnsi="Arial;Helvetica;sans-serif"/>
          <w:b w:val="false"/>
          <w:i w:val="false"/>
          <w:caps w:val="false"/>
          <w:smallCaps w:val="false"/>
          <w:color w:val="000000"/>
          <w:spacing w:val="-2"/>
          <w:sz w:val="20"/>
        </w:rPr>
        <w:t>   Representatives of Computershare will count the votes and will serve as the independent inspector of election.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Can I revoke my proxy or change my vote?</w:t>
      </w:r>
      <w:r>
        <w:rPr>
          <w:rFonts w:ascii="Arial;Helvetica;sans-serif" w:hAnsi="Arial;Helvetica;sans-serif"/>
          <w:b w:val="false"/>
          <w:i w:val="false"/>
          <w:caps w:val="false"/>
          <w:smallCaps w:val="false"/>
          <w:color w:val="000000"/>
          <w:spacing w:val="-2"/>
          <w:sz w:val="20"/>
        </w:rPr>
        <w:t>   If your shares are registered in your name, you may revoke your proxy or change your vote at any time before it is voted at the Annual Meeting. There are several ways you can do this: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sending a written notice of revocation to our Corporate Secretary at CTO Realty Growth, Inc., 369 N. New York Avenue, Suite 201, Winter Park, Florida 32789;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duly signing and delivering a proxy card that bears a later date;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participating live in the Annual Meeting and voting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How does the Board recommend that I vote?</w:t>
      </w:r>
      <w:r>
        <w:rPr>
          <w:rFonts w:ascii="Arial;Helvetica;sans-serif" w:hAnsi="Arial;Helvetica;sans-serif"/>
          <w:b w:val="false"/>
          <w:i w:val="false"/>
          <w:caps w:val="false"/>
          <w:smallCaps w:val="false"/>
          <w:color w:val="000000"/>
          <w:spacing w:val="-2"/>
          <w:sz w:val="20"/>
        </w:rPr>
        <w:t>   The Board unanimously recommends that you vote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VOTING MATTERS AND BOARD RECOMMENDATIONS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are being asked to vote on the following matters at the Annual Meeting:</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6662"/>
        <w:gridCol w:w="109"/>
        <w:gridCol w:w="109"/>
        <w:gridCol w:w="1777"/>
        <w:gridCol w:w="155"/>
      </w:tblGrid>
      <w:tr>
        <w:trPr/>
        <w:tc>
          <w:tcPr>
            <w:tcW w:w="6662" w:type="dxa"/>
            <w:tcBorders>
              <w:bottom w:val="single" w:sz="2" w:space="0" w:color="000000"/>
            </w:tcBorders>
            <w:vAlign w:val="center"/>
          </w:tcPr>
          <w:p>
            <w:pPr>
              <w:pStyle w:val="TableContents"/>
              <w:bidi w:val="0"/>
              <w:spacing w:before="0" w:after="0"/>
              <w:jc w:val="left"/>
              <w:rPr>
                <w:spacing w:val="0"/>
              </w:rPr>
            </w:pPr>
            <w:r>
              <w:rPr>
                <w:spacing w:val="0"/>
              </w:rPr>
              <w:t xml:space="preserve">Description of 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7" w:type="dxa"/>
            <w:tcBorders>
              <w:bottom w:val="single" w:sz="2" w:space="0" w:color="000000"/>
            </w:tcBorders>
            <w:vAlign w:val="center"/>
          </w:tcPr>
          <w:p>
            <w:pPr>
              <w:pStyle w:val="TableContents"/>
              <w:bidi w:val="0"/>
              <w:spacing w:before="0" w:after="0"/>
              <w:jc w:val="center"/>
              <w:rPr>
                <w:spacing w:val="0"/>
              </w:rPr>
            </w:pPr>
            <w:r>
              <w:rPr>
                <w:spacing w:val="0"/>
              </w:rPr>
              <w:t xml:space="preserve">Recommendation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62" w:type="dxa"/>
            <w:tcBorders/>
            <w:tcMar>
              <w:bottom w:w="0" w:type="dxa"/>
            </w:tcMar>
            <w:vAlign w:val="center"/>
          </w:tcPr>
          <w:p>
            <w:pPr>
              <w:pStyle w:val="TableContents"/>
              <w:bidi w:val="0"/>
              <w:spacing w:before="0" w:after="0"/>
              <w:jc w:val="left"/>
              <w:rPr/>
            </w:pPr>
            <w:r>
              <w:rPr>
                <w:spacing w:val="0"/>
              </w:rPr>
              <w:t>PROPOSAL 1: Election of Directors</w:t>
            </w:r>
            <w:r>
              <w:rPr/>
              <w:t xml:space="preserve"> </w:t>
            </w:r>
          </w:p>
          <w:p>
            <w:pPr>
              <w:pStyle w:val="TableContents"/>
              <w:bidi w:val="0"/>
              <w:spacing w:before="120" w:after="283"/>
              <w:jc w:val="left"/>
              <w:rPr>
                <w:b w:val="false"/>
                <w:spacing w:val="-2"/>
              </w:rPr>
            </w:pPr>
            <w:r>
              <w:rPr>
                <w:b w:val="false"/>
                <w:spacing w:val="-2"/>
              </w:rPr>
              <w:t xml:space="preserve">We have nominated six directors for election for one-year terms expiring at the 2026 annual meeting of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bottom w:w="0" w:type="dxa"/>
            </w:tcMar>
            <w:vAlign w:val="center"/>
          </w:tcPr>
          <w:p>
            <w:pPr>
              <w:pStyle w:val="TableContents"/>
              <w:bidi w:val="0"/>
              <w:spacing w:before="0" w:after="0"/>
              <w:jc w:val="center"/>
              <w:rPr/>
            </w:pPr>
            <w:r>
              <w:rPr>
                <w:spacing w:val="-3"/>
              </w:rPr>
              <w:t xml:space="preserve">FOR ALL </w:t>
              <w:br/>
              <w:t xml:space="preserve">BOARD </w:t>
              <w:br/>
              <w:t>NOMINEES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662" w:type="dxa"/>
            <w:tcBorders/>
            <w:tcMar>
              <w:bottom w:w="0" w:type="dxa"/>
            </w:tcMar>
            <w:vAlign w:val="center"/>
          </w:tcPr>
          <w:p>
            <w:pPr>
              <w:pStyle w:val="TableContents"/>
              <w:bidi w:val="0"/>
              <w:spacing w:before="0" w:after="0"/>
              <w:jc w:val="left"/>
              <w:rPr>
                <w:b/>
              </w:rPr>
            </w:pPr>
            <w:r>
              <w:rPr>
                <w:b/>
                <w:spacing w:val="0"/>
              </w:rPr>
              <w:t>PROPOSAL 2: Ratification of the Appointment of Independent Registered Public Accounting Firm</w:t>
            </w:r>
            <w:r>
              <w:rPr>
                <w:b/>
              </w:rPr>
              <w:t xml:space="preserve"> </w:t>
            </w:r>
          </w:p>
          <w:p>
            <w:pPr>
              <w:pStyle w:val="TableContents"/>
              <w:bidi w:val="0"/>
              <w:spacing w:before="120" w:after="283"/>
              <w:jc w:val="left"/>
              <w:rPr>
                <w:spacing w:val="-2"/>
              </w:rPr>
            </w:pPr>
            <w:r>
              <w:rPr>
                <w:spacing w:val="-2"/>
              </w:rPr>
              <w:t xml:space="preserve">The Audit Committee of the Board (the “Audit Committee”) has selected Grant Thornton LLP as our independent registered public accounting firm for fiscal year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bottom w:w="0" w:type="dxa"/>
            </w:tcMar>
            <w:vAlign w:val="center"/>
          </w:tcPr>
          <w:p>
            <w:pPr>
              <w:pStyle w:val="TableContents"/>
              <w:bidi w:val="0"/>
              <w:spacing w:before="0" w:after="0"/>
              <w:jc w:val="center"/>
              <w:rPr>
                <w:b/>
              </w:rPr>
            </w:pPr>
            <w:r>
              <w:rPr>
                <w:b/>
                <w:spacing w:val="-3"/>
              </w:rPr>
              <w:t>FOR</w:t>
            </w:r>
            <w:r>
              <w:rPr>
                <w:b/>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662" w:type="dxa"/>
            <w:tcBorders/>
            <w:tcMar>
              <w:bottom w:w="0" w:type="dxa"/>
            </w:tcMar>
            <w:vAlign w:val="center"/>
          </w:tcPr>
          <w:p>
            <w:pPr>
              <w:pStyle w:val="TableContents"/>
              <w:bidi w:val="0"/>
              <w:spacing w:before="0" w:after="0"/>
              <w:jc w:val="left"/>
              <w:rPr>
                <w:b/>
              </w:rPr>
            </w:pPr>
            <w:r>
              <w:rPr>
                <w:b/>
                <w:spacing w:val="0"/>
              </w:rPr>
              <w:t>PROPOSAL 3: Advisory Vote to Approve Executive Compensation</w:t>
            </w:r>
            <w:r>
              <w:rPr>
                <w:b/>
              </w:rPr>
              <w:t xml:space="preserve"> </w:t>
            </w:r>
          </w:p>
          <w:p>
            <w:pPr>
              <w:pStyle w:val="TableContents"/>
              <w:bidi w:val="0"/>
              <w:spacing w:before="120" w:after="283"/>
              <w:jc w:val="left"/>
              <w:rPr>
                <w:spacing w:val="-2"/>
              </w:rPr>
            </w:pPr>
            <w:r>
              <w:rPr>
                <w:spacing w:val="-2"/>
              </w:rPr>
              <w:t xml:space="preserve">The Company is providing its stockholders with the opportunity to cast an advisory vote to approve the compensation of its named executive officers as disclosed pursuant to Item 402 of Regulation S-K, which includes the Compensation Discussion and Analysis, the compensation tables, and the narrative disclosures that accompany the compensation tables. The advisory vote to approve the executive compensation described in Proposal 3 is referred to as a “Say-on-Pay”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bottom w:w="0" w:type="dxa"/>
            </w:tcMar>
            <w:vAlign w:val="center"/>
          </w:tcPr>
          <w:p>
            <w:pPr>
              <w:pStyle w:val="TableContents"/>
              <w:bidi w:val="0"/>
              <w:spacing w:before="0" w:after="0"/>
              <w:jc w:val="center"/>
              <w:rPr>
                <w:b/>
              </w:rPr>
            </w:pPr>
            <w:r>
              <w:rPr>
                <w:b/>
                <w:spacing w:val="-3"/>
              </w:rPr>
              <w:t>FOR</w:t>
            </w:r>
            <w:r>
              <w:rPr>
                <w:b/>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Board is not aware of any other matters that may properly be brought before the meeting. If any other matters are properly presented at the Annual Meeting and you are a stockholder of record and have authorized a proxy to vote your shares, the persons named in the proxy card will have the discretion to vote on those matters for you.</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happens if I return an unmarked proxy card?</w:t>
      </w:r>
      <w:r>
        <w:rPr>
          <w:rFonts w:ascii="Arial;Helvetica;sans-serif" w:hAnsi="Arial;Helvetica;sans-serif"/>
          <w:b w:val="false"/>
          <w:i w:val="false"/>
          <w:caps w:val="false"/>
          <w:smallCaps w:val="false"/>
          <w:color w:val="000000"/>
          <w:spacing w:val="-2"/>
          <w:sz w:val="20"/>
        </w:rPr>
        <w:t>   Unless indicated otherwise on your proxy card, if you return your properly executed proxy card with no votes marked, your shares will be voted to elect all six nominees as directors, to approve the ratification of the appointment of Grant Thornton LLP as our independent registered public accounting firm for fiscal year 2025 and to approve our executive compensation as disclosed pursuant to Item 402 of Regulation S-K.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How many votes are needed to approve each of the proposals assuming a quorum is present at the Annual Meeting? </w:t>
      </w:r>
      <w:r>
        <w:rPr>
          <w:rFonts w:ascii="Arial;Helvetica;sans-serif" w:hAnsi="Arial;Helvetica;sans-serif"/>
          <w:b/>
          <w:i w:val="false"/>
          <w:caps w:val="false"/>
          <w:smallCaps w:val="false"/>
          <w:color w:val="000000"/>
          <w:spacing w:val="-3"/>
          <w:sz w:val="20"/>
        </w:rPr>
        <w: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1: Election of Directors</w:t>
      </w:r>
      <w:r>
        <w:rPr>
          <w:rFonts w:ascii="Arial;Helvetica;sans-serif" w:hAnsi="Arial;Helvetica;sans-serif"/>
          <w:b w:val="false"/>
          <w:i w:val="false"/>
          <w:caps w:val="false"/>
          <w:smallCaps w:val="false"/>
          <w:color w:val="000000"/>
          <w:spacing w:val="-2"/>
          <w:sz w:val="20"/>
        </w:rPr>
        <w:t>.   The vote of a majority of all votes cast for and against a nominee at a meeting at which a quorum is present is necessary for the election of a director. Abstentions and “broker non-votes” are not considered votes cast for the foregoing purpose, and will not affect the outcome of this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2: Ratification of Independent Registered Public Accounting Firm for 2025</w:t>
      </w:r>
      <w:r>
        <w:rPr>
          <w:rFonts w:ascii="Arial;Helvetica;sans-serif" w:hAnsi="Arial;Helvetica;sans-serif"/>
          <w:b w:val="false"/>
          <w:i w:val="false"/>
          <w:caps w:val="false"/>
          <w:smallCaps w:val="false"/>
          <w:color w:val="000000"/>
          <w:spacing w:val="-2"/>
          <w:sz w:val="20"/>
        </w:rPr>
        <w:t>.   The affirmative vote of a majority of all of the votes cast at a meeting at which a quorum is present is required for approval of the auditor ratification proposal. Abstentions are not considered votes cast for the foregoing purpose, and will not affect the outcome of this proposal. As described below, brokerage firms can vote your uninstructed shares on this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3: Advisory Vote to Approve Executive Compensation</w:t>
      </w:r>
      <w:r>
        <w:rPr>
          <w:rFonts w:ascii="Arial;Helvetica;sans-serif" w:hAnsi="Arial;Helvetica;sans-serif"/>
          <w:b w:val="false"/>
          <w:i w:val="false"/>
          <w:caps w:val="false"/>
          <w:smallCaps w:val="false"/>
          <w:color w:val="000000"/>
          <w:spacing w:val="-2"/>
          <w:sz w:val="20"/>
        </w:rPr>
        <w:t>.   The affirmative vote of a majority of all of the votes cast at a meeting at which a quorum is present is required for approval of the “Say-on-Pay proposal. Abstentions and broker non-votes are not considered votes cast for the foregoing purpose, and will not affect the outcome of this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is a “broker non-vote”?</w:t>
      </w:r>
      <w:r>
        <w:rPr>
          <w:rFonts w:ascii="Arial;Helvetica;sans-serif" w:hAnsi="Arial;Helvetica;sans-serif"/>
          <w:b w:val="false"/>
          <w:i w:val="false"/>
          <w:caps w:val="false"/>
          <w:smallCaps w:val="false"/>
          <w:color w:val="000000"/>
          <w:spacing w:val="-2"/>
          <w:sz w:val="20"/>
        </w:rPr>
        <w:t>   A “broker non-vote” occurs when a nominee holding shares for a beneficial owner does not vote on a particular proposal because the nominee does not have discretionary voting power for that particular item and has not received instructions from the beneficial owner. Your shares may be voted with respect to the auditor ratification proposal (Proposal 2) if the shares are held in the name of a brokerage firm, even if you do not provide the brokerage firm with voting instructions. Brokerage firms have the authority under the rules of the New York Stock Exchange (the “NYSE”) to cast votes on certain “routine” matters if they do not receive instructions from their customers. The auditor ratification proposal (Proposal 2) is considered a “routine” matter for which brokerage firms may vote shares for which they did not receive instructions from beneficial owners. All other proposals being considered and voted on by stockholders at the Annual Meeting are “non-routine” matters under the NYSE rules for which brokers may not vote absent voting instructions from the beneficial owner.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What does it mean if I receive more than one Internet Availability Notice?</w:t>
      </w:r>
      <w:r>
        <w:rPr>
          <w:rFonts w:ascii="Arial;Helvetica;sans-serif" w:hAnsi="Arial;Helvetica;sans-serif"/>
          <w:b w:val="false"/>
          <w:i w:val="false"/>
          <w:caps w:val="false"/>
          <w:smallCaps w:val="false"/>
          <w:color w:val="000000"/>
          <w:spacing w:val="-2"/>
          <w:sz w:val="20"/>
        </w:rPr>
        <w:t>   Some of our stockholders hold their shares in more than one account and may receive separate Internet Availability Notices for each of those accounts. If you receive more than one Internet Availability Notice, it means you own shares in multiple accounts with brokers and/or our transfer agent. To ensure that all of your shares are voted, please vote using each of the separate proxy voting instructions you receive. We recommend that you contact your broker and/or our transfer agent to consolidate as many accounts as possible under the same name and address. Our transfer agent is Computershare, which may be reached by telephone at 1-800-962-4284 or via their website at www.computershare.com/investor.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Whom should I call if I need copies of the proxy materials?</w:t>
      </w:r>
      <w:r>
        <w:rPr>
          <w:rFonts w:ascii="Arial;Helvetica;sans-serif" w:hAnsi="Arial;Helvetica;sans-serif"/>
          <w:b w:val="false"/>
          <w:i w:val="false"/>
          <w:caps w:val="false"/>
          <w:smallCaps w:val="false"/>
          <w:color w:val="000000"/>
          <w:spacing w:val="-2"/>
          <w:sz w:val="20"/>
        </w:rPr>
        <w:t>   If you would like to request a copy of the materials for this and/or future stockholder meetings, you may (i) visit www.edocumentview.com/CTO (ii) call 1-386-274-2202 or (iii) email CorporateSecretary@ctoreit.com. Unless requested you will not otherwise receive a paper or email copy of the meeting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Who pays for the solicitation of proxies and who participates in the solicitation of proxies?</w:t>
      </w:r>
      <w:r>
        <w:rPr>
          <w:rFonts w:ascii="Arial;Helvetica;sans-serif" w:hAnsi="Arial;Helvetica;sans-serif"/>
          <w:b w:val="false"/>
          <w:i w:val="false"/>
          <w:caps w:val="false"/>
          <w:smallCaps w:val="false"/>
          <w:color w:val="000000"/>
          <w:spacing w:val="-2"/>
          <w:sz w:val="20"/>
        </w:rPr>
        <w:t xml:space="preserve">    We will bear the cost of soliciting proxies by the Company, including the cost of preparation, assembly, printing and mailing. In addition to solicitation by mail, our directors, officers, employees, and agents may solicit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16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proxies by telephone, Internet, or otherwise. These directors, officers, employees, and agents will not be additionally compensated for the solicitation, but may be reimbursed for out-of-pocket expenses incurred in connection with the solicitation. Copies of solicitation materials will be furnished to brokerage firms, fiduciaries, and other custodians who hold shares of our common stock of record for beneficial owners for forwarding to such beneficial owners. We may also reimburse persons representing beneficial owners for their reasonable expenses incurred in forwarding such materials. Stockholders who authorize their proxies through the Internet should be aware that they may incur costs to access the Internet, such as usage charges from telephone companies or Internet service providers and these costs must be borne by the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May I access this year’s proxy statement and annual report over the Internet?</w:t>
      </w:r>
      <w:r>
        <w:rPr>
          <w:rFonts w:ascii="Arial;Helvetica;sans-serif" w:hAnsi="Arial;Helvetica;sans-serif"/>
          <w:b w:val="false"/>
          <w:i w:val="false"/>
          <w:caps w:val="false"/>
          <w:smallCaps w:val="false"/>
          <w:color w:val="000000"/>
          <w:spacing w:val="-2"/>
          <w:sz w:val="20"/>
        </w:rPr>
        <w:t>   This proxy statement and a copy of our Annual Report are available at https://www.edocumentview.com/CTO.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Where can I find the voting results of the Annual Meeting?</w:t>
      </w:r>
      <w:r>
        <w:rPr>
          <w:rFonts w:ascii="Arial;Helvetica;sans-serif" w:hAnsi="Arial;Helvetica;sans-serif"/>
          <w:b w:val="false"/>
          <w:i w:val="false"/>
          <w:caps w:val="false"/>
          <w:smallCaps w:val="false"/>
          <w:color w:val="000000"/>
          <w:spacing w:val="-2"/>
          <w:sz w:val="20"/>
        </w:rPr>
        <w:t>   We intend to disclose the voting results in a current report on Form 8-K within four business days after the Annual Meeting. If we first disclose preliminary voting results, the final voting results will be disclosed in an amendment to such Form 8-K within four business days after the final voting results are known. Both the Form 8-K and any amendment to such Form 8-K will be filed with the Securities and Exchange Commission (the “SEC”) and made available on our website at www.ctoreit.com.</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1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0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ELECTION OF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OUR BOARD RECOMMENDS THAT YOU VOTE “FOR” EACH OF THE BOARD’S SIX NOMINEES. IF NOT OTHERWISE SPECIFIED, PROXIES WILL BE VOTED “FOR” EACH OF THE BOARD’S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our 2024 annual meeting of stockholders (the “2024 Annual Meeting”), all six of the director candidates nominated by our Board were re-elected for one-year terms expiring at the Annual Meeting. The Board has determined that the Board will continue to be comprised of six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upon the recommendation of the Board of Directors’ Governance Committee (the “Governance Committee”), Ms. Franklin and Messrs. Albright, Brokaw, Drew, Gable and Haga have each been nominated by the Board to be re-elected to the Board for new one-year terms expiring at our 2026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of the Board’s nominees for election as directors are currently directors and have been re-nominated by the Board. Each of the Board’s nominees has consented in writing to being named in this proxy statement and indicated his or her willingness to serve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Unless otherwise specified when the proxy is appointed (whether by Internet, telephone or executed and returned proxy card), all proxies will be voted for the election of the persons named below who have been recommended to the Board by the Governance Committee as nominees for director. If any nominee should be unable to serve, which is not anticipated, the proxy will be voted for such other persons as shall be determined by the persons named in the proxy in accordance with their judgment.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2025 election of directors is an uncontested election, so the election of Ms. Franklin and Messrs. Albright, Brokaw, Drew, Gable and Haga will require that each director nominee receive a majority of all votes cast for and against that nominee (meaning the number of votes cast “for” the nominee must exceed the number of votes cast “against” that nominee). Abstentions and any broker non-votes are not considered votes cast for the foregoing purpose, and will not affect the outcome of this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Our Board of Directors recommends a vote “FOR” the election of Ms. Laura M. Franklin, and Messrs. John P. Albright, George R. Brokaw, Christopher J. Drew, R. Blakeslee Gable and Christopher W. Haga as directors.</w:t>
      </w:r>
      <w:r>
        <w:rPr>
          <w:rFonts w:ascii="Arial;Helvetica;sans-serif" w:hAnsi="Arial;Helvetica;sans-serif"/>
          <w:b w:val="false"/>
          <w:i w:val="false"/>
          <w:caps w:val="false"/>
          <w:smallCaps w:val="false"/>
          <w:color w:val="000000"/>
          <w:spacing w:val="-2"/>
          <w:sz w:val="20"/>
        </w:rPr>
        <w:t xml:space="preserve"> To vote for these nominees, please vote by telephone or over the Internet, or by requesting, completing and returning a proxy card, all as described in the Internet Availability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Biographical information regarding the Board’s director nominees standing for election, including business experience for at least the past five years, their age, the year they began serving as our director, and other public companies for which they have served on the board of directors in the past five years, is provided below. In addition, the experience, qualifications, attributes, and skills considered by the Governance Committee and our Board in determining to nominate the director nominees are provided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929"/>
        <w:gridCol w:w="109"/>
        <w:gridCol w:w="109"/>
        <w:gridCol w:w="638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53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NOMINEES STANDING FOR ELECTION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29" w:type="dxa"/>
            <w:tcBorders/>
            <w:tcMar>
              <w:bottom w:w="0" w:type="dxa"/>
            </w:tcMar>
            <w:vAlign w:val="center"/>
          </w:tcPr>
          <w:p>
            <w:pPr>
              <w:pStyle w:val="TableContents"/>
              <w:bidi w:val="0"/>
              <w:spacing w:before="0" w:after="0"/>
              <w:jc w:val="left"/>
              <w:rPr>
                <w:b/>
              </w:rPr>
            </w:pPr>
            <w:r>
              <w:rPr>
                <w:b/>
                <w:spacing w:val="-3"/>
              </w:rPr>
              <w:t>JOHN P. ALBRIGHT</w:t>
            </w:r>
            <w:r>
              <w:rPr>
                <w:b/>
              </w:rPr>
              <w:t xml:space="preserve"> </w:t>
              <w:br/>
            </w:r>
            <w:r>
              <w:rPr>
                <w:b w:val="false"/>
                <w:spacing w:val="-2"/>
              </w:rPr>
              <w:t xml:space="preserve">Age: </w:t>
            </w:r>
            <w:r>
              <w:rPr>
                <w:b/>
                <w:spacing w:val="-3"/>
              </w:rPr>
              <w:t>59</w:t>
            </w:r>
            <w:r>
              <w:rPr>
                <w:b/>
              </w:rPr>
              <w:t xml:space="preserve"> </w:t>
              <w:br/>
            </w:r>
            <w:r>
              <w:rPr>
                <w:b w:val="false"/>
                <w:spacing w:val="-2"/>
              </w:rPr>
              <w:t xml:space="preserve">Director Since: </w:t>
            </w:r>
            <w:r>
              <w:rPr>
                <w:b/>
                <w:spacing w:val="-3"/>
              </w:rPr>
              <w:t>2012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6" w:type="dxa"/>
            <w:tcBorders/>
            <w:tcMar>
              <w:bottom w:w="0" w:type="dxa"/>
            </w:tcMar>
            <w:vAlign w:val="center"/>
          </w:tcPr>
          <w:p>
            <w:pPr>
              <w:pStyle w:val="TableContents"/>
              <w:bidi w:val="0"/>
              <w:spacing w:before="0" w:after="0"/>
              <w:jc w:val="both"/>
              <w:rPr/>
            </w:pPr>
            <w:r>
              <w:rPr>
                <w:spacing w:val="-2"/>
              </w:rPr>
              <w:t>President and Chief Executive Officer of the Company since August 2011, and President and Chief Executive Officer of Alpine Income Property Trust, Inc. (NYSE: PINE) (“Alpine”), an affiliate of the Company, since 2019. Mr. Albright was previously the Co-Head and Managing Director of Archon Capital, a Goldman Sachs Company located in Irving, Texas. Prior to that, he was the Executive Director, Merchant Banking-Investment Management for Morgan Stanley. Prior to Morgan Stanley, Mr. Albright was Managing Director and Officer of Crescent Real Estate Equities, a publicly traded REIT based in Fort Worth, Texas. His experience involves various aspects of investment, lending, and development of commercial properties, as well as real estate investment banking.</w:t>
            </w:r>
            <w:r>
              <w:rPr/>
              <w:t xml:space="preserve"> </w:t>
            </w:r>
          </w:p>
          <w:p>
            <w:pPr>
              <w:pStyle w:val="TableContents"/>
              <w:bidi w:val="0"/>
              <w:spacing w:before="120" w:after="283"/>
              <w:jc w:val="both"/>
              <w:rPr>
                <w:spacing w:val="-2"/>
              </w:rPr>
            </w:pPr>
            <w:r>
              <w:rPr>
                <w:spacing w:val="-2"/>
              </w:rPr>
              <w:t xml:space="preserve">Mr. Albright is a graduate of Southern Methodist University with a B.A. in Business Administration.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29" w:type="dxa"/>
            <w:tcBorders/>
            <w:tcMar>
              <w:bottom w:w="0" w:type="dxa"/>
            </w:tcMar>
            <w:vAlign w:val="center"/>
          </w:tcPr>
          <w:p>
            <w:pPr>
              <w:pStyle w:val="TableContents"/>
              <w:bidi w:val="0"/>
              <w:spacing w:before="0" w:after="0"/>
              <w:jc w:val="left"/>
              <w:rPr>
                <w:b/>
              </w:rPr>
            </w:pPr>
            <w:r>
              <w:rPr>
                <w:b/>
                <w:spacing w:val="-3"/>
              </w:rPr>
              <w:t>GEORGE R. BROKAW</w:t>
            </w:r>
            <w:r>
              <w:rPr>
                <w:b/>
              </w:rPr>
              <w:t xml:space="preserve"> </w:t>
              <w:br/>
            </w:r>
            <w:r>
              <w:rPr>
                <w:b w:val="false"/>
                <w:spacing w:val="-2"/>
              </w:rPr>
              <w:t xml:space="preserve">Age: </w:t>
            </w:r>
            <w:r>
              <w:rPr>
                <w:b/>
                <w:spacing w:val="-3"/>
              </w:rPr>
              <w:t>57</w:t>
            </w:r>
            <w:r>
              <w:rPr>
                <w:b/>
              </w:rPr>
              <w:t xml:space="preserve"> </w:t>
              <w:br/>
            </w:r>
            <w:r>
              <w:rPr>
                <w:b w:val="false"/>
                <w:spacing w:val="-2"/>
              </w:rPr>
              <w:t xml:space="preserve">Director Since: </w:t>
            </w:r>
            <w:r>
              <w:rPr>
                <w:b/>
                <w:spacing w:val="-3"/>
              </w:rPr>
              <w:t>2018</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6" w:type="dxa"/>
            <w:tcBorders/>
            <w:tcMar>
              <w:bottom w:w="0" w:type="dxa"/>
            </w:tcMar>
            <w:vAlign w:val="center"/>
          </w:tcPr>
          <w:p>
            <w:pPr>
              <w:pStyle w:val="TableContents"/>
              <w:bidi w:val="0"/>
              <w:spacing w:before="0" w:after="0"/>
              <w:jc w:val="both"/>
              <w:rPr/>
            </w:pPr>
            <w:r>
              <w:rPr>
                <w:spacing w:val="-2"/>
              </w:rPr>
              <w:t>Mr. Brokaw is currently a private investor through his family office and related investment vehicles.</w:t>
            </w:r>
            <w:r>
              <w:rPr/>
              <w:t xml:space="preserve"> </w:t>
            </w:r>
          </w:p>
          <w:p>
            <w:pPr>
              <w:pStyle w:val="TableContents"/>
              <w:bidi w:val="0"/>
              <w:spacing w:before="120" w:after="283"/>
              <w:jc w:val="both"/>
              <w:rPr/>
            </w:pPr>
            <w:r>
              <w:rPr>
                <w:spacing w:val="-2"/>
              </w:rPr>
              <w:t>Mr. Brokaw also serves as a director of EchoStar Corporation (NASDAQ: SATS), where he is currently chairman of the audit committee and a member of the compensation committee. He also serves as a director of Alico, Inc. (NASDAQ: ALCO) and The Chemours Company (NYSE: CC). Mr. Brokaw has previously served on numerous other public company boards. He also previously served as Managing Director of the Highbridge Growth Equity Fund at Highbridge Principal Strategies, LLC, from 2012 to 2013; Managing Director and Head of Private Equity at Perry Capital, L.L.C., from 2005 to 2011; and Managing Director (Mergers &amp; Acquisitions) of Lazard Freres &amp; Co. LLC, from 1996 to 2005.</w:t>
            </w:r>
            <w:r>
              <w:rPr/>
              <w:t xml:space="preserve"> </w:t>
            </w:r>
          </w:p>
          <w:p>
            <w:pPr>
              <w:pStyle w:val="TableContents"/>
              <w:bidi w:val="0"/>
              <w:spacing w:before="120" w:after="283"/>
              <w:jc w:val="both"/>
              <w:rPr/>
            </w:pPr>
            <w:r>
              <w:rPr>
                <w:spacing w:val="-2"/>
              </w:rPr>
              <w:t>Mr. Brokaw received a B.A. degree from Yale University and J.D. and M.B.A. degrees from the University of Virginia. Mr. Brokaw is a member of the New York Bar.</w:t>
            </w:r>
            <w:r>
              <w:rPr/>
              <w:t xml:space="preserve"> </w:t>
            </w:r>
          </w:p>
          <w:p>
            <w:pPr>
              <w:pStyle w:val="TableContents"/>
              <w:bidi w:val="0"/>
              <w:spacing w:before="120" w:after="283"/>
              <w:jc w:val="both"/>
              <w:rPr/>
            </w:pPr>
            <w:r>
              <w:rPr>
                <w:spacing w:val="-2"/>
              </w:rPr>
              <w:t>Mr. Brokaw is a member of the Audit and Compensation Committees.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29" w:type="dxa"/>
            <w:tcBorders/>
            <w:tcMar>
              <w:bottom w:w="0" w:type="dxa"/>
            </w:tcMar>
            <w:vAlign w:val="center"/>
          </w:tcPr>
          <w:p>
            <w:pPr>
              <w:pStyle w:val="TableContents"/>
              <w:bidi w:val="0"/>
              <w:spacing w:before="0" w:after="0"/>
              <w:jc w:val="left"/>
              <w:rPr>
                <w:b/>
              </w:rPr>
            </w:pPr>
            <w:r>
              <w:rPr>
                <w:b/>
                <w:spacing w:val="-3"/>
              </w:rPr>
              <w:t>CHRISTOPHER J. DREW</w:t>
            </w:r>
            <w:r>
              <w:rPr>
                <w:b/>
              </w:rPr>
              <w:t xml:space="preserve"> </w:t>
              <w:br/>
            </w:r>
            <w:r>
              <w:rPr>
                <w:b w:val="false"/>
                <w:spacing w:val="-2"/>
              </w:rPr>
              <w:t xml:space="preserve">Age: </w:t>
            </w:r>
            <w:r>
              <w:rPr>
                <w:b/>
                <w:spacing w:val="-3"/>
              </w:rPr>
              <w:t>44</w:t>
            </w:r>
            <w:r>
              <w:rPr>
                <w:b/>
              </w:rPr>
              <w:t xml:space="preserve"> </w:t>
              <w:br/>
            </w:r>
            <w:r>
              <w:rPr>
                <w:b w:val="false"/>
                <w:spacing w:val="-2"/>
              </w:rPr>
              <w:t xml:space="preserve">Director Since: </w:t>
            </w:r>
            <w:r>
              <w:rPr>
                <w:b/>
                <w:spacing w:val="-3"/>
              </w:rPr>
              <w:t>2022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6" w:type="dxa"/>
            <w:tcBorders/>
            <w:tcMar>
              <w:bottom w:w="0" w:type="dxa"/>
            </w:tcMar>
            <w:vAlign w:val="center"/>
          </w:tcPr>
          <w:p>
            <w:pPr>
              <w:pStyle w:val="TableContents"/>
              <w:bidi w:val="0"/>
              <w:spacing w:before="0" w:after="0"/>
              <w:jc w:val="both"/>
              <w:rPr>
                <w:spacing w:val="-2"/>
              </w:rPr>
            </w:pPr>
            <w:r>
              <w:rPr>
                <w:spacing w:val="-2"/>
              </w:rPr>
              <w:t xml:space="preserve">Mr. Drew is currently Senior Managing Director of JLL Capital Markets, Americas (an affiliate of Jones Lang LaSalle Inc. (NYSE: JLL)) and Co-Head of JLL’s Miami Office. Mr. Drew brings over two decades of invaluable experience to this role. His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492"/>
        <w:gridCol w:w="109"/>
        <w:gridCol w:w="109"/>
        <w:gridCol w:w="682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53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NOMINEES STANDING FOR ELECTION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23" w:type="dxa"/>
            <w:tcBorders/>
            <w:tcMar>
              <w:bottom w:w="0" w:type="dxa"/>
            </w:tcMar>
            <w:vAlign w:val="center"/>
          </w:tcPr>
          <w:p>
            <w:pPr>
              <w:pStyle w:val="TableContents"/>
              <w:bidi w:val="0"/>
              <w:spacing w:before="0" w:after="0"/>
              <w:jc w:val="both"/>
              <w:rPr/>
            </w:pPr>
            <w:r>
              <w:rPr>
                <w:spacing w:val="-2"/>
              </w:rPr>
              <w:t>expertise in Debt and Equity Placement, coupled with his leadership of the Miami office and service on the Expanded Executive Committee positions him as a key figure in the organization. Spearheading the Miami Debt and Equity Placement team, Mr. Drew not only drives successful deal execution but also plays a crucial role in shaping operational strategies. His comprehensive knowledge spans a diverse array of financing options for real estate assets nationwide, including joint venture equity, preferred equity, mezzanine financing, and senior-level financing. Throughout his career, Mr. Drew has successfully completed over $10 billion in transactions.</w:t>
            </w:r>
            <w:r>
              <w:rPr/>
              <w:t xml:space="preserve"> </w:t>
            </w:r>
          </w:p>
          <w:p>
            <w:pPr>
              <w:pStyle w:val="TableContents"/>
              <w:bidi w:val="0"/>
              <w:spacing w:before="120" w:after="283"/>
              <w:jc w:val="both"/>
              <w:rPr/>
            </w:pPr>
            <w:r>
              <w:rPr>
                <w:spacing w:val="-2"/>
              </w:rPr>
              <w:t>Prior to joining JLL, Mr. Drew held senior finance and leadership positions at renowned firms such as HFF and Cushman &amp; Wakefield. He holds an MBA and a Bachelor of Business Administration in Management degree from the University of Miami.</w:t>
            </w:r>
            <w:r>
              <w:rPr/>
              <w:t xml:space="preserve"> </w:t>
            </w:r>
          </w:p>
          <w:p>
            <w:pPr>
              <w:pStyle w:val="TableContents"/>
              <w:bidi w:val="0"/>
              <w:spacing w:before="120" w:after="283"/>
              <w:jc w:val="both"/>
              <w:rPr>
                <w:spacing w:val="-2"/>
              </w:rPr>
            </w:pPr>
            <w:r>
              <w:rPr>
                <w:spacing w:val="-2"/>
              </w:rPr>
              <w:t xml:space="preserve">Mr. Drew is a member of the Compensation and Governance Committees.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92" w:type="dxa"/>
            <w:tcBorders/>
            <w:tcMar>
              <w:bottom w:w="0" w:type="dxa"/>
            </w:tcMar>
            <w:vAlign w:val="center"/>
          </w:tcPr>
          <w:p>
            <w:pPr>
              <w:pStyle w:val="TableContents"/>
              <w:bidi w:val="0"/>
              <w:spacing w:before="0" w:after="0"/>
              <w:jc w:val="left"/>
              <w:rPr>
                <w:b/>
              </w:rPr>
            </w:pPr>
            <w:r>
              <w:rPr>
                <w:b/>
                <w:spacing w:val="-3"/>
              </w:rPr>
              <w:t>LAURA M. FRANKLIN</w:t>
            </w:r>
            <w:r>
              <w:rPr>
                <w:b/>
              </w:rPr>
              <w:t xml:space="preserve"> </w:t>
              <w:br/>
            </w:r>
            <w:r>
              <w:rPr>
                <w:b w:val="false"/>
                <w:spacing w:val="-2"/>
              </w:rPr>
              <w:t xml:space="preserve">Age: </w:t>
            </w:r>
            <w:r>
              <w:rPr>
                <w:b/>
                <w:spacing w:val="-3"/>
              </w:rPr>
              <w:t>64</w:t>
            </w:r>
            <w:r>
              <w:rPr>
                <w:b/>
              </w:rPr>
              <w:t xml:space="preserve"> </w:t>
              <w:br/>
            </w:r>
            <w:r>
              <w:rPr>
                <w:b w:val="false"/>
                <w:spacing w:val="-2"/>
              </w:rPr>
              <w:t xml:space="preserve">Director Since: </w:t>
            </w:r>
            <w:r>
              <w:rPr>
                <w:b/>
                <w:spacing w:val="-3"/>
              </w:rPr>
              <w:t>2016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23" w:type="dxa"/>
            <w:tcBorders/>
            <w:tcMar>
              <w:bottom w:w="0" w:type="dxa"/>
            </w:tcMar>
            <w:vAlign w:val="center"/>
          </w:tcPr>
          <w:p>
            <w:pPr>
              <w:pStyle w:val="TableContents"/>
              <w:bidi w:val="0"/>
              <w:spacing w:before="0" w:after="0"/>
              <w:jc w:val="both"/>
              <w:rPr/>
            </w:pPr>
            <w:r>
              <w:rPr>
                <w:spacing w:val="-2"/>
              </w:rPr>
              <w:t>Chairman of the Board of the Company since May 2017. Former (Retired) Executive Vice President, Accounting and Administration and Corporate Secretary of Washington Real Estate Investment Trust (now Elme Communities) and, since 2017, a member of the Board of Directors of The Chevy Chase Land Company, a private mixed-use commercial real estate company in Chevy Chase, Maryland.</w:t>
            </w:r>
            <w:r>
              <w:rPr/>
              <w:t xml:space="preserve"> </w:t>
            </w:r>
          </w:p>
          <w:p>
            <w:pPr>
              <w:pStyle w:val="TableContents"/>
              <w:bidi w:val="0"/>
              <w:spacing w:before="120" w:after="283"/>
              <w:jc w:val="both"/>
              <w:rPr>
                <w:spacing w:val="-2"/>
              </w:rPr>
            </w:pPr>
            <w:r>
              <w:rPr>
                <w:spacing w:val="-2"/>
              </w:rPr>
              <w:t xml:space="preserve">Ms. Franklin is a graduate of University of Maryland with a B.S. in Accounting and is a Certified Public Accountant. During her 22-year tenure at Washington REIT, she led the financial, human capital and information technology (IT) functions including Accounting, Tax, SEC Reporting, Treasury, Human Resources and IT. As an executive, she played a key role in strategic planning as well as worked closely with the chairmen of the compensation and audit committees. Prior to joining Washington REIT, she was employed by the public accounting firm, CohnReznick (formerly The Reznick Group), specializing in audit and tax services for real estate clients. Ms. Franklin is a member of the American Institute of Certified Public Accountants (AICPA).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929"/>
        <w:gridCol w:w="109"/>
        <w:gridCol w:w="109"/>
        <w:gridCol w:w="638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53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NOMINEES STANDING FOR ELECTION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29" w:type="dxa"/>
            <w:tcBorders/>
            <w:tcMar>
              <w:bottom w:w="0" w:type="dxa"/>
            </w:tcMar>
            <w:vAlign w:val="center"/>
          </w:tcPr>
          <w:p>
            <w:pPr>
              <w:pStyle w:val="TableContents"/>
              <w:bidi w:val="0"/>
              <w:spacing w:before="0" w:after="0"/>
              <w:jc w:val="left"/>
              <w:rPr>
                <w:b/>
              </w:rPr>
            </w:pPr>
            <w:r>
              <w:rPr>
                <w:b/>
                <w:spacing w:val="-3"/>
              </w:rPr>
              <w:t>R. BLAKESLEE GABLE</w:t>
            </w:r>
            <w:r>
              <w:rPr>
                <w:b/>
              </w:rPr>
              <w:t xml:space="preserve"> </w:t>
              <w:br/>
            </w:r>
            <w:r>
              <w:rPr>
                <w:b w:val="false"/>
                <w:spacing w:val="-2"/>
              </w:rPr>
              <w:t xml:space="preserve">Age: </w:t>
            </w:r>
            <w:r>
              <w:rPr>
                <w:b/>
                <w:spacing w:val="-3"/>
              </w:rPr>
              <w:t>54</w:t>
            </w:r>
            <w:r>
              <w:rPr>
                <w:b/>
              </w:rPr>
              <w:t xml:space="preserve"> </w:t>
              <w:br/>
            </w:r>
            <w:r>
              <w:rPr>
                <w:b w:val="false"/>
                <w:spacing w:val="-2"/>
              </w:rPr>
              <w:t xml:space="preserve">Director Since: </w:t>
            </w:r>
            <w:r>
              <w:rPr>
                <w:b/>
                <w:spacing w:val="-3"/>
              </w:rPr>
              <w:t>2018</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6" w:type="dxa"/>
            <w:tcBorders/>
            <w:tcMar>
              <w:bottom w:w="0" w:type="dxa"/>
            </w:tcMar>
            <w:vAlign w:val="center"/>
          </w:tcPr>
          <w:p>
            <w:pPr>
              <w:pStyle w:val="TableContents"/>
              <w:bidi w:val="0"/>
              <w:spacing w:before="0" w:after="0"/>
              <w:jc w:val="both"/>
              <w:rPr/>
            </w:pPr>
            <w:r>
              <w:rPr>
                <w:spacing w:val="-2"/>
              </w:rPr>
              <w:t>Chief Executive Officer of Barron Collier Companies, a fourth-generation private investment, agriculture, and land development company based in Naples, Florida, which he joined in 1999. As CEO, Mr. Gable oversees a team of 200 employees, over 2.5 million square feet of commercial properties, and private land holdings of more than 80,000 acres. Prior to becoming CEO, he served in various leadership roles, including project manager during the establishment of the new hometown, Ave Maria, Florida; and vice president of mineral management and real estate.</w:t>
            </w:r>
            <w:r>
              <w:rPr/>
              <w:t xml:space="preserve"> </w:t>
            </w:r>
          </w:p>
          <w:p>
            <w:pPr>
              <w:pStyle w:val="TableContents"/>
              <w:bidi w:val="0"/>
              <w:spacing w:before="120" w:after="283"/>
              <w:jc w:val="both"/>
              <w:rPr/>
            </w:pPr>
            <w:r>
              <w:rPr>
                <w:spacing w:val="-2"/>
              </w:rPr>
              <w:t>Mr. Gable is a graduate of Tulane University with a B.A. in History. For five years after having received his undergraduate degree, Mr. Gable was Legislative Director of United States Representative Ed Pastor (AZ) in Washington, D.C. Upon moving back to Florida, he received a Master’s degree in Business Administration from the Executive MBA program of Florida Gulf Coast University. Mr. Gable currently sits on the Board at Naples Community Hospital, a local not-for-profit healthcare system, and is Chair of the Greater Naples Chamber, a nonprofit organization that works to strengthen the local economy and promote the business community. He previously served as Chairperson of the Florida Gulf Coast University Board of Trustees. He has also served on the Board of Enterprise Florida, as a Trustee of the area YMCA, and as a Director of The Immokalee Foundation.</w:t>
            </w:r>
            <w:r>
              <w:rPr/>
              <w:t xml:space="preserve"> </w:t>
            </w:r>
          </w:p>
          <w:p>
            <w:pPr>
              <w:pStyle w:val="TableContents"/>
              <w:bidi w:val="0"/>
              <w:spacing w:before="120" w:after="283"/>
              <w:jc w:val="both"/>
              <w:rPr>
                <w:spacing w:val="-2"/>
              </w:rPr>
            </w:pPr>
            <w:r>
              <w:rPr>
                <w:spacing w:val="-2"/>
              </w:rPr>
              <w:t xml:space="preserve">Mr. Gable is a member of the Audit and Governance Committees.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29" w:type="dxa"/>
            <w:tcBorders/>
            <w:tcMar>
              <w:bottom w:w="0" w:type="dxa"/>
            </w:tcMar>
            <w:vAlign w:val="center"/>
          </w:tcPr>
          <w:p>
            <w:pPr>
              <w:pStyle w:val="TableContents"/>
              <w:bidi w:val="0"/>
              <w:spacing w:before="0" w:after="0"/>
              <w:jc w:val="left"/>
              <w:rPr>
                <w:b/>
              </w:rPr>
            </w:pPr>
            <w:r>
              <w:rPr>
                <w:b/>
                <w:spacing w:val="-3"/>
              </w:rPr>
              <w:t>CHRISTOPHER W. HAGA</w:t>
            </w:r>
            <w:r>
              <w:rPr>
                <w:b/>
              </w:rPr>
              <w:t xml:space="preserve"> </w:t>
              <w:br/>
            </w:r>
            <w:r>
              <w:rPr>
                <w:b w:val="false"/>
                <w:spacing w:val="-2"/>
              </w:rPr>
              <w:t xml:space="preserve">Age: </w:t>
            </w:r>
            <w:r>
              <w:rPr>
                <w:b/>
                <w:spacing w:val="-3"/>
              </w:rPr>
              <w:t>57</w:t>
            </w:r>
            <w:r>
              <w:rPr>
                <w:b/>
              </w:rPr>
              <w:t xml:space="preserve"> </w:t>
              <w:br/>
            </w:r>
            <w:r>
              <w:rPr>
                <w:b w:val="false"/>
                <w:spacing w:val="-2"/>
              </w:rPr>
              <w:t xml:space="preserve">Director Since: </w:t>
            </w:r>
            <w:r>
              <w:rPr>
                <w:b/>
                <w:spacing w:val="-3"/>
              </w:rPr>
              <w:t>2017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6" w:type="dxa"/>
            <w:tcBorders/>
            <w:tcMar>
              <w:bottom w:w="0" w:type="dxa"/>
            </w:tcMar>
            <w:vAlign w:val="center"/>
          </w:tcPr>
          <w:p>
            <w:pPr>
              <w:pStyle w:val="TableContents"/>
              <w:bidi w:val="0"/>
              <w:spacing w:before="0" w:after="0"/>
              <w:jc w:val="both"/>
              <w:rPr/>
            </w:pPr>
            <w:r>
              <w:rPr>
                <w:spacing w:val="-2"/>
              </w:rPr>
              <w:t>Mr. Haga is currently an Operating Partner at MGG Investment Group, a direct lending and private equity investment firm, a position he has held since November 2022. He also serves as Chairman of MGG RMC SPV LLC, the holding company for the manager of Citizens United Reciprocal Exchange, an insurance provider offering property and casualty insurance products, since January 2023.</w:t>
            </w:r>
            <w:r>
              <w:rPr/>
              <w:t xml:space="preserve"> </w:t>
            </w:r>
          </w:p>
          <w:p>
            <w:pPr>
              <w:pStyle w:val="TableContents"/>
              <w:bidi w:val="0"/>
              <w:spacing w:before="120" w:after="283"/>
              <w:jc w:val="both"/>
              <w:rPr>
                <w:spacing w:val="-2"/>
              </w:rPr>
            </w:pPr>
            <w:r>
              <w:rPr>
                <w:spacing w:val="-2"/>
              </w:rPr>
              <w:t xml:space="preserve">Mr. Haga has over 25 years of experience in finance and investments, including over 20 years of managing risk in traded credit and private debt and equity. Mr. Haga served as a director for Fortress Value Acquisition Corp. III (NYSE: FVT), a special purpose acquisition company, from December 2021 to November 2022. In addition, Mr. Haga served as Head of Strategic Investments with Carlson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820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534"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2"/>
              </w:rPr>
            </w:pPr>
            <w:r>
              <w:rPr>
                <w:spacing w:val="-2"/>
              </w:rPr>
              <w:t xml:space="preserve">NOMINEES STANDING FOR ELECTION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07" w:type="dxa"/>
            <w:tcBorders/>
            <w:tcMar>
              <w:bottom w:w="0" w:type="dxa"/>
            </w:tcMar>
            <w:vAlign w:val="center"/>
          </w:tcPr>
          <w:p>
            <w:pPr>
              <w:pStyle w:val="TableContents"/>
              <w:bidi w:val="0"/>
              <w:spacing w:before="0" w:after="0"/>
              <w:jc w:val="both"/>
              <w:rPr/>
            </w:pPr>
            <w:r>
              <w:rPr>
                <w:spacing w:val="-2"/>
              </w:rPr>
              <w:t>Capital, L.P., an alternative asset management firm, from 2003 to 2020. Mr. Haga has also served on a number of public and private company boards, including as chairman of the board of directors for Barbican Group Holdings Limited, a Lloyd’s-based reinsurance group, from 2007 to 2019, and the board of SWK Holdings Corporation (OTC: SWKH), a public company, from 2014 to 2021. Prior to his tenure at Carlson, he spent five years in London with Lehman Brothers, primarily in the structured finance department. He has also been an investment banker or principal investor at RBC Capital Markets, Stephens &amp; Co. and Alex. Brown &amp; Sons.</w:t>
            </w:r>
            <w:r>
              <w:rPr/>
              <w:t xml:space="preserve"> </w:t>
            </w:r>
          </w:p>
          <w:p>
            <w:pPr>
              <w:pStyle w:val="TableContents"/>
              <w:bidi w:val="0"/>
              <w:spacing w:before="120" w:after="283"/>
              <w:jc w:val="both"/>
              <w:rPr/>
            </w:pPr>
            <w:r>
              <w:rPr>
                <w:spacing w:val="-2"/>
              </w:rPr>
              <w:t>Mr. Haga is a graduate of the University of North Carolina at Chapel Hill with a B.S. in Business Administration, and also received an M.B.A. from the Darden School at the University of Virginia.</w:t>
            </w:r>
            <w:r>
              <w:rPr/>
              <w:t xml:space="preserve"> </w:t>
            </w:r>
          </w:p>
          <w:p>
            <w:pPr>
              <w:pStyle w:val="TableContents"/>
              <w:bidi w:val="0"/>
              <w:spacing w:before="120" w:after="283"/>
              <w:jc w:val="both"/>
              <w:rPr/>
            </w:pPr>
            <w:r>
              <w:rPr>
                <w:spacing w:val="-2"/>
              </w:rPr>
              <w:t>Mr. Haga is a member of the Audit, Compensation and Governance Committees.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are no family relationships among our directors or executive officers.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DCF2"/>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COMPENSATION FOR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shows the annual compensation paid to non-employee directors for services performed in the fiscal year ended December 31, 2024:</w:t>
      </w:r>
      <w:r>
        <w:rPr>
          <w:rFonts w:ascii="Arial;Helvetica;sans-serif" w:hAnsi="Arial;Helvetica;sans-serif"/>
          <w:b w:val="false"/>
          <w:i w:val="false"/>
          <w:caps w:val="false"/>
          <w:smallCaps w:val="false"/>
          <w:color w:val="000000"/>
          <w:spacing w:val="4"/>
          <w:sz w:val="20"/>
        </w:rPr>
        <w:t xml:space="preserve"> </w:t>
      </w:r>
    </w:p>
    <w:tbl>
      <w:tblPr>
        <w:tblW w:w="8538" w:type="dxa"/>
        <w:jc w:val="left"/>
        <w:tblInd w:w="1393" w:type="dxa"/>
        <w:tblLayout w:type="fixed"/>
        <w:tblCellMar>
          <w:top w:w="0" w:type="dxa"/>
          <w:left w:w="0" w:type="dxa"/>
          <w:bottom w:w="43" w:type="dxa"/>
          <w:right w:w="0" w:type="dxa"/>
        </w:tblCellMar>
      </w:tblPr>
      <w:tblGrid>
        <w:gridCol w:w="3481"/>
        <w:gridCol w:w="109"/>
        <w:gridCol w:w="109"/>
        <w:gridCol w:w="130"/>
        <w:gridCol w:w="270"/>
        <w:gridCol w:w="1059"/>
        <w:gridCol w:w="130"/>
        <w:gridCol w:w="109"/>
        <w:gridCol w:w="109"/>
        <w:gridCol w:w="109"/>
        <w:gridCol w:w="226"/>
        <w:gridCol w:w="886"/>
        <w:gridCol w:w="109"/>
        <w:gridCol w:w="109"/>
        <w:gridCol w:w="109"/>
        <w:gridCol w:w="109"/>
        <w:gridCol w:w="226"/>
        <w:gridCol w:w="886"/>
        <w:gridCol w:w="109"/>
        <w:gridCol w:w="154"/>
      </w:tblGrid>
      <w:tr>
        <w:trPr/>
        <w:tc>
          <w:tcPr>
            <w:tcW w:w="3481"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9"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Fees Earned or </w:t>
              <w:br/>
              <w:t>Paid in Cash</w:t>
            </w:r>
            <w:r>
              <w:rPr/>
              <w:t xml:space="preserve"> </w:t>
              <w:br/>
            </w:r>
            <w:r>
              <w:rPr>
                <w:spacing w:val="-2"/>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Stock </w:t>
              <w:br/>
              <w:t>Awards</w:t>
            </w:r>
            <w:r>
              <w:rPr/>
              <w:t xml:space="preserve"> </w:t>
              <w:br/>
            </w:r>
            <w:r>
              <w:rPr>
                <w:spacing w:val="-2"/>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81" w:type="dxa"/>
            <w:tcBorders/>
            <w:shd w:fill="CCEEFF" w:val="clear"/>
            <w:tcMar>
              <w:bottom w:w="0" w:type="dxa"/>
            </w:tcMar>
            <w:vAlign w:val="center"/>
          </w:tcPr>
          <w:p>
            <w:pPr>
              <w:pStyle w:val="TableContents"/>
              <w:bidi w:val="0"/>
              <w:spacing w:before="0" w:after="0"/>
              <w:jc w:val="left"/>
              <w:rPr>
                <w:spacing w:val="-2"/>
              </w:rPr>
            </w:pPr>
            <w:r>
              <w:rPr>
                <w:spacing w:val="-2"/>
              </w:rPr>
              <w:t xml:space="preserve">George R. Brokaw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0"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79,968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142,460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81" w:type="dxa"/>
            <w:tcBorders/>
            <w:tcMar>
              <w:bottom w:w="0" w:type="dxa"/>
            </w:tcMar>
            <w:vAlign w:val="center"/>
          </w:tcPr>
          <w:p>
            <w:pPr>
              <w:pStyle w:val="TableContents"/>
              <w:bidi w:val="0"/>
              <w:spacing w:before="0" w:after="0"/>
              <w:jc w:val="left"/>
              <w:rPr>
                <w:spacing w:val="-2"/>
              </w:rPr>
            </w:pPr>
            <w:r>
              <w:rPr>
                <w:spacing w:val="-2"/>
              </w:rPr>
              <w:t xml:space="preserve">Christopher J. Drew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0"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64,965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127,457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81" w:type="dxa"/>
            <w:tcBorders/>
            <w:shd w:fill="CCEEFF" w:val="clear"/>
            <w:tcMar>
              <w:bottom w:w="0" w:type="dxa"/>
            </w:tcMar>
            <w:vAlign w:val="center"/>
          </w:tcPr>
          <w:p>
            <w:pPr>
              <w:pStyle w:val="TableContents"/>
              <w:bidi w:val="0"/>
              <w:spacing w:before="0" w:after="0"/>
              <w:jc w:val="left"/>
              <w:rPr>
                <w:spacing w:val="-2"/>
              </w:rPr>
            </w:pPr>
            <w:r>
              <w:rPr>
                <w:spacing w:val="-2"/>
              </w:rPr>
              <w:t xml:space="preserve">Laura M. Franklin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0"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147,478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209,970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81" w:type="dxa"/>
            <w:tcBorders/>
            <w:tcMar>
              <w:bottom w:w="0" w:type="dxa"/>
            </w:tcMar>
            <w:vAlign w:val="center"/>
          </w:tcPr>
          <w:p>
            <w:pPr>
              <w:pStyle w:val="TableContents"/>
              <w:bidi w:val="0"/>
              <w:spacing w:before="0" w:after="0"/>
              <w:jc w:val="left"/>
              <w:rPr>
                <w:spacing w:val="-2"/>
              </w:rPr>
            </w:pPr>
            <w:r>
              <w:rPr>
                <w:spacing w:val="-2"/>
              </w:rPr>
              <w:t xml:space="preserve">R. Blakeslee Gable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0"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76,214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138,706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81"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Christopher W. Haga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7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59" w:type="dxa"/>
            <w:tcBorders>
              <w:bottom w:val="single" w:sz="2" w:space="0" w:color="000000"/>
            </w:tcBorders>
            <w:shd w:fill="CCEEFF" w:val="clear"/>
            <w:tcMar>
              <w:bottom w:w="50" w:type="dxa"/>
            </w:tcMar>
            <w:vAlign w:val="center"/>
          </w:tcPr>
          <w:p>
            <w:pPr>
              <w:pStyle w:val="TableContents"/>
              <w:bidi w:val="0"/>
              <w:spacing w:before="0" w:after="283"/>
              <w:jc w:val="right"/>
              <w:rPr/>
            </w:pPr>
            <w:r>
              <w:rPr/>
              <w:t>83,706</w:t>
            </w:r>
          </w:p>
        </w:tc>
        <w:tc>
          <w:tcPr>
            <w:tcW w:w="13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62,492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146,198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81" w:type="dxa"/>
            <w:tcBorders/>
            <w:tcMar>
              <w:bottom w:w="0" w:type="dxa"/>
            </w:tcMar>
            <w:vAlign w:val="center"/>
          </w:tcPr>
          <w:p>
            <w:pPr>
              <w:pStyle w:val="TableContents"/>
              <w:bidi w:val="0"/>
              <w:spacing w:before="0" w:after="0"/>
              <w:jc w:val="left"/>
              <w:rPr/>
            </w:pPr>
            <w:r>
              <w:rPr>
                <w:spacing w:val="0"/>
              </w:rPr>
              <w:t>Total 2024 Director Compensation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0" w:type="dxa"/>
            <w:tcBorders>
              <w:bottom w:val="double" w:sz="8" w:space="0" w:color="000000"/>
            </w:tcBorders>
            <w:tcMar>
              <w:bottom w:w="50" w:type="dxa"/>
            </w:tcMar>
            <w:vAlign w:val="center"/>
          </w:tcPr>
          <w:p>
            <w:pPr>
              <w:pStyle w:val="TableContents"/>
              <w:bidi w:val="0"/>
              <w:spacing w:before="0" w:after="283"/>
              <w:jc w:val="right"/>
              <w:rPr/>
            </w:pPr>
            <w:r>
              <w:rPr/>
              <w:t>$</w:t>
            </w:r>
          </w:p>
        </w:tc>
        <w:tc>
          <w:tcPr>
            <w:tcW w:w="1059" w:type="dxa"/>
            <w:tcBorders>
              <w:bottom w:val="double" w:sz="8" w:space="0" w:color="000000"/>
            </w:tcBorders>
            <w:tcMar>
              <w:bottom w:w="50" w:type="dxa"/>
            </w:tcMar>
            <w:vAlign w:val="center"/>
          </w:tcPr>
          <w:p>
            <w:pPr>
              <w:pStyle w:val="TableContents"/>
              <w:bidi w:val="0"/>
              <w:spacing w:before="0" w:after="283"/>
              <w:jc w:val="right"/>
              <w:rPr/>
            </w:pPr>
            <w:r>
              <w:rPr/>
              <w:t>452,331</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312,460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764,791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2024, Ms. Franklin and Messrs. Brokaw, Drew, Gable and Haga elected to receive their annual $50,000 cash retainer payment and their cash retainer fees for committee service in common stock of the Company, which resulted in such directors being awarded the following amounts of fully vested, unrestricted shares in lieu of cash: Ms. Franklin: 2,728; Mr. Brokaw: 4,365; Mr. Drew: 3,546; Mr. Gable: 4,160; Mr. Haga: 4,569. See below under “Stock Compensation” for the methodology used to calculate the number of shares of common stock awarded to each director.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amounts included in this column reflect the aggregate grant date fair value of restricted stock granted to non-employee directors during 2024, computed in accordance with Financial Accounting Standards Board Accounting Standards Codification Topic 718 (“FASB ASC 718”), disregarding the estimate of forfeitures. See below under “Stock Compensation” for the methodology used to calculate the number of shares awarded to each non-employee director. The restricted stock granted to our non-employee directors vests immediately when granted, and the disposition thereof is prohibited until the recipient’s service as a Company director has concluded. As of December 31, 2024, none of our non-employee directors held unvested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Non-Employee Director Compensation</w:t>
      </w:r>
      <w:r>
        <w:rPr>
          <w:rFonts w:ascii="Arial;Helvetica;sans-serif" w:hAnsi="Arial;Helvetica;sans-serif"/>
          <w:b/>
          <w:i w:val="false"/>
          <w:caps w:val="false"/>
          <w:smallCaps w:val="false"/>
          <w:color w:val="000000"/>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of the Board of Directors (the “Compensation Committee”), with assistance from its independent compensation consultant, oversees director compensation and reviews the appropriateness of our non-employee directors’ compensation on an annual basis. Our director compensation program consists of both cash and equity compensation components to align the interests of our directors with our stockholders.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It is our policy that our employee-directors do not receive compensation for their service as members of our Board of Directors. As an employee of the Company, Mr. Albright, our President and Chief Executive Officer (“CEO”), did not receive any compensation for serving as a director and is not a member of any committee of the Board. Therefore, he is omitted from the Director Compensation for 2024 Table above and his compensation as CEO is reported within the Summary Compensation Table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copy of our current Non-Employee Director Compensation Policy is available in the Governance section of our website (www.ctoreit.com).</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Cash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2024, each non-employee director earned an annual cash retainer of $50,000 as compensation for services as director, plus the additional cash retainers listed below for service on one of the Board’s standing committees, or as chairman of the Board. Under our non-employee director cash compensation program, non-employee members of our Board earn cash retainer fees quarterly in arrears.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also reimburse directors for reasonable expenses incurred in attending Board or Committee meetings, such as automobile mileage or airfare, which amounts are not included as fees or other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171"/>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Stock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Director Compensation Policy provides for an annual award to each director of the Company’s common stock valued at $62,500 (the “Annual Award”). The number of shares awarded in 2024 was calculated based on the 20-day trailing average closing price of the Company’s common stock as of the date two business days prior to the date of the award, rounded down to the nearest whole share. For 2024, this resulted in an award of 3,740 shares to each of our non-employee directors then serving on our Board as of February 14, 2024. In accordance with the Company’s stock ownership guidelines, shares constituting the Annual Award may not be sold or otherwise disposed of for the duration of such non-employee director’s service as a member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Director Compensation Policy also provides each director the option to receive his or her cash compensation in shares of Company common stock rather than cash. For 2024, Ms. Franklin and Messrs. Brokaw, Drew, Gable and Haga all elected this option with respect to their annual Board and committee retainers. The number of shares awarded to the directors making such election was calculated by dividing (i) the sum of (A) the amount of the quarterly retainer payment due to such director plus (B) committee service fees earned by such director during the quarter, by (ii) the 20-day trailing average closing price of the Company’s common stock as of the last business day of the quarter for which such payment applied, rounded down to the nearest whole share.</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632"/>
        <w:gridCol w:w="109"/>
        <w:gridCol w:w="109"/>
        <w:gridCol w:w="3129"/>
        <w:gridCol w:w="109"/>
        <w:gridCol w:w="109"/>
        <w:gridCol w:w="2118"/>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5" w:type="dxa"/>
            <w:gridSpan w:val="7"/>
            <w:tcBorders/>
            <w:vAlign w:val="center"/>
          </w:tcPr>
          <w:p>
            <w:pPr>
              <w:pStyle w:val="TableContents"/>
              <w:bidi w:val="0"/>
              <w:spacing w:before="0" w:after="0"/>
              <w:jc w:val="center"/>
              <w:rPr/>
            </w:pPr>
            <w:r>
              <w:rPr>
                <w:spacing w:val="-2"/>
              </w:rPr>
              <w:t>Non-Employee Director Compensation</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632" w:type="dxa"/>
            <w:tcBorders>
              <w:bottom w:val="single" w:sz="6" w:space="0" w:color="000000"/>
            </w:tcBorders>
            <w:tcMar>
              <w:bottom w:w="120" w:type="dxa"/>
            </w:tcMar>
            <w:vAlign w:val="center"/>
          </w:tcPr>
          <w:p>
            <w:pPr>
              <w:pStyle w:val="TableContents"/>
              <w:bidi w:val="0"/>
              <w:spacing w:before="0" w:after="0"/>
              <w:jc w:val="center"/>
              <w:rPr/>
            </w:pPr>
            <w:r>
              <w:rPr/>
              <w:drawing>
                <wp:inline distT="0" distB="0" distL="0" distR="0">
                  <wp:extent cx="1600200" cy="1152525"/>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1600200" cy="11525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129" w:type="dxa"/>
            <w:tcBorders>
              <w:bottom w:val="single" w:sz="6" w:space="0" w:color="000000"/>
            </w:tcBorders>
            <w:tcMar>
              <w:bottom w:w="120" w:type="dxa"/>
            </w:tcMar>
            <w:vAlign w:val="center"/>
          </w:tcPr>
          <w:p>
            <w:pPr>
              <w:pStyle w:val="TableContents"/>
              <w:bidi w:val="0"/>
              <w:spacing w:lineRule="atLeast" w:line="216" w:before="0" w:after="283"/>
              <w:jc w:val="left"/>
              <w:rPr/>
            </w:pPr>
            <w:r>
              <w:rPr>
                <w:b/>
                <w:spacing w:val="0"/>
              </w:rPr>
              <w:t>Audit Committee</w:t>
            </w:r>
            <w:r>
              <w:rPr/>
              <w:t xml:space="preserve"> </w:t>
              <w:br/>
            </w:r>
            <w:r>
              <w:rPr>
                <w:spacing w:val="-1"/>
              </w:rPr>
              <w:t xml:space="preserve">Chair: $22,500 </w:t>
              <w:br/>
              <w:t xml:space="preserve">Member: $11,250 </w:t>
              <w:br/>
              <w:t xml:space="preserve">  </w:t>
            </w:r>
            <w:r>
              <w:rPr/>
              <w:br/>
            </w:r>
            <w:r>
              <w:rPr>
                <w:b/>
                <w:spacing w:val="0"/>
              </w:rPr>
              <w:t>Nominating and Corporate</w:t>
            </w:r>
            <w:r>
              <w:rPr>
                <w:spacing w:val="-2"/>
              </w:rPr>
              <w:t xml:space="preserve"> </w:t>
            </w:r>
            <w:r>
              <w:rPr>
                <w:b/>
                <w:spacing w:val="0"/>
              </w:rPr>
              <w:t>Governance Committee</w:t>
            </w:r>
            <w:r>
              <w:rPr/>
              <w:t xml:space="preserve"> </w:t>
              <w:br/>
            </w:r>
            <w:r>
              <w:rPr>
                <w:spacing w:val="-1"/>
              </w:rPr>
              <w:t xml:space="preserve">Chair: $15,000 </w:t>
              <w:br/>
              <w:t>Member: $7,500</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18" w:type="dxa"/>
            <w:tcBorders>
              <w:bottom w:val="single" w:sz="6" w:space="0" w:color="000000"/>
            </w:tcBorders>
            <w:tcMar>
              <w:bottom w:w="120" w:type="dxa"/>
            </w:tcMar>
            <w:vAlign w:val="center"/>
          </w:tcPr>
          <w:p>
            <w:pPr>
              <w:pStyle w:val="TableContents"/>
              <w:bidi w:val="0"/>
              <w:spacing w:lineRule="atLeast" w:line="216" w:before="0" w:after="283"/>
              <w:jc w:val="left"/>
              <w:rPr/>
            </w:pPr>
            <w:r>
              <w:rPr>
                <w:b/>
                <w:spacing w:val="0"/>
              </w:rPr>
              <w:t>Compensation Committee</w:t>
            </w:r>
            <w:r>
              <w:rPr/>
              <w:t xml:space="preserve"> </w:t>
              <w:br/>
            </w:r>
            <w:r>
              <w:rPr>
                <w:spacing w:val="-1"/>
              </w:rPr>
              <w:t xml:space="preserve">Chair: $15,000 </w:t>
              <w:br/>
              <w:t xml:space="preserve">Member: $7,500 </w:t>
              <w:br/>
              <w:t> </w:t>
            </w:r>
            <w:r>
              <w:rPr/>
              <w:t xml:space="preserve"> </w:t>
              <w:br/>
            </w:r>
            <w:r>
              <w:rPr>
                <w:b/>
                <w:spacing w:val="0"/>
              </w:rPr>
              <w:t>Board Chair</w:t>
            </w:r>
            <w:r>
              <w:rPr/>
              <w:t xml:space="preserve"> </w:t>
              <w:br/>
            </w:r>
            <w:r>
              <w:rPr>
                <w:spacing w:val="-1"/>
              </w:rPr>
              <w:t>$97,500</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Stock Ownership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further align the interests of our directors with stockholders, the Board has adopted stock ownership guidelines for our non-employee directors. Pursuant to these guidelines, each non-employee director is required to own shares of our common stock equal in value to five times the non-employee directors’ annual cash retainer. New directors are expected to meet the standards set forth in the guidelines within five years after the date of his or her election to the Board. Compliance is measured on the first trading day of each calendar year. A copy of our stock ownership guidelines is available in the Governance section of our website (www.ctoreit.com).</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GC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 COMMITTEES OF THE BOARD OF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Corporate Governance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committed to responsible and effective corporate governance, and regularly monitors developments in the area of corporate governance. Our Corporate Governance Guidelines compile governance policies and procedures described in our governing documents, various charters and policies, and memorialize other policies and principles that we follow. The Corporate Governance Guidelines discuss Board responsibilities, organization, composition, and qualifications, address director compensation, and set forth guidance regarding the evaluation of our CEO and succession planning, among other matters. The Governance Committee is responsible for reviewing the Corporate Governance Guidelines at least annually. A copy of our Corporate Governance Guidelines is available in the Governance section of our website (www.ctoreit.com) and may also be obtained free of charge upon written request to our Corporate Secretary at 369 N. New York Avenue, Suite 201, Winter Park, Florida 32789.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Independent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listing standards of the NYSE require that we have a Board with at least a majority of independent directors. The Board annually determines the independence of our directors based on these listing standards. No director is considered independent unless our Board has affirmatively determined that the director does not have a relationship that would interfere with the exercise of independent judgment in carrying out their responsibilities as a director. Generally, a director is not considered independent if the director (or in some cases, members of the director’s immediate family) has, or in the past three years has had, certain material relationships or affiliations with us, our external or internal auditors, or other companies that do business with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determined that the following directors, who constituted a majority of the members of our Board of Directors, are independent pursuant to Section 303A.02 of the NYSE Listed Company Manual (the “NYSE Manual”):</w:t>
      </w:r>
      <w:r>
        <w:rPr>
          <w:rFonts w:ascii="Arial;Helvetica;sans-serif" w:hAnsi="Arial;Helvetica;sans-serif"/>
          <w:b w:val="false"/>
          <w:i w:val="false"/>
          <w:caps w:val="false"/>
          <w:smallCaps w:val="false"/>
          <w:color w:val="000000"/>
          <w:spacing w:val="4"/>
          <w:sz w:val="20"/>
        </w:rPr>
        <w:t xml:space="preserve"> </w:t>
      </w:r>
    </w:p>
    <w:tbl>
      <w:tblPr>
        <w:tblW w:w="5517" w:type="dxa"/>
        <w:jc w:val="left"/>
        <w:tblInd w:w="1393" w:type="dxa"/>
        <w:tblLayout w:type="fixed"/>
        <w:tblCellMar>
          <w:top w:w="0" w:type="dxa"/>
          <w:left w:w="0" w:type="dxa"/>
          <w:bottom w:w="0" w:type="dxa"/>
          <w:right w:w="0" w:type="dxa"/>
        </w:tblCellMar>
      </w:tblPr>
      <w:tblGrid>
        <w:gridCol w:w="124"/>
        <w:gridCol w:w="2563"/>
        <w:gridCol w:w="109"/>
        <w:gridCol w:w="109"/>
        <w:gridCol w:w="2458"/>
        <w:gridCol w:w="154"/>
      </w:tblGrid>
      <w:tr>
        <w:trPr/>
        <w:tc>
          <w:tcPr>
            <w:tcW w:w="124" w:type="dxa"/>
            <w:tcBorders/>
            <w:vAlign w:val="center"/>
          </w:tcPr>
          <w:p>
            <w:pPr>
              <w:pStyle w:val="TableContents"/>
              <w:bidi w:val="0"/>
              <w:spacing w:before="0" w:after="283"/>
              <w:jc w:val="left"/>
              <w:rPr/>
            </w:pPr>
            <w:r>
              <w:rPr/>
              <w:t>​</w:t>
            </w:r>
          </w:p>
        </w:tc>
        <w:tc>
          <w:tcPr>
            <w:tcW w:w="2563" w:type="dxa"/>
            <w:tcBorders/>
            <w:vAlign w:val="center"/>
          </w:tcPr>
          <w:p>
            <w:pPr>
              <w:pStyle w:val="TableContents"/>
              <w:bidi w:val="0"/>
              <w:spacing w:lineRule="atLeast" w:line="200" w:before="0" w:after="0"/>
              <w:ind w:left="400" w:right="0" w:hanging="0"/>
              <w:jc w:val="left"/>
              <w:rPr/>
            </w:pPr>
            <w:r>
              <w:rPr>
                <w:spacing w:val="-2"/>
              </w:rPr>
              <w:t>George R. Brokaw</w:t>
            </w:r>
            <w:r>
              <w:rPr/>
              <w:t xml:space="preserve"> </w:t>
            </w:r>
            <w:r>
              <mc:AlternateContent>
                <mc:Choice Requires="wps">
                  <w:drawing>
                    <wp:anchor behindDoc="0" distT="0" distB="0" distL="127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Laura M. Franklin</w:t>
            </w:r>
            <w:r>
              <w:rPr/>
              <w:t xml:space="preserve"> </w:t>
            </w:r>
            <w:r>
              <mc:AlternateContent>
                <mc:Choice Requires="wps">
                  <w:drawing>
                    <wp:anchor behindDoc="0" distT="101600" distB="0" distL="127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Christopher W. Haga </w:t>
            </w:r>
            <w:r>
              <mc:AlternateContent>
                <mc:Choice Requires="wps">
                  <w:drawing>
                    <wp:anchor behindDoc="0" distT="101600" distB="0" distL="127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8" w:type="dxa"/>
            <w:tcBorders/>
            <w:vAlign w:val="center"/>
          </w:tcPr>
          <w:p>
            <w:pPr>
              <w:pStyle w:val="TableContents"/>
              <w:bidi w:val="0"/>
              <w:spacing w:lineRule="atLeast" w:line="200" w:before="0" w:after="0"/>
              <w:ind w:left="400" w:right="0" w:hanging="0"/>
              <w:jc w:val="left"/>
              <w:rPr/>
            </w:pPr>
            <w:r>
              <w:rPr>
                <w:spacing w:val="-2"/>
              </w:rPr>
              <w:t>Christopher J. Drew</w:t>
            </w:r>
            <w:r>
              <w:rPr/>
              <w:t xml:space="preserve"> </w:t>
            </w:r>
            <w:r>
              <mc:AlternateContent>
                <mc:Choice Requires="wps">
                  <w:drawing>
                    <wp:anchor behindDoc="0" distT="0" distB="0" distL="127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R. Blakeslee Gable</w:t>
            </w:r>
            <w:r>
              <w:rPr/>
              <w:t xml:space="preserve"> </w:t>
            </w:r>
            <w:r>
              <mc:AlternateContent>
                <mc:Choice Requires="wps">
                  <w:drawing>
                    <wp:anchor behindDoc="0" distT="101600" distB="0" distL="127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independent directors hold an executive session either prior to or following each regularly scheduled quarterly Board of Directors meeting (and as necessary at other Board meetings), separate from management and any other non-independent directors. Ms. Franklin, as chairman of the Board, leads these executive sessions.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Attendance at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our Board of Directors held six regularly scheduled meetings, one in person and five via video conference, plus two additional meetings, both via video conference. All of the current members of the Board of Directors attended more than 75% of all of the meetings of the Board and all committees on which they served during the period such member served as a director or member of a committee in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policy is to encourage members of the Board of Directors to participate in the annual meeting of stockholders. All directors then serving on the Board participated in the 2024 Annual Meeting, which was held in virtual format.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Board has established an Audit Committee. In 2024, the Audit Committee held four regularly scheduled meetings, one in person and three via video conference. The Audit Committee assists the Board in fulfilling its oversight responsibilities with respect to the integrity of our consolidated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statements, our compliance with legal and regulatory requirements, our cybersecurity risk management process, the qualifications, independence and performance of our independent auditor, our system of internal controls over financial reporting established by management and the Board, and our auditing, accounting and financial reporting processes, generally. Grant Thornton LLP, our independent auditor for our fiscal year ended December 31, 2024, reported directly to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acts under a written charter adopted by the Board. The current charter of the Audit Committee is available in the Governance section of our website (www.ctoreit.com). A copy of this charter may also be obtained free of charge upon written request to our Corporate Secretary at 369 N. New York Avenue, Suite 201, Winter Park, Florida 32789.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Brokaw has been the Chairman of the Audit Committee since May 26, 2021, and Messrs. Gable and Haga are the other members of the Audit Committee. The Board of Directors has determined that all members of the Audit Committee are independent under the listing standards of the NYSE, and Rule 10A-3 promulgated under the Securities Exchange Act of 1934, as amended (the “Exchange Act”). All Audit Committee members possess the level of financial literacy required by the listing standards of the NYSE. Mr. Brokaw, as Chairman of the Audit Committee, meets the current standard of requisite financial management expertise as required by the NYSE and is an “audit committee financial expert” as defined by rules adopted by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adopted Policies and Procedures for Complaints and Concerns Regarding Accounting, Internal Accounting Controls, and Auditing Matters to enable confidential and anonymous reporting to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has established a Compensation Committee. In 2024, the Compensation Committee held two meetings, one in person and one via video conference. The Compensation Committee assists the Board in discharging its responsibilities relating to the compensation of our Board members, our CEO and other officers and key employees, reviews and discusses with management our “Compensation Discussion and Analysis” set forth below, and administers the Company’s equity incentive plan (currently the Fifth Amended and Restated 2010 Equity Incentive Plan (the “2010 Plan”)), the 2017 Executive Annual Cash Incentive Plan (the “Annual Incentive Plan”) and the Clawback Policy (as defined below). The Compensation Committee may form and delegate its authority to subcommittees when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has primary responsibility for determining our compensation philosophy and recommending to the Board the approval of compensation for the named executive officers. The full Board (other than Mr. Albright) aids the Compensation Committee by providing annual evaluations regarding the performance of Mr. Albright, our President and CEO. Mr. Albright provides annual recommendations regarding the compensation of the other named executive officers and all other officers and managers.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Compensation Committee has the sole authority to hire, and to dismiss, a compensation consultant.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acts under a written charter adopted by the Board. The current charter of the Compensation Committee is available in the Governance section of our website (www.ctoreit.com). A copy of this charter may also be obtained free of charge upon written request to our Corporate Secretary at 369 N. New York Avenue, Suite 201, Winter Park, Florida 32789.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Haga has been the Chairman of the Compensation Committee since July 29, 2020, and Messrs. Brokaw and Drew are the other members of the Compensation Committee. The Board has determined that all members of the Compensation Committee are independent under the listing standards of the NYSE.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Governance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Board has established a Governance Committee. In 2024, the Governance Committee held one meeting, via video conference. The Governance Committee was formed to perform the functions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nominating committee and as such recommends to the Board individuals who are qualified to become members of the Board. The Governance Committee uses criteria developed by the Governance Committee and approved by the Board to recommend nominees for the election of directors at the annual meeting of stockholders or when vacancies otherwise occur.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Governance Committee operates under a formal charter that governs its duties and standards of performance. The current charter of the Governance Committee is available in the Governance section of our website (www.ctoreit.com). A copy of this charter may also be obtained free of charge upon written request to our Corporate Secretary at 369 N. New York Avenue, Suite 201, Winter Park, Florida 32789.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Gable has been the Chairman of the Governance Committee since July 29, 2020, and Messrs. Drew and Haga are the other members of the Governance Committee. The Board has determined that all members of the Governance Committee are independent under the listing standards of the NYSE.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Consideration of Director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Governance Committee will consider recommendations from stockholders of candidates for membership on the Board. To recommend a candidate to the Governance Committee, stockholders should submit recommendations in writing to our Corporate Secretary at 369 N. New York Avenue, Suite 201, Winter Park, Florida 32789. A nominating recommendation must include a description of the candidate’s qualifications and be accompanied by the candidate’s written statement of willingness and affirmative desire to serve in a manner representing the interest of all stockholders. Candidates recommended by stockholders will be considered using the same criteria and in the same manner utilized by the Governance Committee in considering all candidates for election to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recommending nominees for consideration to the Governance Committee, stockholders may also directly propose nominees for consideration at an annual meeting of our stockholders by following the procedures specified in our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Governance Committee has established specific, minimum qualifications that must be met by a Governance Committee-recommended nominee. Under these criteria, a majority of the Board should be independent under the listing standards of the NYSE. In addition, a nominee should demonstrate high ethical standards and integrity and be accountable for boardroom decisions (no individual will be nominated to be a director of the Company where the Governance Committee has determined that the individual has demonstrated a lack of ethical standards, as evidenced by a material violation of applicable law, regulations, stock exchange listing standards or the Company’s Code of Business Conduct and Ethics); should have the ability to provide thoughtful counsel on a broad range of issues; should be financially literate; should be willing to listen and be open to the consideration of other opinions, as well as have the ability to effectively communicate his or her own ideas; should be committed to our achievement of exceptional performance standards to benefit our customers, stockholders, employees, and communities; and should have the ability to commit sufficient time and attention to our activities.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Prior to identifying and evaluating nominees for director, the Governance Committee assesses the size and membership of the Board and determines whether any vacancies are to be expected. In the event of any vacancies, the Governance Committee considers potential candidates for director, which may come to the Governance Committee’s attention through current Board members, stockholders, professional search firms, or other persons. In addition to the specific minimum qualifications described above, the Governance Committee seeks to ensure that the Board as a whole will possess the following specific qualities or skills: expertise in management or oversight of financial accounting and control; a record of making sound business decisions; cognizance of current general management trends and “best practices;” relevant knowledge specific to the industries in which we operate; ability and willingness to motivate and require high performance by management; capability of questioning, approving, and monitoring our strategic plans, and providing insight and directional focus; a knowledge of the geographic area in which we operate and local and state business, political, and governmental contacts which would be beneficial to us; and experience on the boards of other public companies. The Governance Committee meets to review and report to the Board on possible candidates for membership and annually recommends a slate of nominees to the Board with respect to nominations for the Board at the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16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Governance Committee believes that its criteria and desired qualities and skills lead to nominees with a broad diversity of experience, skills, and backgrounds. The Governance Committee does not assign specific weights to its criteria and no specific quality or skill is applicable to all prospective nominees. While we do not have a formal policy on diversity, the Governance Committee assesses its effectiveness in accounting for diversity, along with the other factors taken into account to identify director nominees, when it annually evaluates the performance of the Board and each director and periodically reviews the Company’s corporate governance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Majority and Plurality Voting for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Bylaws provide that the voting standard for the election of our directors in uncontested elections is a majority voting standard. In contested director elections, the plurality standard will apply, which means the nominees receiving the greatest numbers of votes cast “FOR” their election will be elected to serve as directors. An uncontested election for directors is an election where the number of properly nominated directors does not exceed the number of director positions to be filled. Under a majority voting standard, a director nominee will be elected if the number of votes cast “FOR” a director nominee exceeds the number of votes cast “AGAINST” that director nominee.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incumbent director nominee does not receive a greater number of “FOR” votes than “AGAINST” votes, he or she must promptly tender his or her resignation to the Board following certification of the vote, which resignation would be effective upon acceptance by the Board. The Governance Committee would consider the resignation offer and recommend to our Board the action to be taken. The Governance Committee and the Board would be entitled to consider any factors they deem relevant in deciding whether to accept a director’s resignation. Our Board would take action with regard to any such resignations within 90 days following certification of the vote, unless such action would cause us to fail to comply with any applicable stock exchange listing requirement or any rule or regulation promulgated under the Exchange Act, in which event our Board would take action as promptly as practicable while continuing to meet such requirement, rule, or regulation. Our Board also would promptly disclose publicly its decision and the reasons therefor. If our Board elected not to accept any such resignation, the director would continue to serve until the next annual meeting for the year in which his or her term expires and until his or her successor were to be duly elected and qualified, or until his or her prior resignation, death, or removal. If our Board were to accept such resignation, then our Board, in its sole discretion, would have the ability to fill any resulting vacancy.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election of directors at the Annual Meeting is an uncontested election and therefore the majority voting standard applies.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GH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 HIGHLIGHTS AND ESG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regularly monitors developments in the area of corporate governance and seeks to enhance the Company’s corporate governance structure based upon a review of new developments and recommended best practices, taking into account investor feedback. Below are the highlights of our independent Board and leadership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Annual Election of Directors.</w:t>
      </w:r>
      <w:r>
        <w:rPr>
          <w:rFonts w:ascii="Arial;Helvetica;sans-serif" w:hAnsi="Arial;Helvetica;sans-serif"/>
          <w:b w:val="false"/>
          <w:i w:val="false"/>
          <w:caps w:val="false"/>
          <w:smallCaps w:val="false"/>
          <w:color w:val="000000"/>
          <w:spacing w:val="-2"/>
          <w:sz w:val="20"/>
        </w:rPr>
        <w:t>   Our Board consists of a single class of directors who stand for election each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Majority Voting Standard for Directors with Director Resignation Policy.</w:t>
      </w:r>
      <w:r>
        <w:rPr>
          <w:rFonts w:ascii="Arial;Helvetica;sans-serif" w:hAnsi="Arial;Helvetica;sans-serif"/>
          <w:b w:val="false"/>
          <w:i w:val="false"/>
          <w:caps w:val="false"/>
          <w:smallCaps w:val="false"/>
          <w:color w:val="000000"/>
          <w:spacing w:val="-2"/>
          <w:sz w:val="20"/>
        </w:rPr>
        <w:t>   Our Bylaws include a majority voting standard for the election of directors in uncontested elections. Any incumbent director who fails to receive the required vote for re-election must offer to resign from our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35"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Independent and Diverse Board.</w:t>
      </w:r>
      <w:r>
        <w:rPr>
          <w:rFonts w:ascii="Arial;Helvetica;sans-serif" w:hAnsi="Arial;Helvetica;sans-serif"/>
          <w:b w:val="false"/>
          <w:i w:val="false"/>
          <w:caps w:val="false"/>
          <w:smallCaps w:val="false"/>
          <w:color w:val="000000"/>
          <w:spacing w:val="-2"/>
          <w:sz w:val="20"/>
        </w:rPr>
        <w:t>   We seek to maintain a diverse board primarily comprised of independent directors who represent a mix of varied experience, backgrounds, tenure and skills to ensure a broad range of perspectives is represented. Currently five of our six directors are independent, including one female director and one director who identifies as a member of an underrepresented group based on national, indigenous, religious or cultural identity; and all members serving on our Audit, Compensation and Governance Committees are independent.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36"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Sessions of our Board.</w:t>
      </w:r>
      <w:r>
        <w:rPr>
          <w:rFonts w:ascii="Arial;Helvetica;sans-serif" w:hAnsi="Arial;Helvetica;sans-serif"/>
          <w:b w:val="false"/>
          <w:i w:val="false"/>
          <w:caps w:val="false"/>
          <w:smallCaps w:val="false"/>
          <w:color w:val="000000"/>
          <w:spacing w:val="-2"/>
          <w:sz w:val="20"/>
        </w:rPr>
        <w:t>   An executive session of independent directors is held at each regularly scheduled quarterly Board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37"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Independent Chairman of the Board.</w:t>
      </w:r>
      <w:r>
        <w:rPr>
          <w:rFonts w:ascii="Arial;Helvetica;sans-serif" w:hAnsi="Arial;Helvetica;sans-serif"/>
          <w:b w:val="false"/>
          <w:i w:val="false"/>
          <w:caps w:val="false"/>
          <w:smallCaps w:val="false"/>
          <w:color w:val="000000"/>
          <w:spacing w:val="-2"/>
          <w:sz w:val="20"/>
        </w:rPr>
        <w:t>   Our Chairman of the Board ensures strong, independent leadership and oversight of our Board of Directors by, among other things, presiding at executive sessions of the non-management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38"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Board Evaluations.</w:t>
      </w:r>
      <w:r>
        <w:rPr>
          <w:rFonts w:ascii="Arial;Helvetica;sans-serif" w:hAnsi="Arial;Helvetica;sans-serif"/>
          <w:b w:val="false"/>
          <w:i w:val="false"/>
          <w:caps w:val="false"/>
          <w:smallCaps w:val="false"/>
          <w:color w:val="000000"/>
          <w:spacing w:val="-2"/>
          <w:sz w:val="20"/>
        </w:rPr>
        <w:t>   Our Governance Committee oversees annual evaluations of our Board as a whole and each director individually.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39"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Regular Succession Planning.</w:t>
      </w:r>
      <w:r>
        <w:rPr>
          <w:rFonts w:ascii="Arial;Helvetica;sans-serif" w:hAnsi="Arial;Helvetica;sans-serif"/>
          <w:b w:val="false"/>
          <w:i w:val="false"/>
          <w:caps w:val="false"/>
          <w:smallCaps w:val="false"/>
          <w:color w:val="000000"/>
          <w:spacing w:val="-2"/>
          <w:sz w:val="20"/>
        </w:rPr>
        <w:t>   A high priority is placed on regular and thoughtful succession planning for our senior management.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0"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Risk Oversight by Full Board and Committees.</w:t>
      </w:r>
      <w:r>
        <w:rPr>
          <w:rFonts w:ascii="Arial;Helvetica;sans-serif" w:hAnsi="Arial;Helvetica;sans-serif"/>
          <w:b w:val="false"/>
          <w:i w:val="false"/>
          <w:caps w:val="false"/>
          <w:smallCaps w:val="false"/>
          <w:color w:val="000000"/>
          <w:spacing w:val="-2"/>
          <w:sz w:val="20"/>
        </w:rPr>
        <w:t>   A principal function of our Board is to oversee risk assessment and risk management related to our business. Oversight for specific areas of risk exposure is delegated to our Board committees.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1"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Code of Ethics.</w:t>
      </w:r>
      <w:r>
        <w:rPr>
          <w:rFonts w:ascii="Arial;Helvetica;sans-serif" w:hAnsi="Arial;Helvetica;sans-serif"/>
          <w:b w:val="false"/>
          <w:i w:val="false"/>
          <w:caps w:val="false"/>
          <w:smallCaps w:val="false"/>
          <w:color w:val="000000"/>
          <w:spacing w:val="-2"/>
          <w:sz w:val="20"/>
        </w:rPr>
        <w:t>   A robust Code of Business Conduct and Ethics is in place for our directors, officers and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2"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Clawback Policy.</w:t>
      </w:r>
      <w:r>
        <w:rPr>
          <w:rFonts w:ascii="Arial;Helvetica;sans-serif" w:hAnsi="Arial;Helvetica;sans-serif"/>
          <w:b w:val="false"/>
          <w:i w:val="false"/>
          <w:caps w:val="false"/>
          <w:smallCaps w:val="false"/>
          <w:color w:val="000000"/>
          <w:spacing w:val="-2"/>
          <w:sz w:val="20"/>
        </w:rPr>
        <w:t>   Our Board voluntarily adopted a formal clawback policy in 2016 that applied to both cash and equity incentive compensation, and updated the policy in fiscal year 2023 to comply with SEC requirements pursuant to the Dodd-Frank Wall Street Reform and Consumer Protection 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3"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Anti-Hedging and Anti-Pledging.</w:t>
      </w:r>
      <w:r>
        <w:rPr>
          <w:rFonts w:ascii="Arial;Helvetica;sans-serif" w:hAnsi="Arial;Helvetica;sans-serif"/>
          <w:b w:val="false"/>
          <w:i w:val="false"/>
          <w:caps w:val="false"/>
          <w:smallCaps w:val="false"/>
          <w:color w:val="000000"/>
          <w:spacing w:val="-2"/>
          <w:sz w:val="20"/>
        </w:rPr>
        <w:t>   Our directors, officers and employees are subject to anti-hedging and anti-pledging policies.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4"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Annual Say-on-Pay.</w:t>
      </w:r>
      <w:r>
        <w:rPr>
          <w:rFonts w:ascii="Arial;Helvetica;sans-serif" w:hAnsi="Arial;Helvetica;sans-serif"/>
          <w:b w:val="false"/>
          <w:i w:val="false"/>
          <w:caps w:val="false"/>
          <w:smallCaps w:val="false"/>
          <w:color w:val="000000"/>
          <w:spacing w:val="-2"/>
          <w:sz w:val="20"/>
        </w:rPr>
        <w:t>   We annually submit “Say-on-Pay” advisory votes for stockholder consideration and vote.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45"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Sustainability.</w:t>
      </w:r>
      <w:r>
        <w:rPr>
          <w:rFonts w:ascii="Arial;Helvetica;sans-serif" w:hAnsi="Arial;Helvetica;sans-serif"/>
          <w:b w:val="false"/>
          <w:i w:val="false"/>
          <w:caps w:val="false"/>
          <w:smallCaps w:val="false"/>
          <w:color w:val="000000"/>
          <w:spacing w:val="-2"/>
          <w:sz w:val="20"/>
        </w:rPr>
        <w:t>   We strive to conduct our business in a socially responsible manner that balances consideration of environmental and social issues with creating long-term value for our Company and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46"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Stockholder-requested Meetings.</w:t>
      </w:r>
      <w:r>
        <w:rPr>
          <w:rFonts w:ascii="Arial;Helvetica;sans-serif" w:hAnsi="Arial;Helvetica;sans-serif"/>
          <w:b w:val="false"/>
          <w:i w:val="false"/>
          <w:caps w:val="false"/>
          <w:smallCaps w:val="false"/>
          <w:color w:val="000000"/>
          <w:spacing w:val="-2"/>
          <w:sz w:val="20"/>
        </w:rPr>
        <w:t>   Our Bylaws permit stockholders to request the calling of a special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47"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Whistleblower Policy.</w:t>
      </w:r>
      <w:r>
        <w:rPr>
          <w:rFonts w:ascii="Arial;Helvetica;sans-serif" w:hAnsi="Arial;Helvetica;sans-serif"/>
          <w:b w:val="false"/>
          <w:i w:val="false"/>
          <w:caps w:val="false"/>
          <w:smallCaps w:val="false"/>
          <w:color w:val="000000"/>
          <w:spacing w:val="-2"/>
          <w:sz w:val="20"/>
        </w:rPr>
        <w:t>   Our Board of Directors has adopted a “whistleblower” policy.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48"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Environmental, Social and Governance (“ESG”) Achievements and Initiatives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is dedicated to responsible environmental, social and community stewardship as an essential part of our mission to build a successful business and to shape the communities we serve, in addition to our workplace community. Below are some highlights of our commitment to ESG principles.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Environmental</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is committed to maintaining an environmentally conscious culture, the utilization of environmentally friendly and renewable products, and the promotion of sustainable business practices. The Company has a long history of partnering with other community members, including state and national governmental entities, to preserve and enhance the local environment. Some of our most notable actions include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1997</w:t>
      </w:r>
      <w:r>
        <w:rPr>
          <w:rFonts w:ascii="Arial;Helvetica;sans-serif" w:hAnsi="Arial;Helvetica;sans-serif"/>
          <w:b/>
          <w:i w:val="false"/>
          <w:caps w:val="false"/>
          <w:smallCaps w:val="false"/>
          <w:color w:val="000000"/>
          <w:spacing w:val="-3"/>
          <w:sz w:val="20"/>
        </w:rPr>
        <w:t>,</w:t>
      </w:r>
      <w:r>
        <w:rPr>
          <w:rFonts w:ascii="Arial;Helvetica;sans-serif" w:hAnsi="Arial;Helvetica;sans-serif"/>
          <w:b w:val="false"/>
          <w:i w:val="false"/>
          <w:caps w:val="false"/>
          <w:smallCaps w:val="false"/>
          <w:color w:val="000000"/>
          <w:spacing w:val="-2"/>
          <w:sz w:val="20"/>
        </w:rPr>
        <w:t xml:space="preserve"> the Company conveyed over 11,000 acres of its undeveloped land near Daytona Beach to the State of Florida to significantly enlarge the neighboring Tiger Bay State Forest.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49"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2018, the Company entered into a transaction that led to the formation of a conservation mitigation bank on approximately 2,500 acres of its land; as a result, the land is permanently barred from development.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0"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2018, the Company completed development of two beachfront restaurants in Daytona Beach, which included special lighting and other features to accommodate and enhance nesting of sea turtles.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1"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2019, the Company partnered with Derbyshire Place, a community center in Daytona Beach, to raise funds for and break ground on Derbyshire Place Community Garden, with the goal of bringing fresh fruit and vegetables, as well as hands-on learning opportunities for local residents, to an urban area in Dayton Beach considered a “food desert.”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2"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2020, the Company completed a project working with the U.S. Environmental Protection Agency in restoring wetlands on certain land in Daytona Beach formerly owned by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3"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Over the past 11 years, the Company has planted approximately 170,000 pine trees in Florida and has restored over 700 acres of former industrial timberland. These 170,000 trees absorb more than 1,000 tons of carbon each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4"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Activities at our Corporate Offices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commitment to sustainability is further demonstrated by how we manage day-to-day activities in our corporate offices. The buildout of our Daytona Beach corporate office space, completed in 2017, included LED lighting, an automatic lighting control system, and a building management system that monitors and controls energy use. The buildout of our headquarters office space in Winter Park, Florida, completed in 2023, also includes design features and systems that are intended to maximize energy efficiency, including energy-efficient windows, LED lighting, energy management systems, and recycling programs. In addition, CTO has accomplished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Continued focusing on our use of environmentally friendly cleaning products and soaps throughout the corporate and headquarters offices;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55"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Broadened our use of recycled and sustainable forestry products, including paper and kitchen products;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56"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Continued to recycle and donate computer and electronic equipment and all exhausted toner and ink cartridges;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57"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Utilize electronic delivery of all materials for meetings of the Board, allowing paperless administration of board of directors and board committee meetings;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58"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Further reduced the use of plastic water bottles through the use of a filtered water dispenser.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59"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Activities at our Portfolio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Many of our tenants have strong sustainability programs and initiatives embedded into their corporate culture and business practices. We support their operations and work with them to promote environmental responsibility at the properties we own and to reiterate the importance of energy efficient facilities. When requested, we work with tenants to promote environmental responsibility and energy efficient facilities, including facilitating the application by our tenants to receive Energy Star property ratings or LEED green building certifications.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Social</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dedicated to an inclusive and supportive office environment which is filled with diverse backgrounds and perspectives, as well as a demonstrated commitment to financial, mental and physical wellness. We believe that it is an important responsibility to give back to, and be welcomed in, the communities that we serve, and to be understanding of and responsive to the core values of the places in which we operate. Over the past 13 years under current management, the Company and its team members have donated time and financial resources to a number of non-profit causes, including United Way, American Heart Association, Daytona Beach Museum of the Arts and Sciences, Florida Marine Science Center, Boys &amp; Girls Club of America, Halifax Humane Society, and the Peabody Foundation.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Talent Acquisition, Development and Retention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strive to attract and retain the best and brightest employees. We focus on enhancing our team members’ lives in and out of the office as they progress and grow with the Company. By engaging with our employees and investing in their careers through training and development, we are seeking to build a talent pool capable of executing our business strategies.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Diversity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is dedicated to an inclusive and supportive office environment filled with diverse backgrounds and perspectives. The Company is an equal opportunity employer and considers qualified applicants regardless of race, color, religion, gender, sexual orientation, national origin, age, disability, military or veteran status, genetic information, or other statuses protected by applicable federal, state, and local law. As of December 31, 2024, women represented 51% of our full-time workforce, and approximately 32% of our full-time workforce self-identified as being racially/ethnically diverse. We believe that our success over the long run has been the result of the diverse backgrounds and perspectives of our employees and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Employee Wellness and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has a demonstrated commitment to the financial, mental and physical wellness of its employees. The Company’s employee benefits package is designed to address the changing needs of our employees and their dependents, and currently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Company-paid medical, dental and life insurance;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0"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Long-term disability insurance;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1"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Short-term disability insurance;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2"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Supplemental life insurance;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63"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Competitive vacation policy based on level and years of service, including paid holidays, sick days and parental leave;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4"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Company-sponsored 401(k) plan with generous employer matching contributions as described on page 40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65"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Long-term incentive plan, which includes incentive equity awards to all employees meeting a minimum tenure requirement;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66"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Tuition reimbursement program for continued education.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67"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Governance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are dedicated to maintaining a high standard for corporate governance predicated on integrity, ethics, diversity and transparency. The Company considers good governance to include being a good corporate citizen. For a detailed description of our corporate governance policies, please see the description elsewhere in this “Corporate Governance”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Board Leadership Structure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adopted, as part of the charter of the Governance Committee, a policy that the Chairman of the Board be an independent director. The Board believes that this is the most appropriate leadership structure for the Company, because having the Board operate under the leadership and direction of someone independent from management provides the Board with the most effective mechanism to fulfill its oversight responsibilities and hold management accountable for the performance of the Company. It also allows our CEO to focus on running our day-to-day business. The charter of the Governance Committee provides that the Chairman is appointed by the non-management directors annually. Ms. Franklin, an independent director, currently serves as the Chairman of the Board. Mr. Brokaw, who is also an independent director, currently serves as the Vice Chairman of the Board and may fulfill the responsibilities of the Chairman in her absence.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Board Role in Risk Oversight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has an active role in overseeing risk management. The Board regularly reviews information regarding our financial position, results of operations, liquidity, and cash flows, as well as the risks associated with each and generally with our businesses and business strategy. The Board, in coordination with the Audit Committee, also oversees the Company’s cybersecurity risk management process. The Compensation Committee is responsible for overseeing the management of risks relating to our compensation plans and arrangements. The Audit Committee inquires of management, our internal auditor and our independent auditor about significant risks or exposures and assesses the steps management has taken to address or minimize such risks. While these committees are responsible for evaluating certain risks and overseeing the management of such risks, the entire Board of Directors is informed through committee reports about such risks.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Insider Trading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adopted an insider trading policy governing the purchase, sale, and/or other dispositions of our securities by our directors, officers and employees and by us. We believe that the policies and procedures set forth in our insider trading policy are reasonably designed to promote compliance with insider trading laws, rules and regulations, and NYSE listing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Codes of Ethics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adopted a Code of Ethical Conduct for Senior Financial Officers (applicable to the principal executive officer, principal financial officer and principal accounting officer), violations of which may be reported to the Audit Committee. We will provide a copy of our Code of Ethical Conduct for Senior Financial Officers to any person upon request and without charge. Any such request should be made in writing to our Corporate Secretary at 369 N. New York Avenue, Suite 201, Winter Park, Florida 32789.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also adopted a Code of Business Conduct and Ethics that includes provisions ranging from legal compliance to conflicts of interest. All employees and directors are subject to this code. A copy of our Code of Business Conduct and Ethics is available in the Governance section of our website (www.ctoreit.com) and may also be obtained free of charge upon written request to our Corporate Secretary at 369 N. New York Avenue, Suite 201, Winter Park, Florida 32789.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intend to comply with the requirements of Item 5.05 of Form 8-K regarding amendments to and waivers under the Code of Business Conduct and Ethics applicable to our principal executive officer, principal financial officer and principal accounting officer by providing such information on our website within four business days after effecting any amendment to, or granting any waiver under, that code, and we will maintain such information on our website for at least twelve months. The information found on, or accessible through, our website is not incorporated into, and does not form a part of, this proxy statement or any other report or document we file with or furnish to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Clawback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adopted the CTO Realty Growth, Inc. Clawback Policy (the “Clawback Policy”) effective as of October 24, 2023. In the event that the Company is required to prepare a financial restatement, the Compensation Committee shall, to the extent practicable, recoup all incentive-based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calculated on a pre-tax basis received after October 2, 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Reporting Measures (as defined in the Clawback Policy), as reflected in the restatement.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Anti-Hedging and Anti-Pledging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ensure proper alignment with our stockholders, all employees, including our executive officers, and non-employee directors are prohibited from engaging in short sales of our securities, establishing margin accounts, pledging our securities as collateral for a loan, buying or selling puts or calls on our securities or otherwise engaging in hedging transactions (such as zero-cost collars, exchange funds, and forward sale contracts) involving our securities. In addition, margin purchases of our securities and pledging any of our securities as collateral to secure loans is prohibited. This prohibition means that our directors, officers, employees, and their family members cannot hold our securities in a “margin account” nor can they pledge any of our securities for any loans or indebtedness.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Policies and Procedures for Approval of Party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Board of Directors has adopted a written Related Party Transactions Policy and Procedures establishing guidelines with respect to the review, approval, and ratification of Related Party Transactions.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member of the Audit Committee with an interest in a related party transaction will not vote on the approval or ratification of that transaction, but may participate, to the extent requested by the Chairman of the Audit Committee, in the Audit Committee’s consideration of that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Related parties that are covered by the policy include any executive officer, director, nominee for director or 5% stockholder of the Company, any immediate family member of those persons, any entity that is owned or controlled by any of the foregoing persons or any entity in which such a person is an executive officer or has a substantial ownership interest. “Related party transaction” means any financial transaction, arrangement or relationship or series of similar transactions, arrangements or relationships (including any indebtedness or guarantee of indebtedness) or modification to such a transaction involving an amount of at least $120,000 in any calendar year in which the Company is a participant and in which a related party will have a direct or indirect material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Executive officers and directors of the Company are required to submit full details of the related party transaction to the Audit Committee. The Audit Committee will then determine whether to ratify or approve the transaction. The Audit Committee considers,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terms of the transaction and whether the terms are fair to the Company and are on the same basis as if the transaction did not involve a related party;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68"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reasons for the Company to enter into the transaction;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69"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whether the transaction would impair the independence of a non-employee director;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0"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whether the transaction presents an improper conflict for any director or executive officer of the Company;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1"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materiality of the transaction.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2"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August 1, 2024, the Company completed a $10.0 million preferred equity investment in a subsidiary of Seaport Entertainment Group Inc., a publicly traded hospitality, entertainment and real estate company (“SEG”), with a dividend rate of 14.0%. The investment is not redeemable prior to July 11, 2029, except upon the occurrence of certain specified events. In connection with the investment, the Company received an origination fee of 1.0% or $0.1 million. Matthew M. Partridge, our former Senior Vice President, Chief Financial Officer &amp; Treasurer, is the Executive Vice President, Chief Financial Officer and Treasurer of SEG.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12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November 15, 2023, an affiliate of Alpine originated a $24.0 million loan (the “Alpine Portfolio Loan”) secured by a first mortgage encumbering a portfolio of 41 assets and related improvements owned by a third party (the “AM Portfolio”). On December 4, 2023, we entered into an asset management agreement (the “Asset Management Agreement”) directly with the owner of the AM Portfolio to manage the portfolio of assets securing the Alpine Portfolio Loan. On December 4, 2023, the Company entered into a revenue sharing agreement with Alpine (the “Revenue Sharing Agreement”) whereby the Company agreed to pay to Alpine a share of the asset management fees, disposition management fees, leasing commissions, and other fees earned by the Company under the Asset Management Agreement. Alpine’s share of the fees under the Revenue Sharing Agreement will be based on fees earned by the Company associated with the single tenant properties within the AM Portfolio. During the year ended December 31, 2024, the Company recognized $0.3 million of revenue under the Asset Management Agreement, and paid to PINE $0.5 million under the Revenue Sharing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 formation and initial public offering of Alpine, (i) the Company and Alpine entered into an exclusivity and right of first offer agreement dated November 26, 2019 (the “Alpine ROFO Agreement”) and (ii) Alpine, Alpine Income Property OP, LP and Alpine Income Property Manager, LLC, a wholly owned subsidiary of the Company, entered into a management agreement dated November 26, 2019 (the “Alpine Management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 of the Alpine ROFO Agreement commenced on the date of the closing of the Alpine IPO and will continue for so long as the Company or its affiliate is the manager of Alpine. During the term of the Alpine ROFO Agreement, the Company’s ability to sell any of its single-tenant, net leased properties is subject to a right of first offer in favor of Alpine.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 of the Alpine Management Agreement commenced on the date of the closing of the Alpine IPO and had an initial term of five years, with automatic one-year renewal terms unless the agreement is not renewed or is terminated in accordance with its terms. On July 19, 2024, the Alpine Management Agreement was amended to extend the initial expiration date to January 31, 2025, and on that date the term of the agreement automatically renewed for a one-year term, with the current term of the agreement expiring on January 31, 2026. Pursuant to the terms of the Alpine Management Agreement, as amended, we manage, operate and administer Alpine’s day-to-day operations, business and affairs, subject to the direction and supervision of the Alpine board of directors and in accordance with the investment guidelines approved and monitored by the Alpine board. Under the Alpine Management Agreement, we are entitled to receive from Alpine a base management fee and incentive compensation, as well as the reimbursement of certain expenses we incur.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Communication with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Stockholders and other individuals may communicate with the Board of Directors or one or more individual directors by writing to the Board of Directors or such director(s), c/o Corporate Secretary, 369 N. New York Avenue, Suite 201, Winter Park, Florida 32789.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GE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 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with respect to each of our current executive officers: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2115"/>
        <w:gridCol w:w="109"/>
        <w:gridCol w:w="109"/>
        <w:gridCol w:w="564"/>
        <w:gridCol w:w="109"/>
        <w:gridCol w:w="109"/>
        <w:gridCol w:w="5541"/>
        <w:gridCol w:w="156"/>
      </w:tblGrid>
      <w:tr>
        <w:trPr/>
        <w:tc>
          <w:tcPr>
            <w:tcW w:w="2115" w:type="dxa"/>
            <w:tcBorders>
              <w:bottom w:val="single" w:sz="2" w:space="0" w:color="000000"/>
            </w:tcBorders>
            <w:vAlign w:val="center"/>
          </w:tcPr>
          <w:p>
            <w:pPr>
              <w:pStyle w:val="TableContents"/>
              <w:bidi w:val="0"/>
              <w:spacing w:before="0" w:after="0"/>
              <w:jc w:val="left"/>
              <w:rPr>
                <w:spacing w:val="0"/>
              </w:rPr>
            </w:pPr>
            <w:r>
              <w:rPr>
                <w:spacing w:val="0"/>
              </w:rPr>
              <w:t xml:space="preserve">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4" w:type="dxa"/>
            <w:tcBorders>
              <w:bottom w:val="single" w:sz="2" w:space="0" w:color="000000"/>
            </w:tcBorders>
            <w:vAlign w:val="center"/>
          </w:tcPr>
          <w:p>
            <w:pPr>
              <w:pStyle w:val="TableContents"/>
              <w:bidi w:val="0"/>
              <w:spacing w:before="0" w:after="0"/>
              <w:jc w:val="center"/>
              <w:rPr>
                <w:spacing w:val="0"/>
              </w:rPr>
            </w:pPr>
            <w:r>
              <w:rPr>
                <w:spacing w:val="0"/>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41" w:type="dxa"/>
            <w:tcBorders>
              <w:bottom w:val="single" w:sz="2" w:space="0" w:color="000000"/>
            </w:tcBorders>
            <w:vAlign w:val="center"/>
          </w:tcPr>
          <w:p>
            <w:pPr>
              <w:pStyle w:val="TableContents"/>
              <w:bidi w:val="0"/>
              <w:spacing w:before="0" w:after="0"/>
              <w:jc w:val="center"/>
              <w:rPr>
                <w:spacing w:val="0"/>
              </w:rPr>
            </w:pPr>
            <w:r>
              <w:rPr>
                <w:spacing w:val="0"/>
              </w:rPr>
              <w:t xml:space="preserve">Position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5" w:type="dxa"/>
            <w:tcBorders/>
            <w:tcMar>
              <w:bottom w:w="0" w:type="dxa"/>
            </w:tcMar>
            <w:vAlign w:val="center"/>
          </w:tcPr>
          <w:p>
            <w:pPr>
              <w:pStyle w:val="TableContents"/>
              <w:bidi w:val="0"/>
              <w:spacing w:before="0" w:after="283"/>
              <w:jc w:val="left"/>
              <w:rPr>
                <w:spacing w:val="-2"/>
              </w:rPr>
            </w:pPr>
            <w:r>
              <w:rPr>
                <w:spacing w:val="-2"/>
              </w:rPr>
              <w:t xml:space="preserve">John P. Albright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2"/>
              </w:rPr>
            </w:pPr>
            <w:r>
              <w:rPr>
                <w:spacing w:val="-2"/>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41" w:type="dxa"/>
            <w:tcBorders/>
            <w:tcMar>
              <w:bottom w:w="0" w:type="dxa"/>
            </w:tcMar>
            <w:vAlign w:val="center"/>
          </w:tcPr>
          <w:p>
            <w:pPr>
              <w:pStyle w:val="TableContents"/>
              <w:bidi w:val="0"/>
              <w:spacing w:before="0" w:after="283"/>
              <w:jc w:val="left"/>
              <w:rPr>
                <w:spacing w:val="-2"/>
              </w:rPr>
            </w:pPr>
            <w:r>
              <w:rPr>
                <w:spacing w:val="-2"/>
              </w:rPr>
              <w:t xml:space="preserve">President &amp; Chief Executive Officer </w:t>
            </w:r>
          </w:p>
        </w:tc>
        <w:tc>
          <w:tcPr>
            <w:tcW w:w="156" w:type="dxa"/>
            <w:tcBorders/>
            <w:tcMar>
              <w:bottom w:w="0" w:type="dxa"/>
            </w:tcMar>
            <w:vAlign w:val="center"/>
          </w:tcPr>
          <w:p>
            <w:pPr>
              <w:pStyle w:val="TableContents"/>
              <w:bidi w:val="0"/>
              <w:spacing w:before="0" w:after="283"/>
              <w:jc w:val="left"/>
              <w:rPr/>
            </w:pPr>
            <w:r>
              <w:rPr/>
              <w:t>​</w:t>
            </w:r>
          </w:p>
        </w:tc>
      </w:tr>
      <w:tr>
        <w:trPr/>
        <w:tc>
          <w:tcPr>
            <w:tcW w:w="2115" w:type="dxa"/>
            <w:tcBorders/>
            <w:tcMar>
              <w:bottom w:w="0" w:type="dxa"/>
            </w:tcMar>
            <w:vAlign w:val="center"/>
          </w:tcPr>
          <w:p>
            <w:pPr>
              <w:pStyle w:val="TableContents"/>
              <w:bidi w:val="0"/>
              <w:spacing w:before="0" w:after="283"/>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2"/>
              </w:rPr>
            </w:pPr>
            <w:r>
              <w:rPr>
                <w:spacing w:val="-2"/>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41" w:type="dxa"/>
            <w:tcBorders/>
            <w:tcMar>
              <w:bottom w:w="0" w:type="dxa"/>
            </w:tcMar>
            <w:vAlign w:val="center"/>
          </w:tcPr>
          <w:p>
            <w:pPr>
              <w:pStyle w:val="TableContents"/>
              <w:bidi w:val="0"/>
              <w:spacing w:before="0" w:after="283"/>
              <w:jc w:val="left"/>
              <w:rPr>
                <w:spacing w:val="-2"/>
              </w:rPr>
            </w:pPr>
            <w:r>
              <w:rPr>
                <w:spacing w:val="-2"/>
              </w:rPr>
              <w:t xml:space="preserve">Senior Vice President &amp; Chief Investment Officer </w:t>
            </w:r>
          </w:p>
        </w:tc>
        <w:tc>
          <w:tcPr>
            <w:tcW w:w="156" w:type="dxa"/>
            <w:tcBorders/>
            <w:tcMar>
              <w:bottom w:w="0" w:type="dxa"/>
            </w:tcMar>
            <w:vAlign w:val="center"/>
          </w:tcPr>
          <w:p>
            <w:pPr>
              <w:pStyle w:val="TableContents"/>
              <w:bidi w:val="0"/>
              <w:spacing w:before="0" w:after="283"/>
              <w:jc w:val="left"/>
              <w:rPr/>
            </w:pPr>
            <w:r>
              <w:rPr/>
              <w:t>​</w:t>
            </w:r>
          </w:p>
        </w:tc>
      </w:tr>
      <w:tr>
        <w:trPr/>
        <w:tc>
          <w:tcPr>
            <w:tcW w:w="2115" w:type="dxa"/>
            <w:tcBorders/>
            <w:tcMar>
              <w:bottom w:w="0" w:type="dxa"/>
            </w:tcMar>
            <w:vAlign w:val="center"/>
          </w:tcPr>
          <w:p>
            <w:pPr>
              <w:pStyle w:val="TableContents"/>
              <w:bidi w:val="0"/>
              <w:spacing w:before="0" w:after="283"/>
              <w:jc w:val="left"/>
              <w:rPr>
                <w:spacing w:val="-2"/>
              </w:rPr>
            </w:pPr>
            <w:r>
              <w:rPr>
                <w:spacing w:val="-2"/>
              </w:rPr>
              <w:t xml:space="preserve">Philip R. Mays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2"/>
              </w:rPr>
            </w:pPr>
            <w:r>
              <w:rPr>
                <w:spacing w:val="-2"/>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41" w:type="dxa"/>
            <w:tcBorders/>
            <w:tcMar>
              <w:bottom w:w="0" w:type="dxa"/>
            </w:tcMar>
            <w:vAlign w:val="center"/>
          </w:tcPr>
          <w:p>
            <w:pPr>
              <w:pStyle w:val="TableContents"/>
              <w:bidi w:val="0"/>
              <w:spacing w:before="0" w:after="283"/>
              <w:jc w:val="left"/>
              <w:rPr>
                <w:spacing w:val="-2"/>
              </w:rPr>
            </w:pPr>
            <w:r>
              <w:rPr>
                <w:spacing w:val="-2"/>
              </w:rPr>
              <w:t xml:space="preserve">Senior Vice President, Chief Financial Officer &amp; Treasurer </w:t>
            </w:r>
          </w:p>
        </w:tc>
        <w:tc>
          <w:tcPr>
            <w:tcW w:w="156" w:type="dxa"/>
            <w:tcBorders/>
            <w:tcMar>
              <w:bottom w:w="0" w:type="dxa"/>
            </w:tcMar>
            <w:vAlign w:val="center"/>
          </w:tcPr>
          <w:p>
            <w:pPr>
              <w:pStyle w:val="TableContents"/>
              <w:bidi w:val="0"/>
              <w:spacing w:before="0" w:after="283"/>
              <w:jc w:val="left"/>
              <w:rPr/>
            </w:pPr>
            <w:r>
              <w:rPr/>
              <w:t>​</w:t>
            </w:r>
          </w:p>
        </w:tc>
      </w:tr>
      <w:tr>
        <w:trPr/>
        <w:tc>
          <w:tcPr>
            <w:tcW w:w="2115" w:type="dxa"/>
            <w:tcBorders/>
            <w:tcMar>
              <w:bottom w:w="0" w:type="dxa"/>
            </w:tcMar>
            <w:vAlign w:val="center"/>
          </w:tcPr>
          <w:p>
            <w:pPr>
              <w:pStyle w:val="TableContents"/>
              <w:bidi w:val="0"/>
              <w:spacing w:before="0" w:after="283"/>
              <w:jc w:val="left"/>
              <w:rPr>
                <w:spacing w:val="-2"/>
              </w:rPr>
            </w:pPr>
            <w:r>
              <w:rPr>
                <w:spacing w:val="-2"/>
              </w:rPr>
              <w:t xml:space="preserve">Daniel E. Smith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2"/>
              </w:rPr>
            </w:pPr>
            <w:r>
              <w:rPr>
                <w:spacing w:val="-2"/>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41" w:type="dxa"/>
            <w:tcBorders/>
            <w:tcMar>
              <w:bottom w:w="0" w:type="dxa"/>
            </w:tcMar>
            <w:vAlign w:val="center"/>
          </w:tcPr>
          <w:p>
            <w:pPr>
              <w:pStyle w:val="TableContents"/>
              <w:bidi w:val="0"/>
              <w:spacing w:before="0" w:after="283"/>
              <w:jc w:val="left"/>
              <w:rPr>
                <w:spacing w:val="-2"/>
              </w:rPr>
            </w:pPr>
            <w:r>
              <w:rPr>
                <w:spacing w:val="-2"/>
              </w:rPr>
              <w:t xml:space="preserve">Senior Vice President, General Counsel &amp; Corporate Secretary </w:t>
            </w:r>
          </w:p>
        </w:tc>
        <w:tc>
          <w:tcPr>
            <w:tcW w:w="156" w:type="dxa"/>
            <w:tcBorders/>
            <w:tcMar>
              <w:bottom w:w="0" w:type="dxa"/>
            </w:tcMar>
            <w:vAlign w:val="center"/>
          </w:tcPr>
          <w:p>
            <w:pPr>
              <w:pStyle w:val="TableContents"/>
              <w:bidi w:val="0"/>
              <w:spacing w:before="0" w:after="283"/>
              <w:jc w:val="left"/>
              <w:rPr/>
            </w:pPr>
            <w:r>
              <w:rPr/>
              <w:t>​</w:t>
            </w:r>
          </w:p>
        </w:tc>
      </w:tr>
      <w:tr>
        <w:trPr/>
        <w:tc>
          <w:tcPr>
            <w:tcW w:w="2115" w:type="dxa"/>
            <w:tcBorders/>
            <w:tcMar>
              <w:bottom w:w="0" w:type="dxa"/>
            </w:tcMar>
            <w:vAlign w:val="center"/>
          </w:tcPr>
          <w:p>
            <w:pPr>
              <w:pStyle w:val="TableContents"/>
              <w:bidi w:val="0"/>
              <w:spacing w:before="0" w:after="283"/>
              <w:jc w:val="left"/>
              <w:rPr>
                <w:spacing w:val="-2"/>
              </w:rPr>
            </w:pPr>
            <w:r>
              <w:rPr>
                <w:spacing w:val="-2"/>
              </w:rPr>
              <w:t xml:space="preserve">Lisa M. Vorakoun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0"/>
              <w:jc w:val="center"/>
              <w:rPr>
                <w:spacing w:val="-2"/>
              </w:rPr>
            </w:pPr>
            <w:r>
              <w:rPr>
                <w:spacing w:val="-2"/>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41" w:type="dxa"/>
            <w:tcBorders/>
            <w:tcMar>
              <w:bottom w:w="0" w:type="dxa"/>
            </w:tcMar>
            <w:vAlign w:val="center"/>
          </w:tcPr>
          <w:p>
            <w:pPr>
              <w:pStyle w:val="TableContents"/>
              <w:bidi w:val="0"/>
              <w:spacing w:before="0" w:after="283"/>
              <w:jc w:val="left"/>
              <w:rPr/>
            </w:pPr>
            <w:r>
              <w:rPr>
                <w:spacing w:val="-2"/>
              </w:rPr>
              <w:t>Senior Vice President &amp; Chief Accounting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Biographical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Information for John P. Albright, member of the Board and our President and Chief Executive Officer, is contained above under the heading “PROPOSAL 1: ELECTION OF DIRECTORS.” Information is set forth below with regard to our other executive officers. We have determined we have five executive officers who served during 2024. All of our officers serve at the pleasure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Steven R. Greathouse</w:t>
      </w:r>
      <w:r>
        <w:rPr>
          <w:rFonts w:ascii="Arial;Helvetica;sans-serif" w:hAnsi="Arial;Helvetica;sans-serif"/>
          <w:b w:val="false"/>
          <w:i w:val="false"/>
          <w:caps w:val="false"/>
          <w:smallCaps w:val="false"/>
          <w:color w:val="000000"/>
          <w:spacing w:val="-2"/>
          <w:sz w:val="20"/>
        </w:rPr>
        <w:t xml:space="preserve"> has been an employee of the Company since January 2012, most recently serving as Senior Vice President and Chief Investment Officer since February 2021, and prior to that as Senior Vice President, Investments from January 2015 to February 2021, and prior to that as Director of Investments. Mr. Greathouse has served as the Senior Vice President and Chief Investment Officer of Alpine since February 2021, and served as Alpine’s Senior Vice President, Investments from Alpine’s formation in August 2019 to February 2021. Prior to his employment with the Company, Mr. Greathouse served as the Director of Finance at N3 Real Estate, a single-tenant triple net property developer. Prior to that, he was a Senior Associate, Merchant Banking-Investment Management for Morgan Stanley and Crescent Real Estate Equities, a publicly traded REIT based in Fort Worth, Texas. Mr. Greathouse received his MBA and undergraduate degrees from Texas Christian University in 2006 and 2000, respectively.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Philip R. Mays</w:t>
      </w:r>
      <w:r>
        <w:rPr>
          <w:rFonts w:ascii="Arial;Helvetica;sans-serif" w:hAnsi="Arial;Helvetica;sans-serif"/>
          <w:b w:val="false"/>
          <w:i w:val="false"/>
          <w:caps w:val="false"/>
          <w:smallCaps w:val="false"/>
          <w:color w:val="000000"/>
          <w:spacing w:val="-2"/>
          <w:sz w:val="20"/>
        </w:rPr>
        <w:t xml:space="preserve"> has served as our Senior Vice President, Chief Financial Officer and Treasurer since June 2024. Mr. Mays has served as Senior Vice President, Chief Financial Officer and Treasurer of Alpine since June 2024. Mr. Mays previously served as Chief Financial Officer of Shadow Box Studios, an owner and developer of soundstage facilities, from September 2021 to February 2024. Prior to Shadowbox Studios, from June 2011 to September 2021, Mr. Mays was Chief Financial Officer of Cedar Realty Trust (“Cedar”), a NYSE-listed retail REIT. Before joining Cedar, Mr. Mays served as Chief Accounting Officer and Vice President of Finance of Federal Realty Investment Trust, a NYSE-listed retail REIT from May 2005 to June 2011. Earlier in his career, Mr. Mays held various accounting and finance positions, including seven years as an accountant at Ernst &amp; Young LLP. Mr. Mays received his Bachelor of Science in Accounting and Finance from Jacksonville University. He is a member of the American Institute of Certified Public Accountants.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Daniel E. Smith</w:t>
      </w:r>
      <w:r>
        <w:rPr>
          <w:rFonts w:ascii="Arial;Helvetica;sans-serif" w:hAnsi="Arial;Helvetica;sans-serif"/>
          <w:b w:val="false"/>
          <w:i w:val="false"/>
          <w:caps w:val="false"/>
          <w:smallCaps w:val="false"/>
          <w:color w:val="000000"/>
          <w:spacing w:val="-2"/>
          <w:sz w:val="20"/>
        </w:rPr>
        <w:t xml:space="preserve"> has served as our Senior Vice President, General Counsel and Corporate Secretary since October 2014. Mr. Smith has served as the Senior Vice President, General Counsel and Corporate Secretary of Alpine since its formation in August 2019. Prior to his employment with the Company, Mr. Smith served as Vice President-Hospitality and Vice President and Associate General Counsel at Goldman Sachs &amp; Co. from December 2007 to October 2014. Prior to Goldman, he spent ten years at Crescent Real Estate Equities, a publicly traded REIT based in Fort Worth, Texas, where he held several positions in the legal department, most recently Senior Vice President and General Counsel. Mr. Smith received his J.D. and LL.M. degrees from Duke University School of Law and his undergraduate degree from Brigham Young University in 1993 and 1990, respectively.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Lisa M. Vorakoun</w:t>
      </w:r>
      <w:r>
        <w:rPr>
          <w:rFonts w:ascii="Arial;Helvetica;sans-serif" w:hAnsi="Arial;Helvetica;sans-serif"/>
          <w:b w:val="false"/>
          <w:i w:val="false"/>
          <w:caps w:val="false"/>
          <w:smallCaps w:val="false"/>
          <w:color w:val="000000"/>
          <w:spacing w:val="-2"/>
          <w:sz w:val="20"/>
        </w:rPr>
        <w:t xml:space="preserve"> has been an employee of the Company since January 2013, most recently serving as Senior Vice President and Chief Accounting Officer since April 2024, and prior to that as Vice President and Chief Accounting Officer from July 2020 to April 2024. Ms. Vorakoun has served as the Senior Vice President and Chief Accounting Officer of Alpine since April 2024, and served as Alpine’s Vice President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880"/>
        <w:ind w:left="13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and Chief Accounting Officer from July 2020 to April 2024. Ms. Vorakoun served as the Interim Chief Financial Officer and Treasurer of the Company and Alpine from April 2024 to June 2024. Ms. Vorakoun began her career at James Moore &amp; Co., a full-service regional accounting and consulting firm where she managed audit clients in various industries from January 2006 to September 2012. Ms. Vorakoun received her Bachelor of Science and Masters of Accounting from Florida State University. She is a member of the American Institute of Certified Public Accountants and the Florida Institute of Certified Public Accountants.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OO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BENEFICIAL OWNERSHIP OF COMMON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contains information as of April 17, 2025, unless otherwise noted, on the beneficial ownership of the shares of our common stock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73"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Chief Executive Officer, Chief Financial Officer, Chief Investment Officer, Chief Accounting Officer and General Counsel (collectively, our “named executive officers” or “NEOs”);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74"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directors and executive officers as a group;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75"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Beneficial owners of more than 5% of the outstanding shares of our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76"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50" w:type="dxa"/>
          <w:right w:w="0" w:type="dxa"/>
        </w:tblCellMar>
      </w:tblPr>
      <w:tblGrid>
        <w:gridCol w:w="2872"/>
        <w:gridCol w:w="109"/>
        <w:gridCol w:w="109"/>
        <w:gridCol w:w="109"/>
        <w:gridCol w:w="109"/>
        <w:gridCol w:w="921"/>
        <w:gridCol w:w="109"/>
        <w:gridCol w:w="109"/>
        <w:gridCol w:w="109"/>
        <w:gridCol w:w="197"/>
        <w:gridCol w:w="197"/>
        <w:gridCol w:w="627"/>
        <w:gridCol w:w="199"/>
        <w:gridCol w:w="109"/>
        <w:gridCol w:w="109"/>
        <w:gridCol w:w="109"/>
        <w:gridCol w:w="109"/>
        <w:gridCol w:w="1198"/>
        <w:gridCol w:w="109"/>
        <w:gridCol w:w="109"/>
        <w:gridCol w:w="109"/>
        <w:gridCol w:w="109"/>
        <w:gridCol w:w="109"/>
        <w:gridCol w:w="592"/>
        <w:gridCol w:w="109"/>
        <w:gridCol w:w="156"/>
      </w:tblGrid>
      <w:tr>
        <w:trPr/>
        <w:tc>
          <w:tcPr>
            <w:tcW w:w="8656" w:type="dxa"/>
            <w:gridSpan w:val="25"/>
            <w:tcBorders>
              <w:bottom w:val="single" w:sz="2" w:space="0" w:color="000000"/>
            </w:tcBorders>
            <w:vAlign w:val="center"/>
          </w:tcPr>
          <w:p>
            <w:pPr>
              <w:pStyle w:val="TableContents"/>
              <w:bidi w:val="0"/>
              <w:spacing w:lineRule="atLeast" w:line="142" w:before="0" w:after="0"/>
              <w:jc w:val="center"/>
              <w:rPr/>
            </w:pPr>
            <w:r>
              <w:rPr>
                <w:spacing w:val="-2"/>
              </w:rPr>
              <w:t>NUMBER OF SHARES OF COMMON STOCK BENEFICIALLY OWNED</w:t>
            </w:r>
            <w:r>
              <w:rPr>
                <w:spacing w:val="-2"/>
                <w:sz w:val="10"/>
              </w:rPr>
              <w:t>(1)</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2" w:type="dxa"/>
            <w:tcBorders>
              <w:bottom w:val="single" w:sz="2" w:space="0" w:color="000000"/>
            </w:tcBorders>
            <w:tcMar>
              <w:bottom w:w="4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8"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Restricted </w:t>
              <w:br/>
              <w:t xml:space="preserve">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0"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Options </w:t>
              <w:br/>
              <w:t xml:space="preserve">Exercisable </w:t>
              <w:br/>
              <w:t xml:space="preserve">Within </w:t>
              <w:br/>
              <w:t xml:space="preserve">60 Days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5"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Other Shares </w:t>
              <w:br/>
              <w:t xml:space="preserve">Beneficially </w:t>
              <w:b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Percent </w:t>
              <w:br/>
              <w:t xml:space="preserve">of </w:t>
              <w:br/>
              <w:t>Class</w:t>
            </w:r>
            <w:r>
              <w:rPr>
                <w:spacing w:val="-2"/>
                <w:sz w:val="10"/>
              </w:rPr>
              <w:t>(2)</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2"/>
              </w:rPr>
            </w:pPr>
            <w:r>
              <w:rPr>
                <w:spacing w:val="-2"/>
              </w:rPr>
              <w:t xml:space="preserve">John P. Albright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62,410</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562,492</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2"/>
              </w:rPr>
            </w:pPr>
            <w:r>
              <w:rPr>
                <w:spacing w:val="-2"/>
              </w:rPr>
              <w:t xml:space="preserve">George R. Brokaw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93,559</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2"/>
              </w:rPr>
            </w:pPr>
            <w:r>
              <w:rPr>
                <w:spacing w:val="-2"/>
              </w:rPr>
              <w:t xml:space="preserve">Christopher J. Drew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20,303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2"/>
              </w:rPr>
            </w:pPr>
            <w:r>
              <w:rPr>
                <w:spacing w:val="-2"/>
              </w:rPr>
              <w:t xml:space="preserve">Laura M. Franklin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55,155</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2"/>
              </w:rPr>
            </w:pPr>
            <w:r>
              <w:rPr>
                <w:spacing w:val="-2"/>
              </w:rPr>
              <w:t xml:space="preserve">R. Blakeslee Gable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44,155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51,001</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133,288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2"/>
              </w:rPr>
            </w:pPr>
            <w:r>
              <w:rPr>
                <w:spacing w:val="-2"/>
              </w:rPr>
              <w:t xml:space="preserve">Philip R. Mays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12,841</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2"/>
              </w:rPr>
            </w:pPr>
            <w:r>
              <w:rPr>
                <w:spacing w:val="-2"/>
              </w:rPr>
              <w:t xml:space="preserve">Christopher W. Haga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51,413</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2"/>
              </w:rPr>
            </w:pPr>
            <w:r>
              <w:rPr>
                <w:spacing w:val="-2"/>
              </w:rPr>
              <w:t xml:space="preserve">Matthew M. Partridge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66,272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2"/>
              </w:rPr>
            </w:pPr>
            <w:r>
              <w:rPr>
                <w:spacing w:val="-2"/>
              </w:rPr>
              <w:t xml:space="preserve">Daniel E. Smith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31,103</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167,393</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2"/>
              </w:rPr>
            </w:pPr>
            <w:r>
              <w:rPr>
                <w:spacing w:val="-2"/>
              </w:rPr>
              <w:t xml:space="preserve">Lisa M. Vorakoun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24,798</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21,211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ind w:left="200" w:right="0" w:hanging="200"/>
              <w:jc w:val="left"/>
              <w:rPr>
                <w:spacing w:val="-2"/>
              </w:rPr>
            </w:pPr>
            <w:r>
              <w:rPr>
                <w:spacing w:val="-2"/>
              </w:rPr>
              <w:t xml:space="preserve">Directors and current executive officers as a group (10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182,153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1,148,969</w:t>
            </w:r>
            <w:r>
              <w:rPr>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283"/>
              <w:jc w:val="left"/>
              <w:rPr/>
            </w:pPr>
            <w:r>
              <w:rPr>
                <w:spacing w:val="0"/>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z w:val="15"/>
              </w:rPr>
            </w:pPr>
            <w:r>
              <w:rPr>
                <w:spacing w:val="-2"/>
                <w:sz w:val="20"/>
              </w:rPr>
              <w:t>BlackRock, Inc.</w:t>
            </w:r>
            <w:r>
              <w:rPr>
                <w:spacing w:val="-1"/>
                <w:sz w:val="13"/>
              </w:rPr>
              <w:t>(11)</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3,804,127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z w:val="15"/>
              </w:rPr>
            </w:pPr>
            <w:r>
              <w:rPr>
                <w:spacing w:val="-2"/>
                <w:sz w:val="20"/>
              </w:rPr>
              <w:t>Vanguard Group, The</w:t>
            </w:r>
            <w:r>
              <w:rPr>
                <w:spacing w:val="-1"/>
                <w:sz w:val="13"/>
              </w:rPr>
              <w:t>(12)</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2,514,789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Less than 1% individually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77"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information furnished by the individuals named in the table, includes shares for which the named person has sole voting or investment power or shared voting or investment power. Under SEC rules, more than one person may be deemed to be a beneficial owner of the same securities, and a person may be deemed to be a beneficial owner of securities as to which he or she has no beneficial economic interest. Except as stated in the notes below, the persons indicated possessed sole voting and investment power with respect to all shares set forth opposite their names.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78"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32,934,716 shares of common stock issued and outstanding as of April 17,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79"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following restricted stock grants to each of the indicated employees of the Company: (i) remaining shares of restricted stock awarded as part of year-end 2022 and 2023 compensation; (ii) restricted stock awarded as part of year-end 2024 compensation; and (iii) the July 2022 Retention Awards (as defined in footnote (1) on page 47 below). Each of the indicated employees has the right to direct the voting of these shares of restricted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0"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restricted stock awarded to Mr. Mays as part of year-end 2024 compensation. Mr. Mays has the right to direct the voting of these shares of restricted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1"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355 shares held in an individual retirement account owned by Mr. Albright’s spouse.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2"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56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3,858 shares held by the Babette Brokaw Revocable Trust, with respect to which Mr. Brokaw is both a beneficiary and a trustee.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54000" cy="350520"/>
                <wp:effectExtent l="0" t="0" r="0" b="0"/>
                <wp:wrapSquare wrapText="right"/>
                <wp:docPr id="83"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Includes 13,728 shares over which Ms. Franklin shares voting and investment power with her spouse. </w:t>
      </w:r>
      <w:r>
        <mc:AlternateContent>
          <mc:Choice Requires="wps">
            <w:drawing>
              <wp:anchor behindDoc="0" distT="508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84"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28,520 shares held by a trust with respect to which Mr. Haga’s spouse is both a beneficiary and a trustee, of which Mr. Haga disclaims beneficial ownership.</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85"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(i) 137,397 shares over which Mr. Smith shares voting and investment power with his spouse and (ii) 6,000 shares over which Mr. Smith shares voting and investment power with another family member.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86"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189,858 shares regarding which directors and executive officers share voting and investment power with others.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2">
                <wp:simplePos x="0" y="0"/>
                <wp:positionH relativeFrom="column">
                  <wp:align>left</wp:align>
                </wp:positionH>
                <wp:positionV relativeFrom="line">
                  <wp:align>top</wp:align>
                </wp:positionV>
                <wp:extent cx="254000" cy="525780"/>
                <wp:effectExtent l="0" t="0" r="0" b="0"/>
                <wp:wrapSquare wrapText="right"/>
                <wp:docPr id="87" name="Frame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the information provided pursuant to a statement on a Schedule 13G/A filed with the SEC on February 5, 2025, BlackRock, Inc. (“Blackrock”) has sole power to vote or direct the vote of 3,700,833 shares of our common stock, and sole power to dispose or direct the disposition of 3,804,127 shares of our common stock. BlackRock does not have the shared power to vote or direct the vote of or the shared power to dispose or direct the disposition of any shares of our common stock. The business address for BlackRock is 50 Hudson Yards, New York, NY 10001.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3">
                <wp:simplePos x="0" y="0"/>
                <wp:positionH relativeFrom="column">
                  <wp:align>left</wp:align>
                </wp:positionH>
                <wp:positionV relativeFrom="line">
                  <wp:align>top</wp:align>
                </wp:positionV>
                <wp:extent cx="254000" cy="525780"/>
                <wp:effectExtent l="0" t="0" r="0" b="0"/>
                <wp:wrapSquare wrapText="right"/>
                <wp:docPr id="88" name="Frame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Based on the information provided pursuant to a statement on a Schedule 13G filed with the SEC on January 30, 2025, The Vanguard Group (“Vanguard”) has shared power to vote or direct the vote of 12,623 shares of our common stock, and sole power to dispose or direct the disposition of 2,495,411 shares of our common stock, and shared power to dispose or direct the disposition of 19,378 shares of our common stock. Vanguard does not have the sole power to vote or direct the vote of any shares of our common stock. The business address for Vanguard is 100 Vanguard Blvd., Malvern, PA 19355. </w:t>
      </w:r>
      <w:r>
        <mc:AlternateContent>
          <mc:Choice Requires="wps">
            <w:drawing>
              <wp:anchor behindDoc="0" distT="50800" distB="0" distL="0" distR="0" simplePos="0" locked="0" layoutInCell="1" allowOverlap="1" relativeHeight="104">
                <wp:simplePos x="0" y="0"/>
                <wp:positionH relativeFrom="column">
                  <wp:align>left</wp:align>
                </wp:positionH>
                <wp:positionV relativeFrom="line">
                  <wp:align>top</wp:align>
                </wp:positionV>
                <wp:extent cx="254000" cy="525780"/>
                <wp:effectExtent l="0" t="0" r="0" b="0"/>
                <wp:wrapSquare wrapText="right"/>
                <wp:docPr id="89" name="Frame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DA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DISCUSSION AND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Overview</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Compensation Discussion and Analysis (“CD&amp;A”) is intended to provide an overview and analysis of the material elements of our executive compensation program and policies during the 2024 fiscal year for the following individuals,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John P. Albright, age 59, our President &amp; CEO;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0"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Steven R. Greathouse, age 47, our Senior Vice President &amp; Chief Investment Officer (“CIO”);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1"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Matthew M. Partridge, age 41, our former Senior Vice President, Chief Financial Officer &amp; Treasurer (“CFO”) during fiscal year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2"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Philip R. Mays, age 57, our CFO during fiscal year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93"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Daniel E. Smith, age 59, our Senior Vice President, General Counsel &amp; Corporate Secretary (“General Counsel”);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94"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Lisa M. Vorakoun, age 41, our Senior Vice President &amp; Chief Accounting Officer (“CAO”).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95"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Following this overview is a series of tables and related narrative containing specific information pertaining to the compensation earned in 2024 by our NEOs. The discussion below is intended to put the information contained in the tables into context with our overall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Summary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Company Performance</w:t>
      </w:r>
      <w:r>
        <w:rPr>
          <w:rFonts w:ascii="Arial;Helvetica;sans-serif" w:hAnsi="Arial;Helvetica;sans-serif"/>
          <w:b/>
          <w:i/>
          <w:caps w:val="false"/>
          <w:smallCaps w:val="false"/>
          <w:color w:val="000000"/>
          <w:sz w:val="20"/>
        </w:rPr>
        <w:t>.</w:t>
      </w:r>
      <w:r>
        <w:rPr>
          <w:rFonts w:ascii="Arial;Helvetica;sans-serif" w:hAnsi="Arial;Helvetica;sans-serif"/>
          <w:b w:val="false"/>
          <w:i w:val="false"/>
          <w:caps w:val="false"/>
          <w:smallCaps w:val="false"/>
          <w:color w:val="000000"/>
          <w:spacing w:val="-2"/>
          <w:sz w:val="20"/>
        </w:rPr>
        <w:t>   2024 marked the completion of our fourth full year of operations after converting to a REIT at the end of 2020, which followed a multi-year process of repositioning the Company in a tax-efficient manner from primarily an owner of undeveloped land in Florida into a self-managed equity REIT focused on the ownership, management and repositioning of high-quality retail and mixed-use properties located primarily in what we believe to be faster-growing, business-friendly markets. We continued to manage through the challenges presented by the lasting impacts of a global pandemic and an inflationary economy, all while delivering positive stockholder returns, and ending fiscal year 2024 as the 17</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best performing REIT (out of 127) on a trailing 3-year basis, based on total stockholder return.</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29275" cy="1943100"/>
            <wp:effectExtent l="0" t="0" r="0" b="0"/>
            <wp:docPr id="9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 descr=""/>
                    <pic:cNvPicPr>
                      <a:picLocks noChangeAspect="1" noChangeArrowheads="1"/>
                    </pic:cNvPicPr>
                  </pic:nvPicPr>
                  <pic:blipFill>
                    <a:blip r:embed="rId7"/>
                    <a:stretch>
                      <a:fillRect/>
                    </a:stretch>
                  </pic:blipFill>
                  <pic:spPr bwMode="auto">
                    <a:xfrm>
                      <a:off x="0" y="0"/>
                      <a:ext cx="5629275" cy="1943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other achievements for fiscal year 2024 included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Invested $226.8 million into six retail acquisitions and one land parcel at favorable return rates in primarily high-growth markets.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97"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Originated four structured investments totaling $104.0 million at favorable return rates.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98"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Opportunistically recycled capital by disposing of two income properties at attractive cap rates, and monetized additional non-income producing assets.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99"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Raised net proceeds of $165.2 million under the Company’s common stock ATM offering program.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0"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28"/>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Continued to successfully execute the opportunistic growth and capital recycling strategy for Alpine, including meaningfully enhancing its credit profile.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15">
                <wp:simplePos x="0" y="0"/>
                <wp:positionH relativeFrom="column">
                  <wp:align>left</wp:align>
                </wp:positionH>
                <wp:positionV relativeFrom="line">
                  <wp:posOffset>635</wp:posOffset>
                </wp:positionV>
                <wp:extent cx="127000" cy="350520"/>
                <wp:effectExtent l="0" t="0" r="0" b="0"/>
                <wp:wrapSquare wrapText="right"/>
                <wp:docPr id="101"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Reported full-year Net Income (Loss), Core FFO and AFFO per diluted share of ($0.35), $1.88, and $2.00, respectively.</w:t>
      </w:r>
      <w:r>
        <w:rPr>
          <w:rFonts w:ascii="Arial;Helvetica;sans-serif" w:hAnsi="Arial;Helvetica;sans-serif"/>
          <w:b w:val="false"/>
          <w:i w:val="false"/>
          <w:caps w:val="false"/>
          <w:smallCaps w:val="false"/>
          <w:color w:val="000000"/>
          <w:spacing w:val="-1"/>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2"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Despite several significant tenant credit challenges, grew same-property leased occupancy by 215 basis points, while same-property net operating income increased by 4.0%.</w:t>
      </w:r>
      <w:r>
        <w:rPr>
          <w:rFonts w:ascii="Arial;Helvetica;sans-serif" w:hAnsi="Arial;Helvetica;sans-serif"/>
          <w:b w:val="false"/>
          <w:i w:val="false"/>
          <w:caps w:val="false"/>
          <w:smallCaps w:val="false"/>
          <w:color w:val="000000"/>
          <w:spacing w:val="-1"/>
          <w:sz w:val="15"/>
        </w:rPr>
        <w:t>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3"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Executive Compensation</w:t>
      </w:r>
      <w:r>
        <w:rPr>
          <w:rFonts w:ascii="Arial;Helvetica;sans-serif" w:hAnsi="Arial;Helvetica;sans-serif"/>
          <w:b/>
          <w:i/>
          <w:caps w:val="false"/>
          <w:smallCaps w:val="false"/>
          <w:color w:val="000000"/>
          <w:sz w:val="20"/>
        </w:rPr>
        <w:t>.</w:t>
      </w:r>
      <w:r>
        <w:rPr>
          <w:rFonts w:ascii="Arial;Helvetica;sans-serif" w:hAnsi="Arial;Helvetica;sans-serif"/>
          <w:b w:val="false"/>
          <w:i w:val="false"/>
          <w:caps w:val="false"/>
          <w:smallCaps w:val="false"/>
          <w:color w:val="000000"/>
          <w:spacing w:val="-2"/>
          <w:sz w:val="20"/>
        </w:rPr>
        <w:t>   The Board of Directors and Compensation Committee continued the implementation of our redesigned executive compensation practices, including the following actions and general principles: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adhered to our stated disciplined approach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04"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Granted modest annual equity awards (rather than periodic large equity awards intended to cover multiple years).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05"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Benchmarked total compensation against a well-constructed and relevant peer group.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06"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Tailored an appropriate pay mix for our NEOs, placing an emphasis on incentive “at risk” compensation using rigorous pre-set goals that are objective and measurable. The following chart illustrates our CEO’s total compensation for 2024 (with both cash and equity incentive awards reflected at target level). As the chart details, 75% of our CEO’s compensation was “at risk” and/or subject to the achievement of certain performance measures: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07"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3457575" cy="1971675"/>
            <wp:effectExtent l="0" t="0" r="0" b="0"/>
            <wp:docPr id="1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 descr=""/>
                    <pic:cNvPicPr>
                      <a:picLocks noChangeAspect="1" noChangeArrowheads="1"/>
                    </pic:cNvPicPr>
                  </pic:nvPicPr>
                  <pic:blipFill>
                    <a:blip r:embed="rId8"/>
                    <a:stretch>
                      <a:fillRect/>
                    </a:stretch>
                  </pic:blipFill>
                  <pic:spPr bwMode="auto">
                    <a:xfrm>
                      <a:off x="0" y="0"/>
                      <a:ext cx="3457575" cy="1971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0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Determined payouts for our NEOs under the Annual Incentive Plan based on Company performance in 2024, and also established the metrics, weighting and goals for fiscal year 2025. We note that as a result of last year’s performance, payout for 2024 under the Annual Incentive Plan was at the “outperform” level for the objective metrics.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95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09"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Set 2025 target compensation for our NEOs, including adjustments to base salary and establishing award opportunities under the Annual Incentive Plan and long-term equity incentives.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0"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Engaged Ferguson Partners Consulting (“Ferguson Partners”), one of the leading compensation consulting firms in the REIT industry, to serve as the Company’s independent compensation consultant.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1"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calculations of Core FFO per diluted share and AFFO per diluted share, see pages 49 – 51 of our Annual Report on Form 10-K filed with the SEC on February 20, 2025, which also includes a GAAP reconciliation of these non-GAAP measures.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2"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For calculations of same-property net operating income, 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which also includes a GAAP reconciliation of this non-GAAP measure.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3"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Compensation Philosophy and Objectives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executive compensation program is designed to attract and retain executive officers by aligning their interests with those of our stockholders. This program is structured to motivate executive officers to achieve performance goals established by the Board and to create long-term allegiance to the Company’s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executive compensation program rewards executive officers for achievement of annual and long-term goals, based on their individual performance and their contribution to the overall performance of the Company. It is intended to balance both stable and incentive-based cash pay, through set salaries and an annual cash incentive program, with rewards for long-term performance through an equity incentive plan using primarily time-based restricted stock which vests over three years and performance shares which vest at the end of a three-year performance period contingent on the achievement of predetermined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Risks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has reviewed the elements of compensation to determine whether they encourage excessive risk taking and concluded that any risks arising from the Company’s compensation policies and practices for its employees are not reasonably likely to have a material adverse effect on the Company. We believe that the mix and design of the elements of compensation do not encourage employees to assume excessive risks. Our incentive compensation programs are largely tied to objectively determinable financial and operating results. As a part of its oversight of our compensation policies and practices, the Compensation Committee monitors the actions of management to ensure that our incentive compensation programs are not creating an environment of excessive risk taking which could be detrimental to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Role of the Compensation Committee and Executive Officers in Compensation Decisions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has primary responsibility for determining our compensation philosophy, approving the compensation of our NEOs other than the CEO, and recommending to the Board the approval of compensation for the CEO. While the Compensation Committee reviews the total compensation paid to each of the NEOs, it considers each element of our executive compensation program to be separate and distinct. We have not adopted any formal or informal policy for allocating executive compensation between annual and long-term or between cash and non-cash. The Compensation Committee has historically made these allocation decisions each year based on the performance goals and objectives achieved for that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full Board (other than Mr. Albright) aids the Compensation Committee by providing annual evaluations regarding the performance of our CEO. Mr. Albright also provides an annual evaluation to the Compensation Committee regarding the performance of our other NEOs and a recommendation on compensation for them and for all other officers and managers. In addition, certain members of our senior management team provide support to the Compensation Committee by coordinating meeting logistics, preparing and disseminating relevant financial and non-financial Company information and relevant data concerning our peer companies as a supplement to the comparative market data prepared by the independent compensation consultant, as well as making recommendations with respect to performance metrics and related goals. Mr. Albright attends meetings (or portions thereof) at the Compensation Committee’s request and recommends to the Compensation Committee compensation changes affecting the other members of our senior management team. However, Mr. Albright plays no role in setting his own compensation. Also, at the Compensation Committee’s request, our General Counsel attends meetings to act as Secretary and record the minutes of the meetings, provide updates on legal developments, and make presentations regarding certain organizational matters. The Compensation Committee regularly meets separately in executive session, outside the presence of management, generally at each regularly scheduled meeting and at other times as necessary or desirable.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Compensation Committee may from time to time, in its sole discretion, retain or seek advice from compensation consultants, independent counsel, and other advisors, and is directly responsible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determining the compensation of, and overseeing, such advisors. As noted above, the Compensation Committee has engaged independent consultants in the past to review our compensation practices and plans, and most recently engaged Ferguson Partners to assist in this review. The Compensation Committee determined that the engagement of Ferguson Partners does not raise any conflicts of interest. In making this determination, the Compensation Committee noted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Ferguson Partners does not provide any other services to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4"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Ferguson Partners received no fees from the Company in 2020 through 2024 other than (i) in connection with the engagement by the Compensation Committee and (ii) in 2024, the Company retained Ferguson Partners’ executive search division in connection with the search for the Company’s replacement CFO;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15"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Ferguson Partners maintains a conflicts policy to prevent a conflict of interest or any other independence issue;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16"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none of the Ferguson Partners team assigned to the Company had any business or personal relationship with members of the Compensation Committee outside of the engagement;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17"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none of the Ferguson Partners team assigned to the Company had any business or personal relationship with any of our NEOs outside of the engagement;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18"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none of the Ferguson Partners team assigned to the Company owned any of our common stock.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19"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scope of Ferguson Partners’ engagement for 2024 was to advise the Compensation Committee on matters related to the compensation of our executive officers, including the continued implementation and application of our enhanced compensation practices. In 2024, Ferguson Partners supported the Compensation Committee by (i) attending Compensation Committee meetings, (ii) providing advice on the application of our enhanced compensation practices, (iii) preparing and presenting analyses on compensation levels, including competitive assessments of the Company’s practices and policies, and (iv) assisting the Company in preparing compensation-related materials and disclosure as requested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Advisory Vote to Approve Executive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our annual meeting of stockholders, we conduct an advisory vote to approve executive compensation. While these votes are not binding on the Company, the Board, or the Compensation Committee, we believe that it is important for our stockholders to have an opportunity to vote on this proposal on an annual basis to express their views regarding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Recent Say-on-Pay Votes</w:t>
      </w:r>
      <w:r>
        <w:rPr>
          <w:rFonts w:ascii="Arial;Helvetica;sans-serif" w:hAnsi="Arial;Helvetica;sans-serif"/>
          <w:b w:val="false"/>
          <w:i w:val="false"/>
          <w:caps w:val="false"/>
          <w:smallCaps w:val="false"/>
          <w:color w:val="000000"/>
          <w:spacing w:val="4"/>
          <w:sz w:val="20"/>
        </w:rPr>
        <w:t xml:space="preserve"> </w:t>
      </w:r>
    </w:p>
    <w:tbl>
      <w:tblPr>
        <w:tblW w:w="9305" w:type="dxa"/>
        <w:jc w:val="left"/>
        <w:tblInd w:w="1393" w:type="dxa"/>
        <w:tblLayout w:type="fixed"/>
        <w:tblCellMar>
          <w:top w:w="0" w:type="dxa"/>
          <w:left w:w="0" w:type="dxa"/>
          <w:bottom w:w="0" w:type="dxa"/>
          <w:right w:w="0" w:type="dxa"/>
        </w:tblCellMar>
      </w:tblPr>
      <w:tblGrid>
        <w:gridCol w:w="124"/>
        <w:gridCol w:w="1631"/>
        <w:gridCol w:w="109"/>
        <w:gridCol w:w="109"/>
        <w:gridCol w:w="1631"/>
        <w:gridCol w:w="109"/>
        <w:gridCol w:w="109"/>
        <w:gridCol w:w="1631"/>
        <w:gridCol w:w="109"/>
        <w:gridCol w:w="109"/>
        <w:gridCol w:w="1631"/>
        <w:gridCol w:w="109"/>
        <w:gridCol w:w="109"/>
        <w:gridCol w:w="1631"/>
        <w:gridCol w:w="154"/>
      </w:tblGrid>
      <w:tr>
        <w:trPr/>
        <w:tc>
          <w:tcPr>
            <w:tcW w:w="124"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spacing w:val="-2"/>
              </w:rPr>
            </w:pPr>
            <w:r>
              <w:rPr>
                <w:spacing w:val="-2"/>
              </w:rPr>
              <w:t xml:space="preserve">2020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spacing w:val="-2"/>
              </w:rPr>
            </w:pPr>
            <w:r>
              <w:rPr>
                <w:spacing w:val="-2"/>
              </w:rPr>
              <w:t xml:space="preserve">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spacing w:val="-2"/>
              </w:rPr>
            </w:pPr>
            <w:r>
              <w:rPr>
                <w:spacing w:val="-2"/>
              </w:rPr>
              <w:t xml:space="preserve">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spacing w:val="-2"/>
              </w:rPr>
            </w:pPr>
            <w:r>
              <w:rPr>
                <w:spacing w:val="-2"/>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ind w:left="600" w:right="0" w:hanging="0"/>
              <w:jc w:val="left"/>
              <w:rPr>
                <w:spacing w:val="-2"/>
              </w:rPr>
            </w:pPr>
            <w:r>
              <w:rPr>
                <w:spacing w:val="-2"/>
              </w:rPr>
              <w:t xml:space="preserve">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pPr>
            <w:r>
              <w:rPr/>
              <w:drawing>
                <wp:inline distT="0" distB="0" distL="0" distR="0">
                  <wp:extent cx="981075" cy="981075"/>
                  <wp:effectExtent l="0" t="0" r="0" b="0"/>
                  <wp:docPr id="1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 descr=""/>
                          <pic:cNvPicPr>
                            <a:picLocks noChangeAspect="1" noChangeArrowheads="1"/>
                          </pic:cNvPicPr>
                        </pic:nvPicPr>
                        <pic:blipFill>
                          <a:blip r:embed="rId9"/>
                          <a:stretch>
                            <a:fillRect/>
                          </a:stretch>
                        </pic:blipFill>
                        <pic:spPr bwMode="auto">
                          <a:xfrm>
                            <a:off x="0" y="0"/>
                            <a:ext cx="981075" cy="981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pPr>
            <w:r>
              <w:rPr/>
              <w:drawing>
                <wp:inline distT="0" distB="0" distL="0" distR="0">
                  <wp:extent cx="981075" cy="981075"/>
                  <wp:effectExtent l="0" t="0" r="0" b="0"/>
                  <wp:docPr id="1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 descr=""/>
                          <pic:cNvPicPr>
                            <a:picLocks noChangeAspect="1" noChangeArrowheads="1"/>
                          </pic:cNvPicPr>
                        </pic:nvPicPr>
                        <pic:blipFill>
                          <a:blip r:embed="rId10"/>
                          <a:stretch>
                            <a:fillRect/>
                          </a:stretch>
                        </pic:blipFill>
                        <pic:spPr bwMode="auto">
                          <a:xfrm>
                            <a:off x="0" y="0"/>
                            <a:ext cx="981075" cy="981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pPr>
            <w:r>
              <w:rPr/>
              <w:drawing>
                <wp:inline distT="0" distB="0" distL="0" distR="0">
                  <wp:extent cx="981075" cy="981075"/>
                  <wp:effectExtent l="0" t="0" r="0" b="0"/>
                  <wp:docPr id="1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 descr=""/>
                          <pic:cNvPicPr>
                            <a:picLocks noChangeAspect="1" noChangeArrowheads="1"/>
                          </pic:cNvPicPr>
                        </pic:nvPicPr>
                        <pic:blipFill>
                          <a:blip r:embed="rId11"/>
                          <a:stretch>
                            <a:fillRect/>
                          </a:stretch>
                        </pic:blipFill>
                        <pic:spPr bwMode="auto">
                          <a:xfrm>
                            <a:off x="0" y="0"/>
                            <a:ext cx="981075" cy="981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pPr>
            <w:r>
              <w:rPr/>
              <w:drawing>
                <wp:inline distT="0" distB="0" distL="0" distR="0">
                  <wp:extent cx="981075" cy="981075"/>
                  <wp:effectExtent l="0" t="0" r="0" b="0"/>
                  <wp:docPr id="1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 descr=""/>
                          <pic:cNvPicPr>
                            <a:picLocks noChangeAspect="1" noChangeArrowheads="1"/>
                          </pic:cNvPicPr>
                        </pic:nvPicPr>
                        <pic:blipFill>
                          <a:blip r:embed="rId12"/>
                          <a:stretch>
                            <a:fillRect/>
                          </a:stretch>
                        </pic:blipFill>
                        <pic:spPr bwMode="auto">
                          <a:xfrm>
                            <a:off x="0" y="0"/>
                            <a:ext cx="981075" cy="981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0"/>
              <w:jc w:val="center"/>
              <w:rPr/>
            </w:pPr>
            <w:r>
              <w:rPr/>
              <w:drawing>
                <wp:inline distT="0" distB="0" distL="0" distR="0">
                  <wp:extent cx="981075" cy="981075"/>
                  <wp:effectExtent l="0" t="0" r="0" b="0"/>
                  <wp:docPr id="1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 descr=""/>
                          <pic:cNvPicPr>
                            <a:picLocks noChangeAspect="1" noChangeArrowheads="1"/>
                          </pic:cNvPicPr>
                        </pic:nvPicPr>
                        <pic:blipFill>
                          <a:blip r:embed="rId13"/>
                          <a:stretch>
                            <a:fillRect/>
                          </a:stretch>
                        </pic:blipFill>
                        <pic:spPr bwMode="auto">
                          <a:xfrm>
                            <a:off x="0" y="0"/>
                            <a:ext cx="981075" cy="981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2024 Annual Meeting, 97.5% of the votes cast on the advisory vote to approve the executive compensation proposal were in favor of our NEOs’ compensation as disclosed in our proxy statement, and as a result the proposal was approved. This outcome was consistent with our recent history of strong stockholder support for the Company’s executive compensation program. In evaluating our compensation program in 2024, we were mindful of our stockholders’ consistent support over the years of the Company’s executive compensation programs.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determined that our stockholders should vote on a Say-on-Pay proposal each year, consistent with the preference expressed at the Company’s 2023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Competitive Considerations (Peer Group)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Starting in 2017, in connection with the redesign of our executive compensation practices and based on advice from our compensation consultant at that time, we implemented the practice of formally benchmarking executive compensation. The benchmarking data assists the Compensation Committee in comparing overall compensation practices against a broad mix of companies to ensure that our compensation practices are reasonable in light of both industry trends and the size of the Company. The Compensation Committee views the compensation practices of our peer companies as a useful reference point when structuring each component of compensation and total remuneration overall. While references are made to the median of our peer group, the Compensation Committee does not target the median, average or any specific percentile of the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the assistance of our compensation consultant, as a result of our transformation over the last several years from primarily a Florida land company to a retail-focused REIT, for the purposes of evaluating and setting 2024 executive compensation levels, the Compensation Committee established a peer group of the 12 companies listed below, all of which were publicly traded REITs as of the dates for which executive officer compensation information was available for benchmarking purposes. Two of the peer group companies are no longer publicly traded, although their public disclosures regarding compensation were available and taken into consideration as part of the benchmarking exercise. As of year-end 2024, the median market capitalization of the 10 remaining publicly traded peer group companies was approximately $772 million, and as of April 17, 2025, the median market capitalization was $677 million.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2024 PEER GROUP</w:t>
      </w:r>
      <w:r>
        <w:rPr>
          <w:rFonts w:ascii="Arial;Helvetica;sans-serif" w:hAnsi="Arial;Helvetica;sans-serif"/>
          <w:b/>
          <w:i w:val="false"/>
          <w:caps w:val="false"/>
          <w:smallCaps w:val="false"/>
          <w:color w:val="000000"/>
          <w:spacing w:val="4"/>
          <w:sz w:val="20"/>
        </w:rPr>
        <w:t xml:space="preserve"> </w:t>
      </w:r>
    </w:p>
    <w:tbl>
      <w:tblPr>
        <w:tblW w:w="7654" w:type="dxa"/>
        <w:jc w:val="left"/>
        <w:tblInd w:w="1393" w:type="dxa"/>
        <w:tblLayout w:type="fixed"/>
        <w:tblCellMar>
          <w:top w:w="0" w:type="dxa"/>
          <w:left w:w="0" w:type="dxa"/>
          <w:bottom w:w="0" w:type="dxa"/>
          <w:right w:w="0" w:type="dxa"/>
        </w:tblCellMar>
      </w:tblPr>
      <w:tblGrid>
        <w:gridCol w:w="124"/>
        <w:gridCol w:w="3698"/>
        <w:gridCol w:w="109"/>
        <w:gridCol w:w="109"/>
        <w:gridCol w:w="3460"/>
        <w:gridCol w:w="154"/>
      </w:tblGrid>
      <w:tr>
        <w:trPr/>
        <w:tc>
          <w:tcPr>
            <w:tcW w:w="124" w:type="dxa"/>
            <w:tcBorders/>
            <w:vAlign w:val="center"/>
          </w:tcPr>
          <w:p>
            <w:pPr>
              <w:pStyle w:val="TableContents"/>
              <w:bidi w:val="0"/>
              <w:spacing w:before="0" w:after="283"/>
              <w:jc w:val="left"/>
              <w:rPr/>
            </w:pPr>
            <w:r>
              <w:rPr/>
              <w:t>​</w:t>
            </w:r>
          </w:p>
        </w:tc>
        <w:tc>
          <w:tcPr>
            <w:tcW w:w="3698" w:type="dxa"/>
            <w:tcBorders/>
            <w:vAlign w:val="center"/>
          </w:tcPr>
          <w:p>
            <w:pPr>
              <w:pStyle w:val="TableContents"/>
              <w:bidi w:val="0"/>
              <w:spacing w:lineRule="atLeast" w:line="200" w:before="0" w:after="0"/>
              <w:ind w:left="400" w:right="0" w:hanging="0"/>
              <w:jc w:val="left"/>
              <w:rPr/>
            </w:pPr>
            <w:r>
              <w:rPr>
                <w:spacing w:val="-2"/>
              </w:rPr>
              <w:t>Armada Hoffler Properties, Inc.</w:t>
            </w:r>
            <w:r>
              <w:rPr/>
              <w:t xml:space="preserve"> </w:t>
            </w:r>
            <w:r>
              <mc:AlternateContent>
                <mc:Choice Requires="wps">
                  <w:drawing>
                    <wp:anchor behindDoc="0" distT="0" distB="0" distL="127000" distR="0" simplePos="0" locked="0" layoutInCell="1" allowOverlap="1" relativeHeight="133">
                      <wp:simplePos x="0" y="0"/>
                      <wp:positionH relativeFrom="column">
                        <wp:align>left</wp:align>
                      </wp:positionH>
                      <wp:positionV relativeFrom="line">
                        <wp:posOffset>635</wp:posOffset>
                      </wp:positionV>
                      <wp:extent cx="127000" cy="350520"/>
                      <wp:effectExtent l="0" t="0" r="0" b="0"/>
                      <wp:wrapSquare wrapText="right"/>
                      <wp:docPr id="12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Chatham Lodging Trust</w:t>
            </w:r>
            <w:r>
              <w:rPr/>
              <w:t xml:space="preserve"> </w:t>
            </w:r>
            <w:r>
              <mc:AlternateContent>
                <mc:Choice Requires="wps">
                  <w:drawing>
                    <wp:anchor behindDoc="0" distT="101600" distB="0" distL="127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City Office REIT, Inc. </w:t>
            </w:r>
            <w:r>
              <mc:AlternateContent>
                <mc:Choice Requires="wps">
                  <w:drawing>
                    <wp:anchor behindDoc="0" distT="101600" distB="0" distL="127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Community Healthcare Trust Inc. </w:t>
            </w:r>
            <w:r>
              <mc:AlternateContent>
                <mc:Choice Requires="wps">
                  <w:drawing>
                    <wp:anchor behindDoc="0" distT="101600" distB="0" distL="127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Four Corners Property Trust, Inc. </w:t>
            </w:r>
            <w:r>
              <mc:AlternateContent>
                <mc:Choice Requires="wps">
                  <w:drawing>
                    <wp:anchor behindDoc="0" distT="101600" distB="0" distL="127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Getty Realty Corp. </w:t>
            </w:r>
            <w:r>
              <mc:AlternateContent>
                <mc:Choice Requires="wps">
                  <w:drawing>
                    <wp:anchor behindDoc="0" distT="101600" distB="0" distL="127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0" w:type="dxa"/>
            <w:tcBorders/>
            <w:vAlign w:val="center"/>
          </w:tcPr>
          <w:p>
            <w:pPr>
              <w:pStyle w:val="TableContents"/>
              <w:bidi w:val="0"/>
              <w:spacing w:lineRule="atLeast" w:line="200" w:before="0" w:after="0"/>
              <w:ind w:left="400" w:right="0" w:hanging="0"/>
              <w:jc w:val="left"/>
              <w:rPr/>
            </w:pPr>
            <w:r>
              <w:rPr>
                <w:spacing w:val="-2"/>
              </w:rPr>
              <w:t>NETSTREIT Corp.</w:t>
            </w:r>
            <w:r>
              <w:rPr/>
              <w:t xml:space="preserve"> </w:t>
            </w:r>
            <w:r>
              <mc:AlternateContent>
                <mc:Choice Requires="wps">
                  <w:drawing>
                    <wp:anchor behindDoc="0" distT="0" distB="0" distL="127000" distR="0" simplePos="0" locked="0" layoutInCell="1" allowOverlap="1" relativeHeight="139">
                      <wp:simplePos x="0" y="0"/>
                      <wp:positionH relativeFrom="column">
                        <wp:align>left</wp:align>
                      </wp:positionH>
                      <wp:positionV relativeFrom="line">
                        <wp:posOffset>635</wp:posOffset>
                      </wp:positionV>
                      <wp:extent cx="127000" cy="350520"/>
                      <wp:effectExtent l="0" t="0" r="0" b="0"/>
                      <wp:wrapSquare wrapText="right"/>
                      <wp:docPr id="13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One Liberty Properties Inc.</w:t>
            </w:r>
            <w:r>
              <w:rPr/>
              <w:t xml:space="preserve"> </w:t>
            </w:r>
            <w:r>
              <mc:AlternateContent>
                <mc:Choice Requires="wps">
                  <w:drawing>
                    <wp:anchor behindDoc="0" distT="101600" distB="0" distL="127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ind w:left="200" w:right="0" w:hanging="0"/>
              <w:jc w:val="left"/>
              <w:rPr/>
            </w:pPr>
            <w:r>
              <w:rPr>
                <w:spacing w:val="-2"/>
              </w:rPr>
              <w:t>•</w:t>
            </w:r>
            <w:r>
              <w:rPr/>
              <w:t xml:space="preserve"> </w:t>
            </w:r>
          </w:p>
          <w:p>
            <w:pPr>
              <w:pStyle w:val="TableContents"/>
              <w:bidi w:val="0"/>
              <w:spacing w:lineRule="atLeast" w:line="200" w:before="0" w:after="0"/>
              <w:ind w:left="400" w:right="0" w:hanging="0"/>
              <w:jc w:val="left"/>
              <w:rPr/>
            </w:pPr>
            <w:r>
              <w:rPr>
                <w:spacing w:val="-2"/>
              </w:rPr>
              <w:t>Plymouth Industrial REIT, Inc.</w:t>
            </w:r>
            <w:r>
              <w:rPr/>
              <w:t xml:space="preserve"> </w:t>
            </w:r>
            <w:r>
              <mc:AlternateContent>
                <mc:Choice Requires="wps">
                  <w:drawing>
                    <wp:anchor behindDoc="0" distT="0" distB="0" distL="127000" distR="0" simplePos="0" locked="0" layoutInCell="1" allowOverlap="1" relativeHeight="141">
                      <wp:simplePos x="0" y="0"/>
                      <wp:positionH relativeFrom="column">
                        <wp:align>left</wp:align>
                      </wp:positionH>
                      <wp:positionV relativeFrom="line">
                        <wp:posOffset>635</wp:posOffset>
                      </wp:positionV>
                      <wp:extent cx="127000" cy="350520"/>
                      <wp:effectExtent l="0" t="0" r="0" b="0"/>
                      <wp:wrapSquare wrapText="right"/>
                      <wp:docPr id="13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RPT Realty</w:t>
            </w:r>
            <w:r>
              <w:rPr/>
              <w:t xml:space="preserve"> </w:t>
            </w:r>
            <w:r>
              <mc:AlternateContent>
                <mc:Choice Requires="wps">
                  <w:drawing>
                    <wp:anchor behindDoc="0" distT="101600" distB="0" distL="127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Urstadt Biddle Properties Inc.</w:t>
            </w:r>
            <w:r>
              <w:rPr/>
              <w:t xml:space="preserve"> </w:t>
            </w:r>
            <w:r>
              <mc:AlternateContent>
                <mc:Choice Requires="wps">
                  <w:drawing>
                    <wp:anchor behindDoc="0" distT="101600" distB="0" distL="127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Whitestone REIT</w:t>
            </w:r>
            <w:r>
              <w:rPr/>
              <w:t xml:space="preserve"> </w:t>
            </w:r>
            <w:r>
              <mc:AlternateContent>
                <mc:Choice Requires="wps">
                  <w:drawing>
                    <wp:anchor behindDoc="0" distT="101600" distB="0" distL="127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Compensation Elements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Base Salary</w:t>
      </w:r>
      <w:r>
        <w:rPr>
          <w:rFonts w:ascii="Arial;Helvetica;sans-serif" w:hAnsi="Arial;Helvetica;sans-serif"/>
          <w:b/>
          <w:i/>
          <w:caps w:val="false"/>
          <w:smallCaps w:val="false"/>
          <w:color w:val="000000"/>
          <w:sz w:val="20"/>
        </w:rPr>
        <w:t>.</w:t>
      </w:r>
      <w:r>
        <w:rPr>
          <w:rFonts w:ascii="Arial;Helvetica;sans-serif" w:hAnsi="Arial;Helvetica;sans-serif"/>
          <w:b w:val="false"/>
          <w:i w:val="false"/>
          <w:caps w:val="false"/>
          <w:smallCaps w:val="false"/>
          <w:color w:val="000000"/>
          <w:spacing w:val="-2"/>
          <w:sz w:val="20"/>
        </w:rPr>
        <w:t>   The Compensation Committee believes that base salaries provide our NEOs with a degree of financial certainty and stability and are essential in attracting and retaining highly qualified individuals. The base salaries of the NEOs were set at the time of their employment, and thereafter have been set annually in February after a review of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their performance during the previous year of the normal responsibilities associated with the NEO’s job description;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additional responsibilities assumed during the previous year, or any special or non-recurring projects undertaken during the year, and the NEO’s performance with respect to such additional responsibilities or projects;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compensation information provided by Ferguson Partners pertaining to our peer group of companies to benchmark each executive’s compensation, including base salary, total cash compensation, total equity compensation, “at risk” compensation, and overall pay mix.</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analyzed the total mix of available information on primarily a qualitative basis in determining base salary. For information regarding each NEO’s performance in 2024, please see below under the heading “</w:t>
      </w:r>
      <w:r>
        <w:rPr>
          <w:rFonts w:ascii="Arial;Helvetica;sans-serif" w:hAnsi="Arial;Helvetica;sans-serif"/>
          <w:b w:val="false"/>
          <w:i/>
          <w:caps w:val="false"/>
          <w:smallCaps w:val="false"/>
          <w:color w:val="000000"/>
          <w:sz w:val="20"/>
        </w:rPr>
        <w:t>Annual Incentive Plan.</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As reflected in the table below, our NEOs’ base salaries remained unchanged from 2023 to 2024. For Mr. Mays, whose employment with the Company began on June 17, 2024, the 2024 amount is annualized. Ms. Vorakoun was appointed Interim Chief Financial Officer and Treasurer in April 2024, and resumed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her role as Senior Vice President and Chief Accounting Officer effective as of the effective date of Mr. Mays’ employment. The amount shown below for 2024 for Ms. Vorakoun reflects her annualized base salary, taking into consideration her transitional roles. Based on the information and advice provided by Ferguson Partners, in an effort to achieve a desirable combination of certainty as well as “at risk” incentive and performance-based compensation, and to achieve target total compensation for our NEOs competitive with our peer group for each NEO position, our NEOs’ base salaries were adjusted for fiscal year 2025 as reflected in the table below.</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716"/>
        <w:gridCol w:w="109"/>
        <w:gridCol w:w="109"/>
        <w:gridCol w:w="109"/>
        <w:gridCol w:w="226"/>
        <w:gridCol w:w="886"/>
        <w:gridCol w:w="109"/>
        <w:gridCol w:w="109"/>
        <w:gridCol w:w="109"/>
        <w:gridCol w:w="109"/>
        <w:gridCol w:w="109"/>
        <w:gridCol w:w="573"/>
        <w:gridCol w:w="109"/>
        <w:gridCol w:w="109"/>
        <w:gridCol w:w="109"/>
        <w:gridCol w:w="109"/>
        <w:gridCol w:w="226"/>
        <w:gridCol w:w="886"/>
        <w:gridCol w:w="109"/>
        <w:gridCol w:w="109"/>
        <w:gridCol w:w="109"/>
        <w:gridCol w:w="109"/>
        <w:gridCol w:w="109"/>
        <w:gridCol w:w="633"/>
        <w:gridCol w:w="109"/>
        <w:gridCol w:w="109"/>
        <w:gridCol w:w="109"/>
        <w:gridCol w:w="109"/>
        <w:gridCol w:w="226"/>
        <w:gridCol w:w="886"/>
        <w:gridCol w:w="109"/>
        <w:gridCol w:w="156"/>
      </w:tblGrid>
      <w:tr>
        <w:trPr/>
        <w:tc>
          <w:tcPr>
            <w:tcW w:w="17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22" w:type="dxa"/>
            <w:gridSpan w:val="28"/>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NEO Base Salaries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716"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0"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increase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gridSpan w:val="4"/>
            <w:tcBorders>
              <w:bottom w:val="single" w:sz="2" w:space="0" w:color="000000"/>
            </w:tcBorders>
            <w:tcMar>
              <w:bottom w:w="43" w:type="dxa"/>
            </w:tcMar>
            <w:vAlign w:val="center"/>
          </w:tcPr>
          <w:p>
            <w:pPr>
              <w:pStyle w:val="TableContents"/>
              <w:bidi w:val="0"/>
              <w:spacing w:before="0" w:after="0"/>
              <w:jc w:val="center"/>
              <w:rPr/>
            </w:pPr>
            <w:r>
              <w:rPr>
                <w:spacing w:val="-2"/>
              </w:rPr>
              <w:t>%</w:t>
            </w:r>
            <w:r>
              <w:rPr/>
              <w:t xml:space="preserve"> </w:t>
              <w:br/>
            </w:r>
            <w:r>
              <w:rPr>
                <w:spacing w:val="0"/>
              </w:rPr>
              <w:t xml:space="preserve">increase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2"/>
              </w:rPr>
            </w:pPr>
            <w:r>
              <w:rPr>
                <w:spacing w:val="-2"/>
              </w:rPr>
              <w:t xml:space="preserve">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716" w:type="dxa"/>
            <w:tcBorders/>
            <w:shd w:fill="CCEEFF" w:val="clear"/>
            <w:tcMar>
              <w:bottom w:w="0" w:type="dxa"/>
            </w:tcMar>
            <w:vAlign w:val="center"/>
          </w:tcPr>
          <w:p>
            <w:pPr>
              <w:pStyle w:val="TableContents"/>
              <w:bidi w:val="0"/>
              <w:spacing w:before="0" w:after="0"/>
              <w:jc w:val="left"/>
              <w:rPr>
                <w:spacing w:val="-2"/>
              </w:rPr>
            </w:pPr>
            <w:r>
              <w:rPr>
                <w:spacing w:val="-2"/>
              </w:rPr>
              <w:t xml:space="preserve">John P. Albright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640,710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3"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640,710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3" w:type="dxa"/>
            <w:tcBorders/>
            <w:shd w:fill="CCEEFF" w:val="clear"/>
            <w:tcMar>
              <w:bottom w:w="0" w:type="dxa"/>
            </w:tcMar>
            <w:vAlign w:val="center"/>
          </w:tcPr>
          <w:p>
            <w:pPr>
              <w:pStyle w:val="TableContents"/>
              <w:bidi w:val="0"/>
              <w:spacing w:before="0" w:after="283"/>
              <w:jc w:val="right"/>
              <w:rPr/>
            </w:pPr>
            <w:r>
              <w:rPr/>
              <w:t>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716" w:type="dxa"/>
            <w:tcBorders/>
            <w:tcMar>
              <w:bottom w:w="0" w:type="dxa"/>
            </w:tcMar>
            <w:vAlign w:val="center"/>
          </w:tcPr>
          <w:p>
            <w:pPr>
              <w:pStyle w:val="TableContents"/>
              <w:bidi w:val="0"/>
              <w:spacing w:before="0" w:after="0"/>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3"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3"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520,000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716" w:type="dxa"/>
            <w:tcBorders/>
            <w:shd w:fill="CCEEFF" w:val="clear"/>
            <w:tcMar>
              <w:bottom w:w="0" w:type="dxa"/>
            </w:tcMar>
            <w:vAlign w:val="center"/>
          </w:tcPr>
          <w:p>
            <w:pPr>
              <w:pStyle w:val="TableContents"/>
              <w:bidi w:val="0"/>
              <w:spacing w:before="0" w:after="0"/>
              <w:jc w:val="left"/>
              <w:rPr>
                <w:spacing w:val="-2"/>
              </w:rPr>
            </w:pPr>
            <w:r>
              <w:rPr>
                <w:spacing w:val="-2"/>
              </w:rPr>
              <w:t xml:space="preserve">Philip R. Mays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3"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3" w:type="dxa"/>
            <w:tcBorders/>
            <w:shd w:fill="CCEEFF" w:val="clear"/>
            <w:tcMar>
              <w:bottom w:w="0" w:type="dxa"/>
            </w:tcMar>
            <w:vAlign w:val="center"/>
          </w:tcPr>
          <w:p>
            <w:pPr>
              <w:pStyle w:val="TableContents"/>
              <w:bidi w:val="0"/>
              <w:spacing w:before="0" w:after="283"/>
              <w:jc w:val="right"/>
              <w:rPr/>
            </w:pPr>
            <w:r>
              <w:rPr/>
              <w:t>10.7%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716" w:type="dxa"/>
            <w:tcBorders/>
            <w:tcMar>
              <w:bottom w:w="0" w:type="dxa"/>
            </w:tcMar>
            <w:vAlign w:val="center"/>
          </w:tcPr>
          <w:p>
            <w:pPr>
              <w:pStyle w:val="TableContents"/>
              <w:bidi w:val="0"/>
              <w:spacing w:before="0" w:after="0"/>
              <w:jc w:val="left"/>
              <w:rPr>
                <w:spacing w:val="-2"/>
              </w:rPr>
            </w:pPr>
            <w:r>
              <w:rPr>
                <w:spacing w:val="-2"/>
              </w:rPr>
              <w:t xml:space="preserve">Matthew M. Partridge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3"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3"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716" w:type="dxa"/>
            <w:tcBorders/>
            <w:shd w:fill="CCEEFF" w:val="clear"/>
            <w:tcMar>
              <w:bottom w:w="0" w:type="dxa"/>
            </w:tcMar>
            <w:vAlign w:val="center"/>
          </w:tcPr>
          <w:p>
            <w:pPr>
              <w:pStyle w:val="TableContents"/>
              <w:bidi w:val="0"/>
              <w:spacing w:before="0" w:after="0"/>
              <w:jc w:val="left"/>
              <w:rPr>
                <w:spacing w:val="-2"/>
              </w:rPr>
            </w:pPr>
            <w:r>
              <w:rPr>
                <w:spacing w:val="-2"/>
              </w:rPr>
              <w:t xml:space="preserve">Daniel E.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3"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3"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335,000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716" w:type="dxa"/>
            <w:tcBorders/>
            <w:tcMar>
              <w:bottom w:w="0" w:type="dxa"/>
            </w:tcMar>
            <w:vAlign w:val="center"/>
          </w:tcPr>
          <w:p>
            <w:pPr>
              <w:pStyle w:val="TableContents"/>
              <w:bidi w:val="0"/>
              <w:spacing w:before="0" w:after="0"/>
              <w:jc w:val="left"/>
              <w:rPr>
                <w:spacing w:val="-2"/>
              </w:rPr>
            </w:pPr>
            <w:r>
              <w:rPr>
                <w:spacing w:val="-2"/>
              </w:rPr>
              <w:t xml:space="preserve">Lisa M. Vorakoun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3"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3"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Annual Incentive Plan</w:t>
      </w:r>
      <w:r>
        <w:rPr>
          <w:rFonts w:ascii="Arial;Helvetica;sans-serif" w:hAnsi="Arial;Helvetica;sans-serif"/>
          <w:b/>
          <w:i/>
          <w:caps w:val="false"/>
          <w:smallCaps w:val="false"/>
          <w:color w:val="000000"/>
          <w:sz w:val="20"/>
        </w:rPr>
        <w:t>.</w:t>
      </w:r>
      <w:r>
        <w:rPr>
          <w:rFonts w:ascii="Arial;Helvetica;sans-serif" w:hAnsi="Arial;Helvetica;sans-serif"/>
          <w:b w:val="false"/>
          <w:i w:val="false"/>
          <w:caps w:val="false"/>
          <w:smallCaps w:val="false"/>
          <w:color w:val="000000"/>
          <w:spacing w:val="-2"/>
          <w:sz w:val="20"/>
        </w:rPr>
        <w:t>   The purpose of the Annual Incentive Plan is to create a mutuality of interest between management and the Company’s stockholders through an annual cash incentive structure designed to incentivize and reward specific actions and outcomes that will contribute to and accelerate execution of the Company’s long-term strategic business plan, thereby increasing long-term stockholder value. During the beginning of each fiscal year, the Compensation Committee, with the assistance of its compensation consultant, establishes for each plan participant (i) target cash incentive amounts (usually a percentage of base salary), as well as (ii) objective performance metrics that will be used to evaluate the NEOs’ performance during the coming year, including the relative weighting among the various metrics. In addition, the Compensation Committee will establish, for each metric, a “threshold,” “target,” and “outperform/maximum” level of achievement (each, a “Goal” and, collectively, the “Goals”). The “threshold” Goal means the minimum level of achievement pertaining to the metric required for an award to be earned under the Annual Incentive Plan; the “target” Goal means the level of achievement pertaining to the metric required for the target award to be earned; and the “outperform/maximum” Goal means the level of achievement pertaining to the metric required for the maximum award. Payout percentages are as set forth in the following table. Linear interpolation is used to determine amounts earned and paid based on achievement levels between the “threshold” and “target” Goals and between the “target” and “outperform/maximum” Goals.</w:t>
      </w:r>
      <w:r>
        <w:rPr>
          <w:rFonts w:ascii="Arial;Helvetica;sans-serif" w:hAnsi="Arial;Helvetica;sans-serif"/>
          <w:b w:val="false"/>
          <w:i w:val="false"/>
          <w:caps w:val="false"/>
          <w:smallCaps w:val="false"/>
          <w:color w:val="000000"/>
          <w:spacing w:val="4"/>
          <w:sz w:val="20"/>
        </w:rPr>
        <w:t xml:space="preserve"> </w:t>
      </w:r>
    </w:p>
    <w:tbl>
      <w:tblPr>
        <w:tblW w:w="4540" w:type="dxa"/>
        <w:jc w:val="left"/>
        <w:tblInd w:w="1393" w:type="dxa"/>
        <w:tblLayout w:type="fixed"/>
        <w:tblCellMar>
          <w:top w:w="0" w:type="dxa"/>
          <w:left w:w="0" w:type="dxa"/>
          <w:bottom w:w="28" w:type="dxa"/>
          <w:right w:w="0" w:type="dxa"/>
        </w:tblCellMar>
      </w:tblPr>
      <w:tblGrid>
        <w:gridCol w:w="124"/>
        <w:gridCol w:w="1275"/>
        <w:gridCol w:w="109"/>
        <w:gridCol w:w="109"/>
        <w:gridCol w:w="1275"/>
        <w:gridCol w:w="109"/>
        <w:gridCol w:w="109"/>
        <w:gridCol w:w="127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262" w:type="dxa"/>
            <w:gridSpan w:val="7"/>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Annual Incentive Plan Payout Opportunity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275" w:type="dxa"/>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5" w:type="dxa"/>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6" w:type="dxa"/>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Outperform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75" w:type="dxa"/>
            <w:tcBorders/>
            <w:tcMar>
              <w:bottom w:w="0" w:type="dxa"/>
            </w:tcMar>
            <w:vAlign w:val="center"/>
          </w:tcPr>
          <w:p>
            <w:pPr>
              <w:pStyle w:val="TableContents"/>
              <w:bidi w:val="0"/>
              <w:spacing w:before="0" w:after="0"/>
              <w:jc w:val="center"/>
              <w:rPr>
                <w:spacing w:val="-2"/>
              </w:rPr>
            </w:pPr>
            <w:r>
              <w:rPr>
                <w:spacing w:val="-2"/>
              </w:rPr>
              <w:t xml:space="preserve">% of 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5" w:type="dxa"/>
            <w:tcBorders/>
            <w:tcMar>
              <w:bottom w:w="0" w:type="dxa"/>
            </w:tcMar>
            <w:vAlign w:val="center"/>
          </w:tcPr>
          <w:p>
            <w:pPr>
              <w:pStyle w:val="TableContents"/>
              <w:bidi w:val="0"/>
              <w:spacing w:before="0" w:after="0"/>
              <w:jc w:val="center"/>
              <w:rPr>
                <w:spacing w:val="-2"/>
              </w:rPr>
            </w:pPr>
            <w:r>
              <w:rPr>
                <w:spacing w:val="-2"/>
              </w:rPr>
              <w:t xml:space="preserve">% of 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center"/>
              <w:rPr>
                <w:spacing w:val="-2"/>
              </w:rPr>
            </w:pPr>
            <w:r>
              <w:rPr>
                <w:spacing w:val="-2"/>
              </w:rPr>
              <w:t xml:space="preserve">% of Target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75" w:type="dxa"/>
            <w:tcBorders/>
            <w:tcMar>
              <w:bottom w:w="0" w:type="dxa"/>
            </w:tcMar>
            <w:vAlign w:val="center"/>
          </w:tcPr>
          <w:p>
            <w:pPr>
              <w:pStyle w:val="TableContents"/>
              <w:bidi w:val="0"/>
              <w:spacing w:before="0" w:after="0"/>
              <w:jc w:val="center"/>
              <w:rPr>
                <w:spacing w:val="-2"/>
              </w:rPr>
            </w:pPr>
            <w:r>
              <w:rPr>
                <w:spacing w:val="-2"/>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5" w:type="dxa"/>
            <w:tcBorders/>
            <w:tcMar>
              <w:bottom w:w="0" w:type="dxa"/>
            </w:tcMar>
            <w:vAlign w:val="center"/>
          </w:tcPr>
          <w:p>
            <w:pPr>
              <w:pStyle w:val="TableContents"/>
              <w:bidi w:val="0"/>
              <w:spacing w:before="0" w:after="0"/>
              <w:jc w:val="center"/>
              <w:rPr>
                <w:spacing w:val="-2"/>
              </w:rPr>
            </w:pPr>
            <w:r>
              <w:rPr>
                <w:spacing w:val="-2"/>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center"/>
              <w:rPr/>
            </w:pPr>
            <w:r>
              <w:rPr>
                <w:spacing w:val="-2"/>
              </w:rPr>
              <w:t>200%</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Compensation Committee may exercise its discretion to allocate superior performance with respect to one or more metrics to the unachieved potential pertaining to another metric, so long as the total amount earned does not exceed the participant’s overall award potential. For 2024, the Compensation Committee selected one objective metric, weighted as 70% of the target annual incentive amount for the year, then established objective, measurable Goals for evaluation of that metric.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performance metric under the Annual Incentive Plan for 2024 is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AFFO Per Diluted Share</w:t>
      </w:r>
      <w:r>
        <w:rPr>
          <w:rFonts w:ascii="Arial;Helvetica;sans-serif" w:hAnsi="Arial;Helvetica;sans-serif"/>
          <w:b w:val="false"/>
          <w:i w:val="false"/>
          <w:caps w:val="false"/>
          <w:smallCaps w:val="false"/>
          <w:color w:val="000000"/>
          <w:spacing w:val="-2"/>
          <w:sz w:val="20"/>
        </w:rPr>
        <w:t>:   By the end of 2020, the Company had largely completed its primary strategic objective of monetizing its land portfolio and redeploying the proceeds into income properties, which culminated in the Company’s conversion to a diversified retail-focused REIT. The Compensation Committee, with the assistance of Ferguson Partners, determined that “adjusted funds from operations,” or “AFFO per diluted share” would be the most appropriate metric to gauge management’s effective operation of the Company’s business as a REIT. As a result, for 2024, the Annual Incentive Plan allocation to the Company’s AFFO per diluted share was 70%.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4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the weighting and Goals established during the first 90 days of 2024 under the Annual Incentive Plan for the above metric, along with the actual 2024 results achieved by management and the outcome under the metric, as determined by the Compensation Committee.</w:t>
      </w:r>
      <w:r>
        <w:rPr>
          <w:rFonts w:ascii="Arial;Helvetica;sans-serif" w:hAnsi="Arial;Helvetica;sans-serif"/>
          <w:b w:val="false"/>
          <w:i w:val="false"/>
          <w:caps w:val="false"/>
          <w:smallCaps w:val="false"/>
          <w:color w:val="000000"/>
          <w:spacing w:val="4"/>
          <w:sz w:val="20"/>
        </w:rPr>
        <w:t xml:space="preserve"> </w:t>
      </w:r>
    </w:p>
    <w:tbl>
      <w:tblPr>
        <w:tblW w:w="10792" w:type="dxa"/>
        <w:jc w:val="left"/>
        <w:tblInd w:w="543" w:type="dxa"/>
        <w:tblLayout w:type="fixed"/>
        <w:tblCellMar>
          <w:top w:w="0" w:type="dxa"/>
          <w:left w:w="0" w:type="dxa"/>
          <w:bottom w:w="28" w:type="dxa"/>
          <w:right w:w="0" w:type="dxa"/>
        </w:tblCellMar>
      </w:tblPr>
      <w:tblGrid>
        <w:gridCol w:w="2563"/>
        <w:gridCol w:w="109"/>
        <w:gridCol w:w="109"/>
        <w:gridCol w:w="1560"/>
        <w:gridCol w:w="109"/>
        <w:gridCol w:w="109"/>
        <w:gridCol w:w="1071"/>
        <w:gridCol w:w="109"/>
        <w:gridCol w:w="109"/>
        <w:gridCol w:w="1339"/>
        <w:gridCol w:w="109"/>
        <w:gridCol w:w="109"/>
        <w:gridCol w:w="1159"/>
        <w:gridCol w:w="109"/>
        <w:gridCol w:w="109"/>
        <w:gridCol w:w="1856"/>
        <w:gridCol w:w="154"/>
      </w:tblGrid>
      <w:tr>
        <w:trPr/>
        <w:tc>
          <w:tcPr>
            <w:tcW w:w="25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06" w:type="dxa"/>
            <w:gridSpan w:val="7"/>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GOALS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59"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2"/>
              </w:rPr>
            </w:pPr>
            <w:r>
              <w:rPr>
                <w:spacing w:val="-2"/>
              </w:rPr>
              <w:t xml:space="preserve">2024 </w:t>
              <w:br/>
              <w:t xml:space="preserve">RESULTS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856"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2"/>
              </w:rPr>
            </w:pPr>
            <w:r>
              <w:rPr>
                <w:spacing w:val="-2"/>
              </w:rPr>
              <w:t xml:space="preserve">2024 </w:t>
              <w:br/>
              <w:t xml:space="preserve">ACHIEVEMENT </w:t>
              <w:b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2563" w:type="dxa"/>
            <w:tcBorders>
              <w:bottom w:val="single" w:sz="2" w:space="0" w:color="000000"/>
            </w:tcBorders>
            <w:tcMar>
              <w:bottom w:w="50" w:type="dxa"/>
            </w:tcMar>
            <w:vAlign w:val="center"/>
          </w:tcPr>
          <w:p>
            <w:pPr>
              <w:pStyle w:val="TableContents"/>
              <w:bidi w:val="0"/>
              <w:spacing w:before="0" w:after="0"/>
              <w:jc w:val="left"/>
              <w:rPr>
                <w:spacing w:val="0"/>
              </w:rPr>
            </w:pPr>
            <w:r>
              <w:rPr>
                <w:spacing w:val="0"/>
              </w:rPr>
              <w:t xml:space="preserve">METRIC (weighting)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THRESHOLD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TARGET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59"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856" w:type="dxa"/>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2563" w:type="dxa"/>
            <w:tcBorders/>
            <w:tcMar>
              <w:bottom w:w="0" w:type="dxa"/>
            </w:tcMar>
            <w:vAlign w:val="center"/>
          </w:tcPr>
          <w:p>
            <w:pPr>
              <w:pStyle w:val="TableContents"/>
              <w:bidi w:val="0"/>
              <w:spacing w:before="0" w:after="283"/>
              <w:jc w:val="left"/>
              <w:rPr/>
            </w:pPr>
            <w:r>
              <w:rPr>
                <w:spacing w:val="-2"/>
              </w:rPr>
              <w:t>AFFO Per Diluted Share (70%)</w:t>
            </w:r>
            <w:r>
              <w:rPr>
                <w:spacing w:val="-1"/>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0" w:type="dxa"/>
            <w:tcBorders/>
            <w:tcMar>
              <w:bottom w:w="0" w:type="dxa"/>
            </w:tcMar>
            <w:vAlign w:val="center"/>
          </w:tcPr>
          <w:p>
            <w:pPr>
              <w:pStyle w:val="TableContents"/>
              <w:bidi w:val="0"/>
              <w:spacing w:before="0" w:after="0"/>
              <w:jc w:val="center"/>
              <w:rPr>
                <w:spacing w:val="-2"/>
              </w:rPr>
            </w:pPr>
            <w:r>
              <w:rPr>
                <w:spacing w:val="-2"/>
              </w:rPr>
              <w:t xml:space="preserve">$1.50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1" w:type="dxa"/>
            <w:tcBorders/>
            <w:tcMar>
              <w:bottom w:w="0" w:type="dxa"/>
            </w:tcMar>
            <w:vAlign w:val="center"/>
          </w:tcPr>
          <w:p>
            <w:pPr>
              <w:pStyle w:val="TableContents"/>
              <w:bidi w:val="0"/>
              <w:spacing w:before="0" w:after="0"/>
              <w:jc w:val="center"/>
              <w:rPr>
                <w:spacing w:val="-2"/>
              </w:rPr>
            </w:pPr>
            <w:r>
              <w:rPr>
                <w:spacing w:val="-2"/>
              </w:rPr>
              <w:t xml:space="preserve">$1.61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9" w:type="dxa"/>
            <w:tcBorders/>
            <w:tcMar>
              <w:bottom w:w="0" w:type="dxa"/>
            </w:tcMar>
            <w:vAlign w:val="center"/>
          </w:tcPr>
          <w:p>
            <w:pPr>
              <w:pStyle w:val="TableContents"/>
              <w:bidi w:val="0"/>
              <w:spacing w:before="0" w:after="0"/>
              <w:jc w:val="center"/>
              <w:rPr>
                <w:spacing w:val="-2"/>
              </w:rPr>
            </w:pPr>
            <w:r>
              <w:rPr>
                <w:spacing w:val="-2"/>
              </w:rPr>
              <w:t xml:space="preserve">$1.80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center"/>
              <w:rPr>
                <w:spacing w:val="-2"/>
              </w:rPr>
            </w:pPr>
            <w:r>
              <w:rPr>
                <w:spacing w:val="-2"/>
              </w:rPr>
              <w:t xml:space="preserve">$2.00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6" w:type="dxa"/>
            <w:tcBorders/>
            <w:tcMar>
              <w:bottom w:w="0" w:type="dxa"/>
            </w:tcMar>
            <w:vAlign w:val="center"/>
          </w:tcPr>
          <w:p>
            <w:pPr>
              <w:pStyle w:val="TableContents"/>
              <w:bidi w:val="0"/>
              <w:spacing w:before="0" w:after="0"/>
              <w:jc w:val="center"/>
              <w:rPr/>
            </w:pPr>
            <w:r>
              <w:rPr>
                <w:spacing w:val="-2"/>
              </w:rPr>
              <w:t>305%</w:t>
            </w:r>
            <w:r>
              <w:rPr>
                <w:spacing w:val="-1"/>
                <w:sz w:val="13"/>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3" w:type="dxa"/>
            <w:tcBorders/>
            <w:tcMar>
              <w:bottom w:w="0" w:type="dxa"/>
            </w:tcMar>
            <w:vAlign w:val="center"/>
          </w:tcPr>
          <w:p>
            <w:pPr>
              <w:pStyle w:val="TableContents"/>
              <w:bidi w:val="0"/>
              <w:spacing w:before="0" w:after="283"/>
              <w:jc w:val="left"/>
              <w:rPr/>
            </w:pPr>
            <w:r>
              <w:rPr>
                <w:spacing w:val="-2"/>
              </w:rPr>
              <w:t xml:space="preserve">Strategic Objectives / </w:t>
              <w:br/>
              <w:t xml:space="preserve">Qualitative / Discretionary (30%) </w:t>
              <w:br/>
              <w:t xml:space="preserve">− Same Store Leased </w:t>
              <w:br/>
              <w:t xml:space="preserve">Occupancy Change </w:t>
              <w:br/>
              <w:t xml:space="preserve">− Net Debt + Preferred / Pro </w:t>
              <w:br/>
              <w:t>Forma Adjusted EBITDA</w:t>
            </w:r>
            <w:r>
              <w:rPr>
                <w:spacing w:val="-1"/>
                <w:szCs w:val="13"/>
              </w:rPr>
              <w:t>﻿</w:t>
            </w:r>
            <w:r>
              <w:rPr>
                <w:spacing w:val="-1"/>
                <w:sz w:val="13"/>
              </w:rPr>
              <w:t>(3)</w:t>
            </w:r>
            <w:r>
              <w:rPr/>
              <w:t xml:space="preserve"> </w:t>
              <w:br/>
            </w:r>
            <w:r>
              <w:rPr>
                <w:spacing w:val="-2"/>
              </w:rPr>
              <w:t xml:space="preserve">− Income property acquisition volume </w:t>
              <w:br/>
              <w:t xml:space="preserve">− Improvement of Earnings Profile </w:t>
              <w:br/>
              <w:t xml:space="preserve">− Execution of Strategic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06" w:type="dxa"/>
            <w:gridSpan w:val="7"/>
            <w:tcBorders/>
            <w:tcMar>
              <w:bottom w:w="0" w:type="dxa"/>
            </w:tcMar>
            <w:vAlign w:val="center"/>
          </w:tcPr>
          <w:p>
            <w:pPr>
              <w:pStyle w:val="TableContents"/>
              <w:bidi w:val="0"/>
              <w:spacing w:before="0" w:after="0"/>
              <w:jc w:val="center"/>
              <w:rPr>
                <w:spacing w:val="-2"/>
              </w:rPr>
            </w:pPr>
            <w:r>
              <w:rPr>
                <w:spacing w:val="-2"/>
              </w:rPr>
              <w:t xml:space="preserve">Based on individual and collective </w:t>
              <w:br/>
              <w:t xml:space="preserve">performance as determined by </w:t>
              <w:br/>
              <w:t xml:space="preserve">the Compensation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6" w:type="dxa"/>
            <w:tcBorders/>
            <w:tcMar>
              <w:bottom w:w="0" w:type="dxa"/>
            </w:tcMar>
            <w:vAlign w:val="center"/>
          </w:tcPr>
          <w:p>
            <w:pPr>
              <w:pStyle w:val="TableContents"/>
              <w:bidi w:val="0"/>
              <w:spacing w:before="0" w:after="0"/>
              <w:jc w:val="center"/>
              <w:rPr/>
            </w:pPr>
            <w:r>
              <w:rPr>
                <w:spacing w:val="-2"/>
              </w:rPr>
              <w:t>Varies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calculations of FFO per diluted share, Core FFO per diluted share, and AFFO per diluted share, see pages 49 - 51 of our Annual Report on Form 10-K filed with the SEC on February 20, 2025, which also includes a GAAP reconciliation of these non-GAAP measures.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While achievement for this Goal was 305% of target (calculated using linear interpolation), overall payouts under the Annual Incentive Plan are capped at 200% of target.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2"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calculations of net debt + preferred / pro forma adjusted EBITDA, see Appendix A to this proxy statement, which also includes a GAAP reconciliation of this non-GAAP measure.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Regarding the qualitative portion of the Annual Incentive Plan for 2024, the Compensation Committee’s determinations regarding eligibility for such portion for each of our NEOs is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under the leadership of Mr. Albright, the Company accomplished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Total Stockholder Return</w:t>
      </w:r>
      <w:r>
        <w:rPr>
          <w:rFonts w:ascii="Arial;Helvetica;sans-serif" w:hAnsi="Arial;Helvetica;sans-serif"/>
          <w:b w:val="false"/>
          <w:i w:val="false"/>
          <w:caps w:val="false"/>
          <w:smallCaps w:val="false"/>
          <w:color w:val="000000"/>
          <w:spacing w:val="-2"/>
          <w:sz w:val="20"/>
        </w:rPr>
        <w:t>.   The Company delivered total stockholder return (“TSR”) of 23.5% during 2024, through a combination of share price appreciation and our $0.38 per share quarterly dividend, which we established at the end of 2022. Our one-year, three-year and five-year total annualized returns significantly outperformed both the MSCI US REIT Index (the “Index”) and the compensation peer group average (see charts on page 29 above). Our $0.38 per share quarterly dividend represented an annualized yield of 7.7% based on the closing price of our common stock on December 31, 2024. The Company declared and paid total dividends in 2024 of $1.52 per diluted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Portfolio Growth and Repositioning</w:t>
      </w:r>
      <w:r>
        <w:rPr>
          <w:rFonts w:ascii="Arial;Helvetica;sans-serif" w:hAnsi="Arial;Helvetica;sans-serif"/>
          <w:b w:val="false"/>
          <w:i w:val="false"/>
          <w:caps w:val="false"/>
          <w:smallCaps w:val="false"/>
          <w:color w:val="000000"/>
          <w:spacing w:val="-2"/>
          <w:sz w:val="20"/>
        </w:rPr>
        <w:t>.   Investments totaled $330.8 million, including six high-quality retail assets, one land parcel and four structured investments, at a weighted average initial cash yield of 9.3%. The locations of the newly acquired properties include well-located submarkets of high-growth cities such as Charlotte, North Carolina, Orlando, Florida, and Tampa, Florida, and include anchor tenants such as Publix, Sprouts, Ross and Nordstrom Rack. In addition, we opportunistically recycled capital by disposing of two of our shopping centers for $38.0 million at a weighted average exit cash cap rate of 8.7% generating aggregate gains of $3.8 million. As a result of our overall portfolio growth, Total Revenues and FFO Attributable to Common Stockholders increased 14.1% and 28.4%, respectively, versus 2023, and have increased 51.3% and 60.2%, respectively, versus 2022.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12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Capital Markets Activity</w:t>
      </w:r>
      <w:r>
        <w:rPr>
          <w:rFonts w:ascii="Arial;Helvetica;sans-serif" w:hAnsi="Arial;Helvetica;sans-serif"/>
          <w:b w:val="false"/>
          <w:i w:val="false"/>
          <w:caps w:val="false"/>
          <w:smallCaps w:val="false"/>
          <w:color w:val="000000"/>
          <w:spacing w:val="-2"/>
          <w:sz w:val="20"/>
        </w:rPr>
        <w:t>.   We raised net proceeds of $165.2 million under the Company’s common stock ATM offering program at a weighted average price per share of $18.79. Further, we reduced net debt to pro forma adjusted EBITDA from 7.6 times to 6.3 times</w:t>
      </w:r>
      <w:r>
        <w:rPr>
          <w:rFonts w:ascii="Arial;Helvetica;sans-serif" w:hAnsi="Arial;Helvetica;sans-serif"/>
          <w:b w:val="false"/>
          <w:i w:val="false"/>
          <w:caps w:val="false"/>
          <w:smallCaps w:val="false"/>
          <w:color w:val="000000"/>
          <w:spacing w:val="-1"/>
          <w:sz w:val="15"/>
        </w:rPr>
        <w:t>1</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Alpine Investment</w:t>
      </w:r>
      <w:r>
        <w:rPr>
          <w:rFonts w:ascii="Arial;Helvetica;sans-serif" w:hAnsi="Arial;Helvetica;sans-serif"/>
          <w:b w:val="false"/>
          <w:i w:val="false"/>
          <w:caps w:val="false"/>
          <w:smallCaps w:val="false"/>
          <w:color w:val="000000"/>
          <w:spacing w:val="-2"/>
          <w:sz w:val="20"/>
        </w:rPr>
        <w:t>.   We continued to successfully execute the current opportunistic growth and capital recycling and credit enhancement strategy for Alpine, an externally advised, net-lease REIT managed by the Company that was formed in August 2019 and completed its initial public offering in November 2019. During 2024, Alpine acquired 12 net lease retail properties for total acquisition volume of $103.6 million, reflecting a weighted-average going-in cash cap rate of 8.2%, and originated $31.1 million of commercial loans and investments at a 10.7% weighted average initial yield. Alpine also disposed of 16 investments (15 properties and repayment of one commercial loan) during 2024 for $75.6 million, at a weighted average exit cap rate of 7.1%. In 2024, Alpine also issued an additional 1,059,217 shares under its ATM program at a weighted average price of $18.04 per share for net proceeds of $18.8 million, and repurchased 45,768 shares for $0.8 million at a weighted average price of $16.90 per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Operations</w:t>
      </w:r>
      <w:r>
        <w:rPr>
          <w:rFonts w:ascii="Arial;Helvetica;sans-serif" w:hAnsi="Arial;Helvetica;sans-serif"/>
          <w:b w:val="false"/>
          <w:i w:val="false"/>
          <w:caps w:val="false"/>
          <w:smallCaps w:val="false"/>
          <w:color w:val="000000"/>
          <w:spacing w:val="-2"/>
          <w:sz w:val="20"/>
        </w:rPr>
        <w:t>.   We reported net income (loss) of ($0.35) per diluted share, and FFO, Core FFO and AFFO per diluted share of $1.89, $1.88 and $2.00,</w:t>
      </w:r>
      <w:r>
        <w:rPr>
          <w:rFonts w:ascii="Arial;Helvetica;sans-serif" w:hAnsi="Arial;Helvetica;sans-serif"/>
          <w:b w:val="false"/>
          <w:i w:val="false"/>
          <w:caps w:val="false"/>
          <w:smallCaps w:val="false"/>
          <w:color w:val="000000"/>
          <w:spacing w:val="-1"/>
          <w:sz w:val="15"/>
        </w:rPr>
        <w:t>2</w:t>
      </w:r>
      <w:r>
        <w:rPr>
          <w:rFonts w:ascii="Arial;Helvetica;sans-serif" w:hAnsi="Arial;Helvetica;sans-serif"/>
          <w:b w:val="false"/>
          <w:i w:val="false"/>
          <w:caps w:val="false"/>
          <w:smallCaps w:val="false"/>
          <w:color w:val="000000"/>
          <w:spacing w:val="-2"/>
          <w:sz w:val="20"/>
        </w:rPr>
        <w:t xml:space="preserve"> respectively. We also signed 452,000 square feet of leases, extensions and renewals at an average per square foot rent of $23.36, with comparable leasing spreads growth of 23.0%, and grew occupancy by 0.10%.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NEO Performance Evaluation and Annual Incentive Plan Computation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evaluated Mr. Albright’s performance for 2024, including a review of the accomplishments described above. Upon the recommendation of the Compensation Committee, the Board determined that with respect to his annual incentive opportunity for 2024 under the Annual Incentive Plan, (i) Mr. Albright had earned 200% of target with respect to the objective goals established at the beginning of 2024 (constituting 70% of his annual incentive compensation opportunity); and (ii) with respect to the strategic/qualitative/discretionary component (constituting the remaining 30% of his annual incentive compensation opportunity), Mr. Albright had earned 200% of target. The determination regarding the strategic/qualitative/discretionary component was based on a combination of factors including outstanding Net Debt + Preferred / Pro Forma Adjusted EBITDA as of year-end 2024, positive change to Same Store Leased Occupancy, and other subjective factors. The foregoing resulted in total payout under the Annual Incentive Plan for 2024 of 200% of his target award (constituting 100% of his annual incentive compensation opportunity).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Albright reviewed Mr. Greathouse’s performance for 2024 with input from the Board. His most significant accomplishments and contributions to the Company’s success included his key role in leading the Company’s asset acquisition, loan origination and asset disposition efforts at both the Company and Alpine. He also led the asset management team with respect to oversight of management and leasing of the Company’s and Alpine’s existing investment portfolio. In February 2025, the Board, upon the recommendation of Mr. Albright and the Compensation Committee, determined that for 2024, Mr. Greathouse was eligible for payout of 200% of target for the 70% of his annual incentive opportunity pertaining to the objective Goals established at the beginning of 2024, and 200% of target for the 30% of his annual incentive opportunity pertaining to strategic/qualitative/discretionary items, for a total payout under the Annual Incentive Plan for 2024 of 200% of his target award (constituting 100% of his annual incentive compensation opportunity).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Mr. Albright reviewed Mr. Mays’ performance for 2024 with input from the Board. His most significant accomplishments and contributions to the Company’s success included his efforts to proactively manage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calculations of net debt to pro forma adjusted EBITDA, see Appendix A to this proxy statement, which also includes a GAAP reconciliation of this non-GAAP measure.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calculations of FFO per diluted share, Core FFO per diluted share, and AFFO per diluted share, see pages 49 – 51 of our Annual Report on Form 10-K filed with the SEC on February 20, 2025, which also includes a GAAP reconciliation of these non-GAAP measures.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For calculations of same-property net operating income, see </w:t>
      </w:r>
      <w:r>
        <w:rPr>
          <w:rFonts w:ascii="Arial;Helvetica;sans-serif" w:hAnsi="Arial;Helvetica;sans-serif"/>
          <w:b w:val="false"/>
          <w:i w:val="false"/>
          <w:caps w:val="false"/>
          <w:smallCaps w:val="false"/>
          <w:color w:val="000000"/>
          <w:spacing w:val="-2"/>
          <w:sz w:val="20"/>
          <w:u w:val="single"/>
        </w:rPr>
        <w:t>Appendix A</w:t>
      </w:r>
      <w:r>
        <w:rPr>
          <w:rFonts w:ascii="Arial;Helvetica;sans-serif" w:hAnsi="Arial;Helvetica;sans-serif"/>
          <w:b w:val="false"/>
          <w:i w:val="false"/>
          <w:caps w:val="false"/>
          <w:smallCaps w:val="false"/>
          <w:color w:val="000000"/>
          <w:spacing w:val="-2"/>
          <w:sz w:val="20"/>
        </w:rPr>
        <w:t xml:space="preserve"> to this proxy statement, which also includes a GAAP reconciliation of this non-GAAP measure.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4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Company’s and Alpine’s balance sheet and liquidity, which included numerous key transactions for both the Company and Alpine in the debt and equity markets; his continued consistent dialogue with investors and equity analysts, resulting in additional equity research coverage for both the Company and Alpine; and enhancements to the Company’s financial reporting framework, strategic planning and forecasting, and internal controls. In February 2025, the Board, upon the recommendation of Mr. Albright and the Compensation Committee, determined that for 2024, Mr. Mays was eligible for payout of 200% of target for the 70% of his annual incentive opportunity pertaining to the objective Goals established at the beginning of 2024, and 200% of target for the 30% of his annual incentive opportunity pertaining to strategic/qualitative/discretionary items, for a total payout under the Annual Incentive Plan for 2024 of 200% of his target award (constituting 100% of his annual incentive compensation opportunity).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Albright reviewed Mr. Smith’s performance for 2024 with input from the Board. His most significant accomplishments and contributions to the Company’s success included oversight of negotiation and successful execution of numerous key transactions in collaboration with the executive team in direct support of the Company’s strategic objectives; his continued execution and development of the Company’s and Alpine’s public disclosures and corporate governance; and successful management of numerous initiatives in connection with the Company’s growing employee base. In February 2025, the Board, upon the recommendation of Mr. Albright and the Compensation Committee, determined that for 2024, Mr. Smith was eligible for payout of 200% of target for the 70% of his annual incentive opportunity pertaining to the objective Goals established at the beginning of 2024, and 200% of target for the 30% of his annual incentive opportunity pertaining to strategic/qualitative/discretionary items, for a total payout under the Annual Incentive Plan for 2024 of 200% of his target award (constituting 100% of his annual incentive compensation opportunity).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Albright reviewed Ms. Vorakoun’s performance for 2024 with input from the Board. Her most significant accomplishments and contributions to the Company’s success included her oversight and continued execution and improvement of the Company’s and Alpine’s financial disclosures and internal controls environment. She also continued to successfully manage relationships with both external and internal auditors, and during 2024 assumed responsibilities for the Company’s and Alpine’s cybersecurity matters, including implementation of on-going Company-wide cybersecurity training. In February 2025, the Board, upon the recommendation of Mr. Albright and the Compensation Committee, determined that for 2024, Ms. Vorakoun was eligible for payout of 200% of target for the 70% of her annual incentive opportunity pertaining to the objective Goals established at the beginning of 2024, and 200% of target for the 30% of her annual incentive opportunity pertaining to strategic/qualitative/discretionary items, for a total payout under the Annual Incentive Plan for 2024 of 200% of her target award (constituting 100% of her annual incentive compensation opportunity).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sets forth the actual awards earned by each of the NEOs under the Annual Incentive Plan based on their achievements during 2024. Mr. Mays’ award was prorated based on the number of days he was a Company employee during 2024. Mr. Partridge did not receive any payments pursuant to the Annual Incentive Plan due to his resignation on April 1, 2024.</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503"/>
        <w:gridCol w:w="109"/>
        <w:gridCol w:w="109"/>
        <w:gridCol w:w="129"/>
        <w:gridCol w:w="129"/>
        <w:gridCol w:w="572"/>
        <w:gridCol w:w="129"/>
        <w:gridCol w:w="109"/>
        <w:gridCol w:w="109"/>
        <w:gridCol w:w="109"/>
        <w:gridCol w:w="226"/>
        <w:gridCol w:w="886"/>
        <w:gridCol w:w="109"/>
        <w:gridCol w:w="109"/>
        <w:gridCol w:w="109"/>
        <w:gridCol w:w="115"/>
        <w:gridCol w:w="115"/>
        <w:gridCol w:w="758"/>
        <w:gridCol w:w="115"/>
        <w:gridCol w:w="109"/>
        <w:gridCol w:w="109"/>
        <w:gridCol w:w="120"/>
        <w:gridCol w:w="120"/>
        <w:gridCol w:w="794"/>
        <w:gridCol w:w="120"/>
        <w:gridCol w:w="109"/>
        <w:gridCol w:w="109"/>
        <w:gridCol w:w="109"/>
        <w:gridCol w:w="226"/>
        <w:gridCol w:w="1067"/>
        <w:gridCol w:w="109"/>
        <w:gridCol w:w="162"/>
      </w:tblGrid>
      <w:tr>
        <w:trPr/>
        <w:tc>
          <w:tcPr>
            <w:tcW w:w="1503" w:type="dxa"/>
            <w:tcBorders>
              <w:bottom w:val="single" w:sz="2" w:space="0" w:color="000000"/>
            </w:tcBorders>
            <w:vAlign w:val="center"/>
          </w:tcPr>
          <w:p>
            <w:pPr>
              <w:pStyle w:val="TableContents"/>
              <w:bidi w:val="0"/>
              <w:spacing w:before="0" w:after="0"/>
              <w:jc w:val="left"/>
              <w:rPr>
                <w:spacing w:val="0"/>
              </w:rPr>
            </w:pPr>
            <w:r>
              <w:rPr>
                <w:spacing w:val="0"/>
              </w:rPr>
              <w:t xml:space="preserve">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9"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2024 Target </w:t>
              <w:br/>
              <w:t xml:space="preserve">Award (% of </w:t>
              <w:br/>
              <w:t xml:space="preserve">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2024 Target </w:t>
              <w:br/>
              <w:t xml:space="preserve">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2024 Actual </w:t>
              <w:br/>
              <w:t xml:space="preserve">Award (% of </w:t>
              <w:br/>
              <w:t xml:space="preserve">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4"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2024 Actual </w:t>
              <w:br/>
              <w:t xml:space="preserve">Award (% of </w:t>
              <w:br/>
              <w:t xml:space="preserve">Target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1" w:type="dxa"/>
            <w:gridSpan w:val="4"/>
            <w:tcBorders>
              <w:bottom w:val="single" w:sz="2" w:space="0" w:color="000000"/>
            </w:tcBorders>
            <w:vAlign w:val="center"/>
          </w:tcPr>
          <w:p>
            <w:pPr>
              <w:pStyle w:val="TableContents"/>
              <w:bidi w:val="0"/>
              <w:spacing w:before="0" w:after="0"/>
              <w:jc w:val="center"/>
              <w:rPr/>
            </w:pPr>
            <w:r>
              <w:rPr>
                <w:spacing w:val="-2"/>
              </w:rPr>
              <w:t>2024</w:t>
            </w:r>
            <w:r>
              <w:rPr/>
              <w:t xml:space="preserve"> </w:t>
              <w:br/>
            </w:r>
            <w:r>
              <w:rPr>
                <w:spacing w:val="0"/>
              </w:rPr>
              <w:t xml:space="preserve">Actual Award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3" w:type="dxa"/>
            <w:tcBorders/>
            <w:shd w:fill="CCEEFF" w:val="clear"/>
            <w:tcMar>
              <w:bottom w:w="0" w:type="dxa"/>
            </w:tcMar>
            <w:vAlign w:val="center"/>
          </w:tcPr>
          <w:p>
            <w:pPr>
              <w:pStyle w:val="TableContents"/>
              <w:bidi w:val="0"/>
              <w:spacing w:before="0" w:after="0"/>
              <w:jc w:val="left"/>
              <w:rPr>
                <w:spacing w:val="-2"/>
              </w:rPr>
            </w:pPr>
            <w:r>
              <w:rPr>
                <w:spacing w:val="-2"/>
              </w:rPr>
              <w:t xml:space="preserve">John P. Albright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95%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608,675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190.0%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94" w:type="dxa"/>
            <w:tcBorders/>
            <w:shd w:fill="CCEEFF" w:val="clear"/>
            <w:tcMar>
              <w:bottom w:w="0" w:type="dxa"/>
            </w:tcMar>
            <w:vAlign w:val="center"/>
          </w:tcPr>
          <w:p>
            <w:pPr>
              <w:pStyle w:val="TableContents"/>
              <w:bidi w:val="0"/>
              <w:spacing w:before="0" w:after="283"/>
              <w:jc w:val="right"/>
              <w:rPr/>
            </w:pPr>
            <w:r>
              <w:rPr/>
              <w:t>200.0%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1,217,350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503" w:type="dxa"/>
            <w:tcBorders/>
            <w:tcMar>
              <w:bottom w:w="0" w:type="dxa"/>
            </w:tcMar>
            <w:vAlign w:val="center"/>
          </w:tcPr>
          <w:p>
            <w:pPr>
              <w:pStyle w:val="TableContents"/>
              <w:bidi w:val="0"/>
              <w:spacing w:before="0" w:after="0"/>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r>
              <w:rPr/>
              <w:t>75%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150.0%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94" w:type="dxa"/>
            <w:tcBorders/>
            <w:tcMar>
              <w:bottom w:w="0" w:type="dxa"/>
            </w:tcMar>
            <w:vAlign w:val="center"/>
          </w:tcPr>
          <w:p>
            <w:pPr>
              <w:pStyle w:val="TableContents"/>
              <w:bidi w:val="0"/>
              <w:spacing w:before="0" w:after="283"/>
              <w:jc w:val="right"/>
              <w:rPr/>
            </w:pPr>
            <w:r>
              <w:rPr/>
              <w:t>200.0%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503" w:type="dxa"/>
            <w:tcBorders/>
            <w:shd w:fill="CCEEFF" w:val="clear"/>
            <w:tcMar>
              <w:bottom w:w="0" w:type="dxa"/>
            </w:tcMar>
            <w:vAlign w:val="center"/>
          </w:tcPr>
          <w:p>
            <w:pPr>
              <w:pStyle w:val="TableContents"/>
              <w:bidi w:val="0"/>
              <w:spacing w:before="0" w:after="0"/>
              <w:jc w:val="left"/>
              <w:rPr>
                <w:spacing w:val="-2"/>
              </w:rPr>
            </w:pPr>
            <w:r>
              <w:rPr>
                <w:spacing w:val="-2"/>
              </w:rPr>
              <w:t xml:space="preserve">Philip R. Mays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75%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152,568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150.0%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94" w:type="dxa"/>
            <w:tcBorders/>
            <w:shd w:fill="CCEEFF" w:val="clear"/>
            <w:tcMar>
              <w:bottom w:w="0" w:type="dxa"/>
            </w:tcMar>
            <w:vAlign w:val="center"/>
          </w:tcPr>
          <w:p>
            <w:pPr>
              <w:pStyle w:val="TableContents"/>
              <w:bidi w:val="0"/>
              <w:spacing w:before="0" w:after="283"/>
              <w:jc w:val="right"/>
              <w:rPr/>
            </w:pPr>
            <w:r>
              <w:rPr/>
              <w:t>200.0%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304,303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503" w:type="dxa"/>
            <w:tcBorders/>
            <w:tcMar>
              <w:bottom w:w="0" w:type="dxa"/>
            </w:tcMar>
            <w:vAlign w:val="center"/>
          </w:tcPr>
          <w:p>
            <w:pPr>
              <w:pStyle w:val="TableContents"/>
              <w:bidi w:val="0"/>
              <w:spacing w:before="0" w:after="0"/>
              <w:jc w:val="left"/>
              <w:rPr>
                <w:spacing w:val="-2"/>
              </w:rPr>
            </w:pPr>
            <w:r>
              <w:rPr>
                <w:spacing w:val="-2"/>
              </w:rPr>
              <w:t xml:space="preserve">Matthew M. Partridge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r>
              <w:rPr/>
              <w:t>75%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94"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503" w:type="dxa"/>
            <w:tcBorders/>
            <w:shd w:fill="CCEEFF" w:val="clear"/>
            <w:tcMar>
              <w:bottom w:w="0" w:type="dxa"/>
            </w:tcMar>
            <w:vAlign w:val="center"/>
          </w:tcPr>
          <w:p>
            <w:pPr>
              <w:pStyle w:val="TableContents"/>
              <w:bidi w:val="0"/>
              <w:spacing w:before="0" w:after="0"/>
              <w:jc w:val="left"/>
              <w:rPr>
                <w:spacing w:val="-2"/>
              </w:rPr>
            </w:pPr>
            <w:r>
              <w:rPr>
                <w:spacing w:val="-2"/>
              </w:rPr>
              <w:t xml:space="preserve">Daniel E.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75%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150.0%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94" w:type="dxa"/>
            <w:tcBorders/>
            <w:shd w:fill="CCEEFF" w:val="clear"/>
            <w:tcMar>
              <w:bottom w:w="0" w:type="dxa"/>
            </w:tcMar>
            <w:vAlign w:val="center"/>
          </w:tcPr>
          <w:p>
            <w:pPr>
              <w:pStyle w:val="TableContents"/>
              <w:bidi w:val="0"/>
              <w:spacing w:before="0" w:after="283"/>
              <w:jc w:val="right"/>
              <w:rPr/>
            </w:pPr>
            <w:r>
              <w:rPr/>
              <w:t>200.0%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503" w:type="dxa"/>
            <w:tcBorders/>
            <w:tcMar>
              <w:bottom w:w="0" w:type="dxa"/>
            </w:tcMar>
            <w:vAlign w:val="center"/>
          </w:tcPr>
          <w:p>
            <w:pPr>
              <w:pStyle w:val="TableContents"/>
              <w:bidi w:val="0"/>
              <w:spacing w:before="0" w:after="0"/>
              <w:jc w:val="left"/>
              <w:rPr>
                <w:spacing w:val="-2"/>
              </w:rPr>
            </w:pPr>
            <w:r>
              <w:rPr>
                <w:spacing w:val="-2"/>
              </w:rPr>
              <w:t xml:space="preserve">Lisa M. Vorakoun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r>
              <w:rPr/>
              <w:t>75%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206,250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150.0%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94" w:type="dxa"/>
            <w:tcBorders/>
            <w:tcMar>
              <w:bottom w:w="0" w:type="dxa"/>
            </w:tcMar>
            <w:vAlign w:val="center"/>
          </w:tcPr>
          <w:p>
            <w:pPr>
              <w:pStyle w:val="TableContents"/>
              <w:bidi w:val="0"/>
              <w:spacing w:before="0" w:after="283"/>
              <w:jc w:val="right"/>
              <w:rPr/>
            </w:pPr>
            <w:r>
              <w:rPr/>
              <w:t>200.0%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412,500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Equity Compensation</w:t>
      </w:r>
      <w:r>
        <w:rPr>
          <w:rFonts w:ascii="Arial;Helvetica;sans-serif" w:hAnsi="Arial;Helvetica;sans-serif"/>
          <w:b w:val="false"/>
          <w:i w:val="false"/>
          <w:caps w:val="false"/>
          <w:smallCaps w:val="false"/>
          <w:color w:val="000000"/>
          <w:spacing w:val="-2"/>
          <w:sz w:val="20"/>
        </w:rPr>
        <w:t xml:space="preserve">.   The 2010 Plan was originally adopted by the Board and approved by the stockholders in 2010, and was most recently amended by the Board and the Company’s stockholders in 2023. Awards under the 2010 Plan are approved by the Compensation Committee. The 2010 Plan provides the Compensation Committee with flexibility to design compensatory awards that are responsive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the Company’s needs and to determine the terms of each award. The Board and the Compensation Committee intend for the 2010 Plan to be the primary vehicle for providing long-term compensation to and retention of its NEOs and other key managers in the near-term.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long-term incentive component of our executive compensation program typically employs a combination of two types of equity awards — Performance Shares and Time-Based Restricted Stock — which are normally awarded to our NEOs near the beginning of each year, in approximately the percentages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2" w:after="283"/>
        <w:jc w:val="center"/>
        <w:rPr>
          <w:caps w:val="false"/>
          <w:smallCaps w:val="false"/>
          <w:color w:val="000000"/>
        </w:rPr>
      </w:pPr>
      <w:r>
        <w:rPr>
          <w:caps w:val="false"/>
          <w:smallCaps w:val="false"/>
          <w:color w:val="000000"/>
        </w:rPr>
        <w:drawing>
          <wp:inline distT="0" distB="0" distL="0" distR="0">
            <wp:extent cx="5486400" cy="2438400"/>
            <wp:effectExtent l="0" t="0" r="0" b="0"/>
            <wp:docPr id="14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 descr=""/>
                    <pic:cNvPicPr>
                      <a:picLocks noChangeAspect="1" noChangeArrowheads="1"/>
                    </pic:cNvPicPr>
                  </pic:nvPicPr>
                  <pic:blipFill>
                    <a:blip r:embed="rId14"/>
                    <a:stretch>
                      <a:fillRect/>
                    </a:stretch>
                  </pic:blipFill>
                  <pic:spPr bwMode="auto">
                    <a:xfrm>
                      <a:off x="0" y="0"/>
                      <a:ext cx="5486400" cy="2438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Compensation Committee will, in its discretion, occasionally grant off-cycle incentive equity awards, including to new employees to ensure their alignment with the Company’s stockholders, and to existing employees for retention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Performance Shares.</w:t>
      </w:r>
      <w:r>
        <w:rPr>
          <w:rFonts w:ascii="Arial;Helvetica;sans-serif" w:hAnsi="Arial;Helvetica;sans-serif"/>
          <w:b w:val="false"/>
          <w:i w:val="false"/>
          <w:caps w:val="false"/>
          <w:smallCaps w:val="false"/>
          <w:color w:val="000000"/>
          <w:spacing w:val="-2"/>
          <w:sz w:val="20"/>
        </w:rPr>
        <w:t xml:space="preserve">   Performance Share award recipients are eligible to vest in and receive shares of the Company’s common stock based on the Company’s TSR during a three-year performance period relative to an established comparison group of companies (“Relative TSR”). Each award of Performance Shares stipulates an initial target number of shares, and the recipient is eligible to receive, at the end of the performance period, a percentage of the target number of shares based on the achievement of threshold, target, and outperform/maximum Relative TSR percentile goals. The threshold, target, and outperform/maximum Relative TSR percentile goals for the 2024 awards are set forth in the table below. </w:t>
      </w:r>
    </w:p>
    <w:tbl>
      <w:tblPr>
        <w:tblW w:w="7948" w:type="dxa"/>
        <w:jc w:val="left"/>
        <w:tblInd w:w="1393" w:type="dxa"/>
        <w:tblLayout w:type="fixed"/>
        <w:tblCellMar>
          <w:top w:w="0" w:type="dxa"/>
          <w:left w:w="0" w:type="dxa"/>
          <w:bottom w:w="28" w:type="dxa"/>
          <w:right w:w="0" w:type="dxa"/>
        </w:tblCellMar>
      </w:tblPr>
      <w:tblGrid>
        <w:gridCol w:w="124"/>
        <w:gridCol w:w="2545"/>
        <w:gridCol w:w="245"/>
        <w:gridCol w:w="245"/>
        <w:gridCol w:w="245"/>
        <w:gridCol w:w="245"/>
        <w:gridCol w:w="1185"/>
        <w:gridCol w:w="245"/>
        <w:gridCol w:w="245"/>
        <w:gridCol w:w="245"/>
        <w:gridCol w:w="245"/>
        <w:gridCol w:w="245"/>
        <w:gridCol w:w="1490"/>
        <w:gridCol w:w="24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670" w:type="dxa"/>
            <w:gridSpan w:val="13"/>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PERFORMANCE SHARE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670" w:type="dxa"/>
            <w:gridSpan w:val="13"/>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RELATIVE TSR PERCENTILE GOALS AND PAYOUT PERCENTAGES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45" w:type="dxa"/>
            <w:tcBorders>
              <w:bottom w:val="single" w:sz="2" w:space="0" w:color="FFFFFF"/>
            </w:tcBorders>
            <w:vAlign w:val="center"/>
          </w:tcPr>
          <w:p>
            <w:pPr>
              <w:pStyle w:val="TableContents"/>
              <w:bidi w:val="0"/>
              <w:spacing w:before="0" w:after="283"/>
              <w:jc w:val="left"/>
              <w:rPr/>
            </w:pPr>
            <w:r>
              <w:rPr/>
              <w:t>​</w:t>
            </w:r>
          </w:p>
        </w:tc>
        <w:tc>
          <w:tcPr>
            <w:tcW w:w="245" w:type="dxa"/>
            <w:tcBorders>
              <w:bottom w:val="single" w:sz="2" w:space="0" w:color="FFFFFF"/>
            </w:tcBorders>
            <w:vAlign w:val="center"/>
          </w:tcPr>
          <w:p>
            <w:pPr>
              <w:pStyle w:val="TableContents"/>
              <w:bidi w:val="0"/>
              <w:spacing w:before="0" w:after="283"/>
              <w:jc w:val="left"/>
              <w:rPr/>
            </w:pPr>
            <w:r>
              <w:rPr/>
              <w:t>​</w:t>
            </w:r>
          </w:p>
        </w:tc>
        <w:tc>
          <w:tcPr>
            <w:tcW w:w="245" w:type="dxa"/>
            <w:tcBorders>
              <w:bottom w:val="single" w:sz="2" w:space="0" w:color="FFFFFF"/>
            </w:tcBorders>
            <w:vAlign w:val="center"/>
          </w:tcPr>
          <w:p>
            <w:pPr>
              <w:pStyle w:val="TableContents"/>
              <w:bidi w:val="0"/>
              <w:spacing w:before="0" w:after="283"/>
              <w:jc w:val="left"/>
              <w:rPr/>
            </w:pPr>
            <w:r>
              <w:rPr/>
              <w:t>​</w:t>
            </w:r>
          </w:p>
        </w:tc>
        <w:tc>
          <w:tcPr>
            <w:tcW w:w="1920"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Relative TSR </w:t>
              <w:br/>
              <w:t xml:space="preserve">Percentile </w:t>
            </w:r>
          </w:p>
        </w:tc>
        <w:tc>
          <w:tcPr>
            <w:tcW w:w="245" w:type="dxa"/>
            <w:tcBorders>
              <w:bottom w:val="single" w:sz="2" w:space="0" w:color="FFFFFF"/>
            </w:tcBorders>
            <w:vAlign w:val="center"/>
          </w:tcPr>
          <w:p>
            <w:pPr>
              <w:pStyle w:val="TableContents"/>
              <w:bidi w:val="0"/>
              <w:spacing w:before="0" w:after="283"/>
              <w:jc w:val="left"/>
              <w:rPr/>
            </w:pPr>
            <w:r>
              <w:rPr/>
              <w:t>​</w:t>
            </w:r>
          </w:p>
        </w:tc>
        <w:tc>
          <w:tcPr>
            <w:tcW w:w="245" w:type="dxa"/>
            <w:tcBorders>
              <w:bottom w:val="single" w:sz="2" w:space="0" w:color="FFFFFF"/>
            </w:tcBorders>
            <w:vAlign w:val="center"/>
          </w:tcPr>
          <w:p>
            <w:pPr>
              <w:pStyle w:val="TableContents"/>
              <w:bidi w:val="0"/>
              <w:spacing w:before="0" w:after="283"/>
              <w:jc w:val="left"/>
              <w:rPr/>
            </w:pPr>
            <w:r>
              <w:rPr/>
              <w:t>​</w:t>
            </w:r>
          </w:p>
        </w:tc>
        <w:tc>
          <w:tcPr>
            <w:tcW w:w="2225"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Payout </w:t>
              <w:br/>
              <w:t xml:space="preserve">Percentage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45" w:type="dxa"/>
            <w:tcBorders/>
            <w:shd w:fill="CCEEFF" w:val="clear"/>
            <w:tcMar>
              <w:bottom w:w="0" w:type="dxa"/>
            </w:tcMar>
            <w:vAlign w:val="center"/>
          </w:tcPr>
          <w:p>
            <w:pPr>
              <w:pStyle w:val="TableContents"/>
              <w:bidi w:val="0"/>
              <w:spacing w:before="0" w:after="0"/>
              <w:jc w:val="left"/>
              <w:rPr>
                <w:spacing w:val="-2"/>
              </w:rPr>
            </w:pPr>
            <w:r>
              <w:rPr>
                <w:spacing w:val="-2"/>
              </w:rPr>
              <w:t xml:space="preserve">Threshold </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1185" w:type="dxa"/>
            <w:tcBorders/>
            <w:shd w:fill="CCEEFF" w:val="clear"/>
            <w:tcMar>
              <w:bottom w:w="0" w:type="dxa"/>
            </w:tcMar>
            <w:vAlign w:val="center"/>
          </w:tcPr>
          <w:p>
            <w:pPr>
              <w:pStyle w:val="TableContents"/>
              <w:bidi w:val="0"/>
              <w:spacing w:before="0" w:after="283"/>
              <w:jc w:val="right"/>
              <w:rPr/>
            </w:pPr>
            <w:r>
              <w:rPr/>
              <w:t>34</w:t>
            </w:r>
            <w:r>
              <w:rPr>
                <w:sz w:val="15"/>
              </w:rPr>
              <w:t>th</w:t>
            </w:r>
            <w:r>
              <w:rPr/>
              <w:t xml:space="preserve"> </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50%</w:t>
            </w:r>
          </w:p>
        </w:tc>
        <w:tc>
          <w:tcPr>
            <w:tcW w:w="2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spacing w:val="-2"/>
              </w:rPr>
            </w:pPr>
            <w:r>
              <w:rPr>
                <w:spacing w:val="-2"/>
              </w:rPr>
              <w:t xml:space="preserve">Target </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1185" w:type="dxa"/>
            <w:tcBorders/>
            <w:tcMar>
              <w:bottom w:w="0" w:type="dxa"/>
            </w:tcMar>
            <w:vAlign w:val="center"/>
          </w:tcPr>
          <w:p>
            <w:pPr>
              <w:pStyle w:val="TableContents"/>
              <w:bidi w:val="0"/>
              <w:spacing w:before="0" w:after="283"/>
              <w:jc w:val="right"/>
              <w:rPr/>
            </w:pPr>
            <w:r>
              <w:rPr/>
              <w:t>51</w:t>
            </w:r>
            <w:r>
              <w:rPr>
                <w:sz w:val="15"/>
              </w:rPr>
              <w:t>st</w:t>
            </w:r>
            <w:r>
              <w:rPr/>
              <w:t xml:space="preserve"> </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1490"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45" w:type="dxa"/>
            <w:tcBorders/>
            <w:shd w:fill="CCEEFF" w:val="clear"/>
            <w:tcMar>
              <w:bottom w:w="0" w:type="dxa"/>
            </w:tcMar>
            <w:vAlign w:val="center"/>
          </w:tcPr>
          <w:p>
            <w:pPr>
              <w:pStyle w:val="TableContents"/>
              <w:bidi w:val="0"/>
              <w:spacing w:before="0" w:after="0"/>
              <w:jc w:val="left"/>
              <w:rPr>
                <w:spacing w:val="-2"/>
              </w:rPr>
            </w:pPr>
            <w:r>
              <w:rPr>
                <w:spacing w:val="-2"/>
              </w:rPr>
              <w:t xml:space="preserve">Maximum </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1185" w:type="dxa"/>
            <w:tcBorders/>
            <w:shd w:fill="CCEEFF" w:val="clear"/>
            <w:tcMar>
              <w:bottom w:w="0" w:type="dxa"/>
            </w:tcMar>
            <w:vAlign w:val="center"/>
          </w:tcPr>
          <w:p>
            <w:pPr>
              <w:pStyle w:val="TableContents"/>
              <w:bidi w:val="0"/>
              <w:spacing w:before="0" w:after="283"/>
              <w:jc w:val="right"/>
              <w:rPr/>
            </w:pPr>
            <w:r>
              <w:rPr/>
              <w:t>67</w:t>
            </w:r>
            <w:r>
              <w:rPr>
                <w:sz w:val="15"/>
              </w:rPr>
              <w:t>th</w:t>
            </w:r>
            <w:r>
              <w:rPr/>
              <w:t xml:space="preserve"> </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150%</w:t>
            </w:r>
          </w:p>
        </w:tc>
        <w:tc>
          <w:tcPr>
            <w:tcW w:w="2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Performance Period:</w:t>
      </w:r>
      <w:r>
        <w:rPr>
          <w:rFonts w:ascii="Arial;Helvetica;sans-serif" w:hAnsi="Arial;Helvetica;sans-serif"/>
          <w:b w:val="false"/>
          <w:i w:val="false"/>
          <w:caps w:val="false"/>
          <w:smallCaps w:val="false"/>
          <w:color w:val="000000"/>
          <w:spacing w:val="-2"/>
          <w:sz w:val="20"/>
        </w:rPr>
        <w:t>   January 1, 2024 to December 31,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Comparison Group:</w:t>
      </w:r>
      <w:r>
        <w:rPr>
          <w:rFonts w:ascii="Arial;Helvetica;sans-serif" w:hAnsi="Arial;Helvetica;sans-serif"/>
          <w:b w:val="false"/>
          <w:i w:val="false"/>
          <w:caps w:val="false"/>
          <w:smallCaps w:val="false"/>
          <w:color w:val="000000"/>
          <w:spacing w:val="-2"/>
          <w:sz w:val="20"/>
        </w:rPr>
        <w:t>   Constituent companies of the Index as of January 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TSR Governor:</w:t>
      </w:r>
      <w:r>
        <w:rPr>
          <w:rFonts w:ascii="Arial;Helvetica;sans-serif" w:hAnsi="Arial;Helvetica;sans-serif"/>
          <w:b w:val="false"/>
          <w:i w:val="false"/>
          <w:caps w:val="false"/>
          <w:smallCaps w:val="false"/>
          <w:color w:val="000000"/>
          <w:spacing w:val="-2"/>
          <w:sz w:val="20"/>
        </w:rPr>
        <w:t>   Payout percentage cannot exceed 100% if absolute TSR does not exceed 3% per annum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Company’s Relative TSR percentile falls below the 34</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percentile, then none of the 2024 Performance Shares will vest. If the Relative TSR percentile falls between the threshold and target goals, or between the target and outperform/maximum goals, linear interpolation will be used to determine the vesting percentage.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if the Company declares and pays dividends on its outstanding common stock during the performance period, the Performance Share award recipients will be entitled to have dividend equivalents accrued with respect to the Performance Shares. Such dividend equivalents will be subject to the same vesting and forfeiture requirements as the underlying Performance Shares to which they relate and, to the extent they become vested, will be paid to the Performance Share award recipients in cash no later than 60 days after the conclusion of the performance period. In the event of a nonqualifying termination of a Performance Share award recipient prior to the end of the performance period, all of the rights to performance shares will be automatically forfeited along with the participants’ rights to the cash payment of any dividend equivalent.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shows the Company’s Relative TSR percentile and payout percentage of target for Performance Shares since 2019.</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5743575" cy="2362200"/>
            <wp:effectExtent l="0" t="0" r="0" b="0"/>
            <wp:docPr id="1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 descr=""/>
                    <pic:cNvPicPr>
                      <a:picLocks noChangeAspect="1" noChangeArrowheads="1"/>
                    </pic:cNvPicPr>
                  </pic:nvPicPr>
                  <pic:blipFill>
                    <a:blip r:embed="rId15"/>
                    <a:stretch>
                      <a:fillRect/>
                    </a:stretch>
                  </pic:blipFill>
                  <pic:spPr bwMode="auto">
                    <a:xfrm>
                      <a:off x="0" y="0"/>
                      <a:ext cx="5743575"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Time-Based Restricted Stock.</w:t>
      </w:r>
      <w:r>
        <w:rPr>
          <w:rFonts w:ascii="Arial;Helvetica;sans-serif" w:hAnsi="Arial;Helvetica;sans-serif"/>
          <w:b w:val="false"/>
          <w:i w:val="false"/>
          <w:caps w:val="false"/>
          <w:smallCaps w:val="false"/>
          <w:color w:val="000000"/>
          <w:spacing w:val="-2"/>
          <w:sz w:val="20"/>
        </w:rPr>
        <w:t>   Time-Based Restricted Stock awards consist of a fixed number of shares of the Company’s common stock, which vest ratably over approximately three years, provided that the holder is continuously employed with the Company through each anniversary date. In addition, each restricted stock award entitles its holder to a cash payment equal to the aggregate dividends that would have been paid on the total number of shares that ultimately vest, as if such shares had been outstanding on each dividend record date over the period from the grant date through the vesting of the shares. Such dividend equivalents will be subject to the same vesting and forfeiture requirements as the underlying shares of restricted stock to which they relate. In the event of a nonqualifying termination of a participant prior to the vesting date, all of the rights to unvested restricted stock will be automatically forfeited along with the participants’ rights to the cash payment of any dividend equivalent.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details the equity-based awards granted to each of our NEOs in fiscal year 2024. As a result of Mr. Partridge’s resignation effective as of April 1, 2024, all of his equity-based awards granted in fiscal year 2024 were forfeited.</w:t>
      </w:r>
      <w:r>
        <w:rPr>
          <w:rFonts w:ascii="Arial;Helvetica;sans-serif" w:hAnsi="Arial;Helvetica;sans-serif"/>
          <w:b w:val="false"/>
          <w:i w:val="false"/>
          <w:caps w:val="false"/>
          <w:smallCaps w:val="false"/>
          <w:color w:val="000000"/>
          <w:spacing w:val="4"/>
          <w:sz w:val="20"/>
        </w:rPr>
        <w:t xml:space="preserve"> </w:t>
      </w:r>
    </w:p>
    <w:tbl>
      <w:tblPr>
        <w:tblW w:w="8054" w:type="dxa"/>
        <w:jc w:val="left"/>
        <w:tblInd w:w="1393" w:type="dxa"/>
        <w:tblLayout w:type="fixed"/>
        <w:tblCellMar>
          <w:top w:w="0" w:type="dxa"/>
          <w:left w:w="0" w:type="dxa"/>
          <w:bottom w:w="28" w:type="dxa"/>
          <w:right w:w="0" w:type="dxa"/>
        </w:tblCellMar>
      </w:tblPr>
      <w:tblGrid>
        <w:gridCol w:w="2236"/>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Performance </w:t>
              <w:b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4" w:type="dxa"/>
            <w:gridSpan w:val="10"/>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Time-Based Restricted </w:t>
              <w:br/>
              <w:t xml:space="preserve">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2"/>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Value</w:t>
            </w:r>
            <w:r>
              <w:rPr>
                <w:spacing w:val="-2"/>
                <w:sz w:val="10"/>
              </w:rPr>
              <w:t>(2)</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2"/>
              </w:rP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Value</w:t>
            </w:r>
            <w:r>
              <w:rPr>
                <w:spacing w:val="-2"/>
                <w:sz w:val="10"/>
              </w:rPr>
              <w:t>(4)</w:t>
            </w:r>
            <w:r>
              <w:rPr/>
              <w:t xml:space="preserve"> </w:t>
              <w:br/>
            </w:r>
            <w:r>
              <w:rPr>
                <w:spacing w:val="-2"/>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2"/>
              </w:rPr>
            </w:pPr>
            <w:r>
              <w:rPr>
                <w:spacing w:val="-2"/>
              </w:rPr>
              <w:t xml:space="preserve">John P. Albright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67,871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1,037,069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481,553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397,249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237,017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pPr>
            <w:r>
              <w:rPr>
                <w:spacing w:val="-2"/>
              </w:rPr>
              <w:t>Philip R. Mays</w:t>
            </w:r>
            <w:r>
              <w:rPr>
                <w:spacing w:val="-1"/>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spacing w:val="-2"/>
              </w:rPr>
            </w:pPr>
            <w:r>
              <w:rPr>
                <w:spacing w:val="-2"/>
              </w:rPr>
              <w:t xml:space="preserve">Matthew M. Partridge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397,249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237,017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2"/>
              </w:rPr>
            </w:pPr>
            <w:r>
              <w:rPr>
                <w:spacing w:val="-2"/>
              </w:rPr>
              <w:t xml:space="preserve">Daniel E.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19,499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297,945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177,763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spacing w:val="-2"/>
              </w:rPr>
            </w:pPr>
            <w:r>
              <w:rPr>
                <w:spacing w:val="-2"/>
              </w:rPr>
              <w:t xml:space="preserve">Lisa M. Vorakoun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171,472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6,883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112,262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number of shares of Company common stock that may be earned if maximum performance under the Performance Share award is achieved.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49"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per share grant date fair value of the Performance Shares granted on February 14, 2024, calculated in accordance with FASB ASC Topic 718, times the number of shares that may be earned if maximum performance under the Performance Share award is achieved.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0"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shares of Time-Based Restricted Stock vest ratably in three annual installments beginning on January 28, 2025, provided that the NEO is an employee of the Company on the applicable vesting 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1"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grant date fair value of shares of Time-Based Restricted Stock granted on February 14, 2024, calculated in accordance with FASB ASC Topic 718.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2"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Because Mr. Mays was hired mid-year, he did not receive equity incentive awards during the 2024 award cycle. In early 2025, Mr. Mays (along with our other NEOs) did receive equity incentive awards for the 2025 award cycle.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3"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401(k)Plan.</w:t>
      </w:r>
      <w:r>
        <w:rPr>
          <w:rFonts w:ascii="Arial;Helvetica;sans-serif" w:hAnsi="Arial;Helvetica;sans-serif"/>
          <w:b w:val="false"/>
          <w:i w:val="false"/>
          <w:caps w:val="false"/>
          <w:smallCaps w:val="false"/>
          <w:color w:val="000000"/>
          <w:spacing w:val="-2"/>
          <w:sz w:val="20"/>
        </w:rPr>
        <w:t>   Employees (including the NEOs) may participate in our 401(k) Plan, a tax-qualified retirement plan maintained to provide the opportunity to provide for retirement savings through tax-advantaged employee contributions. The 401(k) Plan permits eligible employees to contribute compensation up to the maximum limit set annually by the Internal Revenue Service, subject to certain limitations imposed by the Internal Revenue Code (the “Tax Code”). The employees’ elective contributions are immediately vested and non-forfeitable in the 401(k) Plan. Eligibility for the 401(k) Plan requires two calendar months of service in which the employee is credited with 160 hours of service in each month. The Company has adopted a “safe harbor” matching program, in which the Company matches (i) 100% of the employee’s contribution up to 3% of the employee’s compensation and (ii) 50% of the employee’s contribution up to the employee’s next 2% of compensation, for a total potential match of 4% of the employee’s compensation, subject to certain limitations imposed by the Tax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Employment Agreements</w:t>
      </w:r>
      <w:r>
        <w:rPr>
          <w:rFonts w:ascii="Arial;Helvetica;sans-serif" w:hAnsi="Arial;Helvetica;sans-serif"/>
          <w:b/>
          <w:i w:val="false"/>
          <w:caps w:val="false"/>
          <w:smallCaps w:val="false"/>
          <w:color w:val="000000"/>
          <w:spacing w:val="-3"/>
          <w:sz w:val="20"/>
          <w:u w:val="single"/>
        </w:rPr>
        <w:t>.</w:t>
      </w:r>
      <w:r>
        <w:rPr>
          <w:rFonts w:ascii="Arial;Helvetica;sans-serif" w:hAnsi="Arial;Helvetica;sans-serif"/>
          <w:b w:val="false"/>
          <w:i w:val="false"/>
          <w:caps w:val="false"/>
          <w:smallCaps w:val="false"/>
          <w:color w:val="000000"/>
          <w:spacing w:val="-2"/>
          <w:sz w:val="20"/>
        </w:rPr>
        <w:t>   On June 30, 2011, we entered into an employment agreement with Mr. Albright to serve as our President and CEO, effective August 1, 2011, which agreement was amended and restated on May 20, 2015, and July 29, 2020, and further amended on October 22, 2024. On October 22, 2014, we entered into an employment agreement with Mr. Smith to serve as our Senior Vice President, General Counsel and Corporate Secretary, which agreement was amended on February 26, 2016, August 4, 2017 and October 22, 2024. On February 26, 2016, we entered into an employment agreement with Mr. Greathouse to serve as our Senior Vice President-Investments, which agreement was amended on August 4, 2017 and October 22, 2024. On May 24, 2024, we entered into an employment agreement with Mr. Mays to serve as our Senior Vice President, Chief Financial Officer and Treasurer. On October 22, 2024, we entered into an employment agreement with Ms. Vorakoun to serve as our Senior Vice President and Chief Accounting Officer. We do not have any such agreements with any other officers or employees.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Entry into Employment Agreement with Philip R. Mays.</w:t>
      </w:r>
      <w:r>
        <w:rPr>
          <w:rFonts w:ascii="Arial;Helvetica;sans-serif" w:hAnsi="Arial;Helvetica;sans-serif"/>
          <w:b w:val="false"/>
          <w:i w:val="false"/>
          <w:caps w:val="false"/>
          <w:smallCaps w:val="false"/>
          <w:color w:val="000000"/>
          <w:spacing w:val="-2"/>
          <w:sz w:val="20"/>
        </w:rPr>
        <w:t>   On May 29, 2024, the Company and Mr. Mays entered into an employment agreement (the “Mays Employment Agreement”), pursuant to which, effective June 17, 2024, Mr. Mays began serving as Senior Vice President, Chief Financial Officer and Treasurer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Mays Employment Agreement, Mr. Mays is entitled to an initial annual base salary of $375,000, which is subject to review and increase at the discretion of the Compensation Committee. In addition, for each fiscal year ending during his employment, Mr. Mays will be eligible to participate in, and earn annual incentive compensation pursuant to the Annual Incentive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each fiscal year beginning with the fiscal year ending December 31, 2025, Mr. Mays will be eligible to receive an annual award of long-term equity incentive compensation, to be granted in accordance with the Company’s executive compensation program in effect from time to time. Such awards typically will be granted near the commencement of each fiscal year under the Company’s equity incentive plan in effect from time to time pursuant to separate written agreements between Mr. Mays and the Company. Mr. Mays’s target annual equity award for 2025 will be 133% of his initial annual base salary.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the terms of the Mays Employment Agreement, Mr. Mays is entitled to reimbursement of certain reasonable, pre-approved relocation costs up to $15,000 in the aggregate. Mr. Mays is also eligible to participate in any retirement plan, insurance or other employee benefit plan that is maintained at that time by the Company for its senior executive employees, including programs of life, disability, medical, dental and vision insurance, subject to the provisions of such plans as may be in effect from time to time and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Compensation payable to Mr. Mays pursuant to the Mays Employment Agreement or any other agreement or arrangement with the Company will be subject to clawback under any written clawback policies that the Company has adopted or may adopt to the extent not prohibited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Entry into Employment Agreement with Lisa M. Vorakoun.</w:t>
      </w:r>
      <w:r>
        <w:rPr>
          <w:rFonts w:ascii="Arial;Helvetica;sans-serif" w:hAnsi="Arial;Helvetica;sans-serif"/>
          <w:b w:val="false"/>
          <w:i w:val="false"/>
          <w:caps w:val="false"/>
          <w:smallCaps w:val="false"/>
          <w:color w:val="000000"/>
          <w:spacing w:val="-2"/>
          <w:sz w:val="20"/>
        </w:rPr>
        <w:t>   On October 22, 2024, we entered into an employment agreement with Ms. Vorakoun (the “Vorakoun Employment Agreement”). Under the Vorakoun Employment Agreement, Ms. Vorakoun is entitled to an initial annual base salary of $275,000, which is subject to review and increase at the discretion of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for each fiscal year ending during her employment, Ms. Vorakoun will be eligible to participate in, and earn annual incentive compensation pursuant to the Annual Incentive Plan. Additionally, for each fiscal year beginning with the fiscal year ending December 31, 2025, Ms. Vorakoun will be eligible to receive an annual award of long-term equity incentive compensation, to be granted in accordance with the Company’s executive compensation program in effect from time to time. Such awards typically will be granted near the commencement of each fiscal year under our equity incentive plan in effect from time to time pursuant to separate written agreements between Ms. Vorakoun and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Ms. Vorakoun is eligible to participate in any retirement plan, insurance or other employee benefit plan that is maintained at that time by us for our senior executive employees, including programs of life, disability, medical, dental and vision insurance, subject to the provisions of such plans as may be in effect from time to time and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Compensation payable to Ms. Vorakoun pursuant to the Vorakoun Employment Agreement or any other agreement or arrangement with us will be subject to clawback under any written clawback policies that the Company has adopted or may adopt to the extent not prohibited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Severance Benefits.</w:t>
      </w:r>
      <w:r>
        <w:rPr>
          <w:rFonts w:ascii="Arial;Helvetica;sans-serif" w:hAnsi="Arial;Helvetica;sans-serif"/>
          <w:b w:val="false"/>
          <w:i w:val="false"/>
          <w:caps w:val="false"/>
          <w:smallCaps w:val="false"/>
          <w:color w:val="000000"/>
          <w:spacing w:val="-2"/>
          <w:sz w:val="20"/>
        </w:rPr>
        <w:t>   Our NEOs who are party to an employment agreement may become entitled to receive certain payments or benefits upon a qualifying termination of employment (either prior to, or following, a Change in Control) pursuant to the terms and conditions in their respective employment agreements. These payments and benefits are described in detail in the section entitled “</w:t>
      </w:r>
      <w:r>
        <w:rPr>
          <w:rFonts w:ascii="Arial;Helvetica;sans-serif" w:hAnsi="Arial;Helvetica;sans-serif"/>
          <w:b w:val="false"/>
          <w:i/>
          <w:caps w:val="false"/>
          <w:smallCaps w:val="false"/>
          <w:color w:val="000000"/>
          <w:sz w:val="20"/>
        </w:rPr>
        <w:t>Potential Payments upon Termination or Change in Control</w:t>
      </w:r>
      <w:r>
        <w:rPr>
          <w:rFonts w:ascii="Arial;Helvetica;sans-serif" w:hAnsi="Arial;Helvetica;sans-serif"/>
          <w:b w:val="false"/>
          <w:i w:val="false"/>
          <w:caps w:val="false"/>
          <w:smallCaps w:val="false"/>
          <w:color w:val="000000"/>
          <w:spacing w:val="-2"/>
          <w:sz w:val="20"/>
        </w:rPr>
        <w:t>” beginning on page 50 of this proxy statement. None of our other employees has a severance agreement or an employment agreement providing severance benefits; however, all full-time employees of the Company, including our NEOs, may qualify to participate under the Company’s broad-based severance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2025 Incentive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February 2025, the Board approved 2025 award opportunities for our NEOs under the Annual Incentive Plan. The terms of the Annual Incentive Plan opportunities for 2025 are similar to the award terms from 2024, with the CEO’s threshold, target, and maximum payout opportunities at 47.5%, 95%, and 190%, respectively, of base salary, and the other NEOs’ threshold, target, and maximum payout opportunities at 37.5%, 75%, and 150%, respectively, of base salary.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Equity awards granted to the NEOs in February 2025 were consistent with the awards granted in February 2024 — i.e., the restricted stock awards each include three-year vesting schedules and the performance-based awards utilize the same thresholds and payout percentages as the 2024 awards, with the comparison group comprised of the constituent companies of the Index as of January 1, 2025, and the same TSR Governor of 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2025 Peer Group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As part of our ongoing compensation practices, the Compensation Committee periodically undertakes, with the assistance of Ferguson Partners, a thorough review of the current peer group to determine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whether any modifications are appropriate. In late 2024, prior to performing its benchmarking review of executive compensation, the Compensation Committee once again undertook the peer group review process, with the assistance of Ferguson Partners. The Compensation Committee paid special attention to the Company’s current asset base, market capitalization, and total enterprise value, as well as other factors. As a result of the review, the following changes to the peer group were made for 2025:</w:t>
      </w:r>
      <w:r>
        <w:rPr>
          <w:rFonts w:ascii="Arial;Helvetica;sans-serif" w:hAnsi="Arial;Helvetica;sans-serif"/>
          <w:b w:val="false"/>
          <w:i w:val="false"/>
          <w:caps w:val="false"/>
          <w:smallCaps w:val="false"/>
          <w:color w:val="000000"/>
          <w:spacing w:val="4"/>
          <w:sz w:val="20"/>
        </w:rPr>
        <w:t xml:space="preserve"> </w:t>
      </w:r>
    </w:p>
    <w:tbl>
      <w:tblPr>
        <w:tblW w:w="7532" w:type="dxa"/>
        <w:jc w:val="left"/>
        <w:tblInd w:w="1393" w:type="dxa"/>
        <w:tblLayout w:type="fixed"/>
        <w:tblCellMar>
          <w:top w:w="0" w:type="dxa"/>
          <w:left w:w="0" w:type="dxa"/>
          <w:bottom w:w="0" w:type="dxa"/>
          <w:right w:w="0" w:type="dxa"/>
        </w:tblCellMar>
      </w:tblPr>
      <w:tblGrid>
        <w:gridCol w:w="124"/>
        <w:gridCol w:w="3325"/>
        <w:gridCol w:w="109"/>
        <w:gridCol w:w="109"/>
        <w:gridCol w:w="3711"/>
        <w:gridCol w:w="154"/>
      </w:tblGrid>
      <w:tr>
        <w:trPr/>
        <w:tc>
          <w:tcPr>
            <w:tcW w:w="124" w:type="dxa"/>
            <w:tcBorders/>
            <w:vAlign w:val="center"/>
          </w:tcPr>
          <w:p>
            <w:pPr>
              <w:pStyle w:val="TableContents"/>
              <w:bidi w:val="0"/>
              <w:spacing w:before="0" w:after="283"/>
              <w:jc w:val="left"/>
              <w:rPr/>
            </w:pPr>
            <w:r>
              <w:rPr/>
              <w:t>​</w:t>
            </w:r>
          </w:p>
        </w:tc>
        <w:tc>
          <w:tcPr>
            <w:tcW w:w="3325" w:type="dxa"/>
            <w:tcBorders/>
            <w:vAlign w:val="center"/>
          </w:tcPr>
          <w:p>
            <w:pPr>
              <w:pStyle w:val="TableContents"/>
              <w:bidi w:val="0"/>
              <w:spacing w:before="0" w:after="0"/>
              <w:jc w:val="left"/>
              <w:rPr>
                <w:b/>
              </w:rPr>
            </w:pPr>
            <w:r>
              <w:rPr>
                <w:b/>
                <w:spacing w:val="0"/>
              </w:rPr>
              <w:t>Peers Removed:</w:t>
            </w:r>
            <w:r>
              <w:rPr>
                <w:b/>
              </w:rPr>
              <w:t xml:space="preserve"> </w:t>
            </w:r>
          </w:p>
          <w:p>
            <w:pPr>
              <w:pStyle w:val="TableContents"/>
              <w:bidi w:val="0"/>
              <w:spacing w:lineRule="atLeast" w:line="200" w:before="160" w:after="0"/>
              <w:ind w:left="400" w:right="0" w:hanging="0"/>
              <w:jc w:val="left"/>
              <w:rPr>
                <w:spacing w:val="-2"/>
              </w:rPr>
            </w:pPr>
            <w:r>
              <w:rPr>
                <w:spacing w:val="-2"/>
              </w:rPr>
              <w:t xml:space="preserve">City Office REIT, Inc. </w:t>
            </w:r>
            <w:r>
              <mc:AlternateContent>
                <mc:Choice Requires="wps">
                  <w:drawing>
                    <wp:anchor behindDoc="0" distT="101600" distB="0" distL="127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4"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One Liberty Properties Inc. </w:t>
            </w:r>
            <w:r>
              <mc:AlternateContent>
                <mc:Choice Requires="wps">
                  <w:drawing>
                    <wp:anchor behindDoc="0" distT="101600" distB="0" distL="127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5"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RPT Realty </w:t>
            </w:r>
            <w:r>
              <mc:AlternateContent>
                <mc:Choice Requires="wps">
                  <w:drawing>
                    <wp:anchor behindDoc="0" distT="101600" distB="0" distL="127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6"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Urstadt Biddle Properties Inc. </w:t>
            </w:r>
            <w:r>
              <mc:AlternateContent>
                <mc:Choice Requires="wps">
                  <w:drawing>
                    <wp:anchor behindDoc="0" distT="101600" distB="0" distL="127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7"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1" w:type="dxa"/>
            <w:tcBorders/>
            <w:vAlign w:val="center"/>
          </w:tcPr>
          <w:p>
            <w:pPr>
              <w:pStyle w:val="TableContents"/>
              <w:bidi w:val="0"/>
              <w:spacing w:lineRule="atLeast" w:line="200" w:before="0" w:after="0"/>
              <w:jc w:val="left"/>
              <w:rPr>
                <w:b/>
              </w:rPr>
            </w:pPr>
            <w:r>
              <w:rPr>
                <w:b/>
                <w:spacing w:val="0"/>
              </w:rPr>
              <w:t>Peers Added:</w:t>
            </w:r>
            <w:r>
              <w:rPr>
                <w:b/>
              </w:rPr>
              <w:t xml:space="preserve"> </w:t>
            </w:r>
          </w:p>
          <w:p>
            <w:pPr>
              <w:pStyle w:val="TableContents"/>
              <w:bidi w:val="0"/>
              <w:spacing w:lineRule="atLeast" w:line="200" w:before="160" w:after="0"/>
              <w:ind w:left="400" w:right="0" w:hanging="0"/>
              <w:jc w:val="left"/>
              <w:rPr/>
            </w:pPr>
            <w:r>
              <w:rPr>
                <w:spacing w:val="-2"/>
              </w:rPr>
              <w:t>Alexander &amp; Baldwin, Inc.</w:t>
            </w:r>
            <w:r>
              <w:rPr/>
              <w:t xml:space="preserve"> </w:t>
            </w:r>
            <w:r>
              <mc:AlternateContent>
                <mc:Choice Requires="wps">
                  <w:drawing>
                    <wp:anchor behindDoc="0" distT="101600" distB="0" distL="127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8"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FrontView REIT, Inc.</w:t>
            </w:r>
            <w:r>
              <w:rPr/>
              <w:t xml:space="preserve"> </w:t>
            </w:r>
            <w:r>
              <mc:AlternateContent>
                <mc:Choice Requires="wps">
                  <w:drawing>
                    <wp:anchor behindDoc="0" distT="101600" distB="0" distL="127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9"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InvenTrust Properties Corp.</w:t>
            </w:r>
            <w:r>
              <w:rPr/>
              <w:t xml:space="preserve"> </w:t>
            </w:r>
            <w:r>
              <mc:AlternateContent>
                <mc:Choice Requires="wps">
                  <w:drawing>
                    <wp:anchor behindDoc="0" distT="101600" distB="0" distL="127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0"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Urban Edge Properties</w:t>
            </w:r>
            <w:r>
              <w:rPr/>
              <w:t xml:space="preserve"> </w:t>
            </w:r>
            <w:r>
              <mc:AlternateContent>
                <mc:Choice Requires="wps">
                  <w:drawing>
                    <wp:anchor behindDoc="0" distT="101600" distB="0" distL="127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1"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Seaport Entertainment Group Inc.</w:t>
            </w:r>
            <w:r>
              <w:rPr/>
              <w:t xml:space="preserve"> </w:t>
            </w:r>
            <w:r>
              <mc:AlternateContent>
                <mc:Choice Requires="wps">
                  <w:drawing>
                    <wp:anchor behindDoc="0" distT="101600" distB="0" distL="127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04"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Peer Group for 2025:</w:t>
      </w:r>
      <w:r>
        <w:rPr>
          <w:rFonts w:ascii="Arial;Helvetica;sans-serif" w:hAnsi="Arial;Helvetica;sans-serif"/>
          <w:b/>
          <w:i w:val="false"/>
          <w:caps w:val="false"/>
          <w:smallCaps w:val="false"/>
          <w:color w:val="000000"/>
          <w:spacing w:val="4"/>
          <w:sz w:val="20"/>
        </w:rPr>
        <w:t xml:space="preserve"> </w:t>
      </w:r>
    </w:p>
    <w:tbl>
      <w:tblPr>
        <w:tblW w:w="7905" w:type="dxa"/>
        <w:jc w:val="left"/>
        <w:tblInd w:w="1393" w:type="dxa"/>
        <w:tblLayout w:type="fixed"/>
        <w:tblCellMar>
          <w:top w:w="0" w:type="dxa"/>
          <w:left w:w="0" w:type="dxa"/>
          <w:bottom w:w="0" w:type="dxa"/>
          <w:right w:w="0" w:type="dxa"/>
        </w:tblCellMar>
      </w:tblPr>
      <w:tblGrid>
        <w:gridCol w:w="124"/>
        <w:gridCol w:w="3698"/>
        <w:gridCol w:w="109"/>
        <w:gridCol w:w="109"/>
        <w:gridCol w:w="3711"/>
        <w:gridCol w:w="154"/>
      </w:tblGrid>
      <w:tr>
        <w:trPr/>
        <w:tc>
          <w:tcPr>
            <w:tcW w:w="124" w:type="dxa"/>
            <w:tcBorders/>
            <w:vAlign w:val="center"/>
          </w:tcPr>
          <w:p>
            <w:pPr>
              <w:pStyle w:val="TableContents"/>
              <w:bidi w:val="0"/>
              <w:spacing w:before="0" w:after="283"/>
              <w:jc w:val="left"/>
              <w:rPr/>
            </w:pPr>
            <w:r>
              <w:rPr/>
              <w:t>​</w:t>
            </w:r>
          </w:p>
        </w:tc>
        <w:tc>
          <w:tcPr>
            <w:tcW w:w="3698" w:type="dxa"/>
            <w:tcBorders/>
            <w:vAlign w:val="center"/>
          </w:tcPr>
          <w:p>
            <w:pPr>
              <w:pStyle w:val="TableContents"/>
              <w:bidi w:val="0"/>
              <w:spacing w:lineRule="atLeast" w:line="200" w:before="0" w:after="0"/>
              <w:ind w:left="400" w:right="0" w:hanging="0"/>
              <w:jc w:val="left"/>
              <w:rPr/>
            </w:pPr>
            <w:r>
              <w:rPr>
                <w:spacing w:val="-2"/>
              </w:rPr>
              <w:t>Alexander &amp; Baldwin, Inc.</w:t>
            </w:r>
            <w:r>
              <w:rPr/>
              <w:t xml:space="preserve"> </w:t>
            </w:r>
            <w:r>
              <mc:AlternateContent>
                <mc:Choice Requires="wps">
                  <w:drawing>
                    <wp:anchor behindDoc="0" distT="0" distB="0" distL="127000" distR="0" simplePos="0" locked="0" layoutInCell="1" allowOverlap="1" relativeHeight="169">
                      <wp:simplePos x="0" y="0"/>
                      <wp:positionH relativeFrom="column">
                        <wp:align>left</wp:align>
                      </wp:positionH>
                      <wp:positionV relativeFrom="line">
                        <wp:posOffset>635</wp:posOffset>
                      </wp:positionV>
                      <wp:extent cx="127000" cy="350520"/>
                      <wp:effectExtent l="0" t="0" r="0" b="0"/>
                      <wp:wrapSquare wrapText="right"/>
                      <wp:docPr id="16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Armada Hoffler Properties, Inc.</w:t>
            </w:r>
            <w:r>
              <w:rPr/>
              <w:t xml:space="preserve"> </w:t>
            </w:r>
            <w:r>
              <mc:AlternateContent>
                <mc:Choice Requires="wps">
                  <w:drawing>
                    <wp:anchor behindDoc="0" distT="101600" distB="0" distL="127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4"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Chatham Lodging Trust</w:t>
            </w:r>
            <w:r>
              <w:rPr/>
              <w:t xml:space="preserve"> </w:t>
            </w:r>
            <w:r>
              <mc:AlternateContent>
                <mc:Choice Requires="wps">
                  <w:drawing>
                    <wp:anchor behindDoc="0" distT="101600" distB="0" distL="127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5"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Community Healthcare Trust Inc.</w:t>
            </w:r>
            <w:r>
              <w:rPr/>
              <w:t xml:space="preserve"> </w:t>
            </w:r>
            <w:r>
              <mc:AlternateContent>
                <mc:Choice Requires="wps">
                  <w:drawing>
                    <wp:anchor behindDoc="0" distT="101600" distB="0" distL="127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6"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Four Corners Property Trust, Inc.</w:t>
            </w:r>
            <w:r>
              <w:rPr/>
              <w:t xml:space="preserve"> </w:t>
            </w:r>
            <w:r>
              <mc:AlternateContent>
                <mc:Choice Requires="wps">
                  <w:drawing>
                    <wp:anchor behindDoc="0" distT="101600" distB="0" distL="127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FrontView REIT, Inc.</w:t>
            </w:r>
            <w:r>
              <w:rPr/>
              <w:t xml:space="preserve"> </w:t>
            </w:r>
            <w:r>
              <mc:AlternateContent>
                <mc:Choice Requires="wps">
                  <w:drawing>
                    <wp:anchor behindDoc="0" distT="101600" distB="0" distL="127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Getty Realty Corp. </w:t>
            </w:r>
            <w:r>
              <mc:AlternateContent>
                <mc:Choice Requires="wps">
                  <w:drawing>
                    <wp:anchor behindDoc="0" distT="101600" distB="0" distL="127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1" w:type="dxa"/>
            <w:tcBorders/>
            <w:vAlign w:val="center"/>
          </w:tcPr>
          <w:p>
            <w:pPr>
              <w:pStyle w:val="TableContents"/>
              <w:bidi w:val="0"/>
              <w:spacing w:lineRule="atLeast" w:line="200" w:before="0" w:after="0"/>
              <w:ind w:left="400" w:right="0" w:hanging="0"/>
              <w:jc w:val="left"/>
              <w:rPr/>
            </w:pPr>
            <w:r>
              <w:rPr>
                <w:spacing w:val="-2"/>
              </w:rPr>
              <w:t>InvenTrust Properties Corp.</w:t>
            </w:r>
            <w:r>
              <w:rPr/>
              <w:t xml:space="preserve"> </w:t>
            </w:r>
            <w:r>
              <mc:AlternateContent>
                <mc:Choice Requires="wps">
                  <w:drawing>
                    <wp:anchor behindDoc="0" distT="0" distB="0" distL="12700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NETSTREIT Corp.</w:t>
            </w:r>
            <w:r>
              <w:rPr/>
              <w:t xml:space="preserve"> </w:t>
            </w:r>
            <w:r>
              <mc:AlternateContent>
                <mc:Choice Requires="wps">
                  <w:drawing>
                    <wp:anchor behindDoc="0" distT="101600" distB="0" distL="127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1"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Plymouth Industrial REIT Inc.</w:t>
            </w:r>
            <w:r>
              <w:rPr/>
              <w:t xml:space="preserve"> </w:t>
            </w:r>
            <w:r>
              <mc:AlternateContent>
                <mc:Choice Requires="wps">
                  <w:drawing>
                    <wp:anchor behindDoc="0" distT="101600" distB="0" distL="127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2"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Seaport Entertainment Group Inc.</w:t>
            </w:r>
            <w:r>
              <w:rPr/>
              <w:t xml:space="preserve"> </w:t>
            </w:r>
            <w:r>
              <mc:AlternateContent>
                <mc:Choice Requires="wps">
                  <w:drawing>
                    <wp:anchor behindDoc="0" distT="101600" distB="0" distL="127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3"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Urban Edge Properties</w:t>
            </w:r>
            <w:r>
              <w:rPr/>
              <w:t xml:space="preserve"> </w:t>
            </w:r>
            <w:r>
              <mc:AlternateContent>
                <mc:Choice Requires="wps">
                  <w:drawing>
                    <wp:anchor behindDoc="0" distT="101600" distB="0" distL="127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4"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Whitestone REIT</w:t>
            </w:r>
            <w:r>
              <w:rPr/>
              <w:t xml:space="preserve"> </w:t>
            </w:r>
            <w:r>
              <mc:AlternateContent>
                <mc:Choice Requires="wps">
                  <w:drawing>
                    <wp:anchor behindDoc="0" distT="101600" distB="0" distL="127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34"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noted previously, with respect to the performance-based equity incentive awards granted in 2025, the constituent companies of the Index will be utilized to measure Relative TSR. The above peer group was utilized primarily for compensation benchmarking purposes for setting 2025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salary levels and other compensation elements of our peer group are among the factors taken into consideration by the Compensation Committee when evaluating the compensation of our NEOs (without benchmarking to a specific target).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Other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Health and Welfare Benefits</w:t>
      </w:r>
      <w:r>
        <w:rPr>
          <w:rFonts w:ascii="Arial;Helvetica;sans-serif" w:hAnsi="Arial;Helvetica;sans-serif"/>
          <w:b/>
          <w:i w:val="false"/>
          <w:caps w:val="false"/>
          <w:smallCaps w:val="false"/>
          <w:color w:val="000000"/>
          <w:spacing w:val="-3"/>
          <w:sz w:val="20"/>
          <w:u w:val="single"/>
        </w:rPr>
        <w:t>.</w:t>
      </w:r>
      <w:r>
        <w:rPr>
          <w:rFonts w:ascii="Arial;Helvetica;sans-serif" w:hAnsi="Arial;Helvetica;sans-serif"/>
          <w:b w:val="false"/>
          <w:i w:val="false"/>
          <w:caps w:val="false"/>
          <w:smallCaps w:val="false"/>
          <w:color w:val="000000"/>
          <w:spacing w:val="-2"/>
          <w:sz w:val="20"/>
        </w:rPr>
        <w:t>   We provide to each NEO and all full-time employees medical, dental, and vision coverage as well as long-term and short-term disability and life insurance. The Company also pays a portion of the cost to cover employees’ dependents under the medical, dental, and vision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Perquisites</w:t>
      </w:r>
      <w:r>
        <w:rPr>
          <w:rFonts w:ascii="Arial;Helvetica;sans-serif" w:hAnsi="Arial;Helvetica;sans-serif"/>
          <w:b/>
          <w:i w:val="false"/>
          <w:caps w:val="false"/>
          <w:smallCaps w:val="false"/>
          <w:color w:val="000000"/>
          <w:spacing w:val="-3"/>
          <w:sz w:val="20"/>
          <w:u w:val="single"/>
        </w:rPr>
        <w:t>.</w:t>
      </w:r>
      <w:r>
        <w:rPr>
          <w:rFonts w:ascii="Arial;Helvetica;sans-serif" w:hAnsi="Arial;Helvetica;sans-serif"/>
          <w:b w:val="false"/>
          <w:i w:val="false"/>
          <w:caps w:val="false"/>
          <w:smallCaps w:val="false"/>
          <w:color w:val="000000"/>
          <w:spacing w:val="-2"/>
          <w:sz w:val="20"/>
        </w:rPr>
        <w:t>   We do not provide our NEOs with any perquisites or personal benefits.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Stock Ownership</w:t>
      </w:r>
      <w:r>
        <w:rPr>
          <w:rFonts w:ascii="Arial;Helvetica;sans-serif" w:hAnsi="Arial;Helvetica;sans-serif"/>
          <w:b/>
          <w:i w:val="false"/>
          <w:caps w:val="false"/>
          <w:smallCaps w:val="false"/>
          <w:color w:val="000000"/>
          <w:spacing w:val="-3"/>
          <w:sz w:val="20"/>
          <w:u w:val="single"/>
        </w:rPr>
        <w:t>.</w:t>
      </w:r>
      <w:r>
        <w:rPr>
          <w:rFonts w:ascii="Arial;Helvetica;sans-serif" w:hAnsi="Arial;Helvetica;sans-serif"/>
          <w:b w:val="false"/>
          <w:i w:val="false"/>
          <w:caps w:val="false"/>
          <w:smallCaps w:val="false"/>
          <w:color w:val="000000"/>
          <w:spacing w:val="-2"/>
          <w:sz w:val="20"/>
        </w:rPr>
        <w:t>   In January 2019, we adopted new and enhanced stock ownership guidelines for our directors and executive officers, which were most recently amended in July 2024. These guidelines require the following minimum ownership levels of the Company’s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32"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Directors: the greater of (A) sufficient shares such that their value equals or exceeds five times the director’s annual cash retainer fee and (B) 10,000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6"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CEO: sufficient shares such that their value equals or exceeds six times his or her annual base salary.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77"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executive officers: sufficient shares such that their value equals or exceeds two times his or her annual base salary.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84">
                <wp:simplePos x="0" y="0"/>
                <wp:positionH relativeFrom="column">
                  <wp:align>left</wp:align>
                </wp:positionH>
                <wp:positionV relativeFrom="line">
                  <wp:align>top</wp:align>
                </wp:positionV>
                <wp:extent cx="254000" cy="525780"/>
                <wp:effectExtent l="0" t="0" r="0" b="0"/>
                <wp:wrapSquare wrapText="right"/>
                <wp:docPr id="178" name="Frame1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2"/>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Compliance with these ownership guidelines is measured on the first trading day of each calendar year (the “Compliance Date”), commencing on the fifth Compliance Date after the date such person is first elected or appointed to such position.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CR"/>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88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with respect to shares of the Company’s common stock acquired through the vesting of equity incentive awards such as restricted stock, performance shares or the exercise of a stock option (“incentive plan shares”), the recipient of such award must retain at least 50% of the incentive plan shares (net of any incentive plan shares tendered to the Company or sold to pay corresponding income tax withholding, other payroll taxes and, where applicable, the stock option exercise price).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u w:val="single"/>
        </w:rPr>
        <w:t>Practices Related to the Grant of Certain Equity Awards in Relation to the Release of Material Nonpublic Information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do not currently grant stock options or stock appreciation rights (“SARs”) as part of our equity compensation programs. During 2024, (a) the Compensation Committee and the Board did not award any options or SARs to a named executive officer, and (b) the Company did not time the disclosure of material nonpublic information to affect the value of executive compensation. However, if stock options or SARs were to be granted in the future, the Company would not grant such awards in anticipation of the release of material nonpublic information that is likely to result in changes to the price of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COMMITTEE REPORT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has reviewed and discussed the Compensation Discussion and Analysis with management. Based on such review and discussion with management, the Compensation Committee has recommended to the Board of Directors that the Compensation Discussion and Analysis be included in this proxy statement and incorporated by reference in our 2024 Annual Report. Submitted by the Compensation Committee: Christopher W. Haga, Chairman, George R. Brokaw, and Christopher J. Drew.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Absence of Interlocks.</w:t>
      </w:r>
      <w:r>
        <w:rPr>
          <w:rFonts w:ascii="Arial;Helvetica;sans-serif" w:hAnsi="Arial;Helvetica;sans-serif"/>
          <w:b w:val="false"/>
          <w:i w:val="false"/>
          <w:caps w:val="false"/>
          <w:smallCaps w:val="false"/>
          <w:color w:val="000000"/>
          <w:spacing w:val="-2"/>
          <w:sz w:val="20"/>
        </w:rPr>
        <w:t xml:space="preserve">   None of the members of the Compensation Committee is or has been an executive officer of the Company and no director who served on the Compensation Committee during 2024 had any relationships requiring disclosure by the Company under the SEC’s rules requiring disclosure of certain relationships and related-party transactions. None of the Company’s executive officers served as a director or a member of a compensation committee (or other committee serving an equivalent function) of any other entity, the executive officers of which served as a director of the Company or member of the Compensation Committee during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2SC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2024 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summarizes the compensation of our NEOs for the fiscal years ended December 31, 2022, 2023, and 2024:</w:t>
      </w:r>
      <w:r>
        <w:rPr>
          <w:rFonts w:ascii="Arial;Helvetica;sans-serif" w:hAnsi="Arial;Helvetica;sans-serif"/>
          <w:b w:val="false"/>
          <w:i w:val="false"/>
          <w:caps w:val="false"/>
          <w:smallCaps w:val="false"/>
          <w:color w:val="000000"/>
          <w:spacing w:val="4"/>
          <w:sz w:val="20"/>
        </w:rPr>
        <w:t xml:space="preserve"> </w:t>
      </w:r>
    </w:p>
    <w:tbl>
      <w:tblPr>
        <w:tblW w:w="10357" w:type="dxa"/>
        <w:jc w:val="left"/>
        <w:tblInd w:w="1393" w:type="dxa"/>
        <w:tblLayout w:type="fixed"/>
        <w:tblCellMar>
          <w:top w:w="0" w:type="dxa"/>
          <w:left w:w="0" w:type="dxa"/>
          <w:bottom w:w="43" w:type="dxa"/>
          <w:right w:w="0" w:type="dxa"/>
        </w:tblCellMar>
      </w:tblPr>
      <w:tblGrid>
        <w:gridCol w:w="1041"/>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15"/>
        <w:gridCol w:w="115"/>
        <w:gridCol w:w="1125"/>
        <w:gridCol w:w="116"/>
        <w:gridCol w:w="109"/>
        <w:gridCol w:w="109"/>
        <w:gridCol w:w="140"/>
        <w:gridCol w:w="140"/>
        <w:gridCol w:w="1048"/>
        <w:gridCol w:w="143"/>
        <w:gridCol w:w="109"/>
        <w:gridCol w:w="109"/>
        <w:gridCol w:w="109"/>
        <w:gridCol w:w="109"/>
        <w:gridCol w:w="1066"/>
        <w:gridCol w:w="109"/>
        <w:gridCol w:w="154"/>
      </w:tblGrid>
      <w:tr>
        <w:trPr/>
        <w:tc>
          <w:tcPr>
            <w:tcW w:w="1041" w:type="dxa"/>
            <w:tcBorders>
              <w:bottom w:val="single" w:sz="2" w:space="0" w:color="000000"/>
            </w:tcBorders>
            <w:vAlign w:val="center"/>
          </w:tcPr>
          <w:p>
            <w:pPr>
              <w:pStyle w:val="TableContents"/>
              <w:bidi w:val="0"/>
              <w:spacing w:before="0" w:after="0"/>
              <w:jc w:val="left"/>
              <w:rPr>
                <w:spacing w:val="0"/>
              </w:rPr>
            </w:pPr>
            <w:r>
              <w:rPr>
                <w:spacing w:val="0"/>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0"/>
              </w:rPr>
              <w:t>Salary</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0"/>
              </w:rPr>
              <w:t>Stock Awards</w:t>
            </w:r>
            <w:r>
              <w:rPr/>
              <w:t xml:space="preserve"> </w:t>
              <w:br/>
            </w:r>
            <w:r>
              <w:rPr>
                <w:spacing w:val="-2"/>
              </w:rPr>
              <w:t>($)</w:t>
            </w:r>
            <w:r>
              <w:rPr>
                <w:spacing w:val="-2"/>
                <w:sz w:val="10"/>
              </w:rPr>
              <w:t>(3)(4)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tcBorders>
              <w:bottom w:val="single" w:sz="2" w:space="0" w:color="000000"/>
            </w:tcBorders>
            <w:vAlign w:val="center"/>
          </w:tcPr>
          <w:p>
            <w:pPr>
              <w:pStyle w:val="TableContents"/>
              <w:bidi w:val="0"/>
              <w:spacing w:before="0" w:after="0"/>
              <w:jc w:val="center"/>
              <w:rPr/>
            </w:pPr>
            <w:r>
              <w:rPr>
                <w:spacing w:val="0"/>
              </w:rPr>
              <w:t xml:space="preserve">Non-Equity </w:t>
              <w:br/>
              <w:t xml:space="preserve">Incentive Plan  </w:t>
              <w:br/>
              <w:t>Compensation</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tcBorders>
              <w:bottom w:val="single" w:sz="2" w:space="0" w:color="000000"/>
            </w:tcBorders>
            <w:vAlign w:val="center"/>
          </w:tcPr>
          <w:p>
            <w:pPr>
              <w:pStyle w:val="TableContents"/>
              <w:bidi w:val="0"/>
              <w:spacing w:before="0" w:after="0"/>
              <w:jc w:val="center"/>
              <w:rPr/>
            </w:pPr>
            <w:r>
              <w:rPr>
                <w:spacing w:val="0"/>
              </w:rPr>
              <w:t xml:space="preserve">All Other </w:t>
              <w:br/>
              <w:t>Compensation</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1" w:type="dxa"/>
            <w:vMerge w:val="restart"/>
            <w:tcBorders/>
            <w:shd w:fill="CCEEFF" w:val="clear"/>
            <w:tcMar>
              <w:bottom w:w="0" w:type="dxa"/>
            </w:tcMar>
            <w:vAlign w:val="center"/>
          </w:tcPr>
          <w:p>
            <w:pPr>
              <w:pStyle w:val="TableContents"/>
              <w:bidi w:val="0"/>
              <w:spacing w:lineRule="atLeast" w:line="240" w:before="0" w:after="0"/>
              <w:ind w:left="200" w:right="0" w:hanging="200"/>
              <w:jc w:val="both"/>
              <w:rPr>
                <w:spacing w:val="-2"/>
              </w:rPr>
            </w:pPr>
            <w:r>
              <w:rPr>
                <w:spacing w:val="-2"/>
              </w:rPr>
              <w:t xml:space="preserve">John P. Albright </w:t>
              <w:br/>
              <w:t xml:space="preserve">President &amp; Chief </w:t>
              <w:br/>
              <w:t xml:space="preserve">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640,710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1,172,927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1125" w:type="dxa"/>
            <w:tcBorders/>
            <w:shd w:fill="CCEEFF" w:val="clear"/>
            <w:tcMar>
              <w:bottom w:w="0" w:type="dxa"/>
            </w:tcMar>
            <w:vAlign w:val="center"/>
          </w:tcPr>
          <w:p>
            <w:pPr>
              <w:pStyle w:val="TableContents"/>
              <w:bidi w:val="0"/>
              <w:spacing w:lineRule="atLeast" w:line="240" w:before="0" w:after="283"/>
              <w:jc w:val="right"/>
              <w:rPr/>
            </w:pPr>
            <w:r>
              <w:rPr/>
              <w:t>1,217,350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lineRule="atLeast" w:line="240" w:before="0" w:after="283"/>
              <w:jc w:val="right"/>
              <w:rPr/>
            </w:pPr>
            <w:r>
              <w:rPr/>
              <w:t>​</w:t>
            </w:r>
          </w:p>
        </w:tc>
        <w:tc>
          <w:tcPr>
            <w:tcW w:w="1048" w:type="dxa"/>
            <w:tcBorders/>
            <w:shd w:fill="CCEEFF" w:val="clear"/>
            <w:tcMar>
              <w:bottom w:w="0" w:type="dxa"/>
            </w:tcMar>
            <w:vAlign w:val="center"/>
          </w:tcPr>
          <w:p>
            <w:pPr>
              <w:pStyle w:val="TableContents"/>
              <w:bidi w:val="0"/>
              <w:spacing w:lineRule="atLeast" w:line="240" w:before="0" w:after="283"/>
              <w:jc w:val="right"/>
              <w:rPr/>
            </w:pPr>
            <w:r>
              <w:rPr/>
              <w:t>16,122</w:t>
            </w:r>
            <w:r>
              <w:rPr>
                <w:sz w:val="13"/>
              </w:rPr>
              <w:t>(5)</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3,047,109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640,710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1,209,080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749,638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048" w:type="dxa"/>
            <w:tcBorders/>
            <w:shd w:fill="CCEEFF" w:val="clear"/>
            <w:tcMar>
              <w:bottom w:w="0" w:type="dxa"/>
            </w:tcMar>
            <w:vAlign w:val="center"/>
          </w:tcPr>
          <w:p>
            <w:pPr>
              <w:pStyle w:val="TableContents"/>
              <w:bidi w:val="0"/>
              <w:spacing w:before="0" w:after="283"/>
              <w:jc w:val="right"/>
              <w:rPr/>
            </w:pPr>
            <w:r>
              <w:rPr/>
              <w:t>22,938</w:t>
            </w:r>
            <w:r>
              <w:rPr>
                <w:sz w:val="13"/>
              </w:rPr>
              <w:t>(5)</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2,622,366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593,250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1,141,117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667,406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048" w:type="dxa"/>
            <w:tcBorders/>
            <w:shd w:fill="CCEEFF" w:val="clear"/>
            <w:tcMar>
              <w:bottom w:w="0" w:type="dxa"/>
            </w:tcMar>
            <w:vAlign w:val="center"/>
          </w:tcPr>
          <w:p>
            <w:pPr>
              <w:pStyle w:val="TableContents"/>
              <w:bidi w:val="0"/>
              <w:spacing w:before="0" w:after="283"/>
              <w:jc w:val="right"/>
              <w:rPr/>
            </w:pPr>
            <w:r>
              <w:rPr/>
              <w:t>21,938</w:t>
            </w:r>
            <w:r>
              <w:rPr>
                <w:sz w:val="13"/>
              </w:rPr>
              <w:t>(5)</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2,423,711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vMerge w:val="restart"/>
            <w:tcBorders/>
            <w:tcMar>
              <w:bottom w:w="0" w:type="dxa"/>
            </w:tcMar>
            <w:vAlign w:val="center"/>
          </w:tcPr>
          <w:p>
            <w:pPr>
              <w:pStyle w:val="TableContents"/>
              <w:bidi w:val="0"/>
              <w:spacing w:lineRule="atLeast" w:line="240" w:before="0" w:after="0"/>
              <w:ind w:left="200" w:right="0" w:hanging="200"/>
              <w:jc w:val="both"/>
              <w:rPr>
                <w:spacing w:val="-2"/>
              </w:rPr>
            </w:pPr>
            <w:r>
              <w:rPr>
                <w:spacing w:val="-2"/>
              </w:rPr>
              <w:t xml:space="preserve">Steven R. Greathouse </w:t>
              <w:br/>
              <w:t xml:space="preserve">Sr. Vice President &amp; </w:t>
              <w:br/>
              <w:t xml:space="preserve">Chief Investment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501,850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240" w:before="0" w:after="283"/>
              <w:jc w:val="right"/>
              <w:rPr/>
            </w:pPr>
            <w:r>
              <w:rPr/>
              <w:t>​</w:t>
            </w:r>
          </w:p>
        </w:tc>
        <w:tc>
          <w:tcPr>
            <w:tcW w:w="1125" w:type="dxa"/>
            <w:tcBorders/>
            <w:tcMar>
              <w:bottom w:w="0" w:type="dxa"/>
            </w:tcMar>
            <w:vAlign w:val="center"/>
          </w:tcPr>
          <w:p>
            <w:pPr>
              <w:pStyle w:val="TableContents"/>
              <w:bidi w:val="0"/>
              <w:spacing w:lineRule="atLeast" w:line="240" w:before="0" w:after="283"/>
              <w:jc w:val="right"/>
              <w:rPr/>
            </w:pPr>
            <w:r>
              <w:rPr/>
              <w:t>600,000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lineRule="atLeast" w:line="240" w:before="0" w:after="283"/>
              <w:jc w:val="right"/>
              <w:rPr/>
            </w:pPr>
            <w:r>
              <w:rPr/>
              <w:t>​</w:t>
            </w:r>
          </w:p>
        </w:tc>
        <w:tc>
          <w:tcPr>
            <w:tcW w:w="1048" w:type="dxa"/>
            <w:tcBorders/>
            <w:tcMar>
              <w:bottom w:w="0" w:type="dxa"/>
            </w:tcMar>
            <w:vAlign w:val="center"/>
          </w:tcPr>
          <w:p>
            <w:pPr>
              <w:pStyle w:val="TableContents"/>
              <w:bidi w:val="0"/>
              <w:spacing w:lineRule="atLeast" w:line="240" w:before="0" w:after="283"/>
              <w:jc w:val="right"/>
              <w:rPr/>
            </w:pPr>
            <w:r>
              <w:rPr/>
              <w:t>14,610</w:t>
            </w:r>
            <w:r>
              <w:rPr>
                <w:sz w:val="13"/>
              </w:rPr>
              <w:t>(6)</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1,516,460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517,168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369,477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048" w:type="dxa"/>
            <w:tcBorders/>
            <w:tcMar>
              <w:bottom w:w="0" w:type="dxa"/>
            </w:tcMar>
            <w:vAlign w:val="center"/>
          </w:tcPr>
          <w:p>
            <w:pPr>
              <w:pStyle w:val="TableContents"/>
              <w:bidi w:val="0"/>
              <w:spacing w:before="0" w:after="283"/>
              <w:jc w:val="right"/>
              <w:rPr/>
            </w:pPr>
            <w:r>
              <w:rPr/>
              <w:t>14,010</w:t>
            </w:r>
            <w:r>
              <w:rPr>
                <w:sz w:val="13"/>
              </w:rPr>
              <w:t>(6)</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1,300,655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859,035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450,000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048" w:type="dxa"/>
            <w:tcBorders/>
            <w:tcMar>
              <w:bottom w:w="0" w:type="dxa"/>
            </w:tcMar>
            <w:vAlign w:val="center"/>
          </w:tcPr>
          <w:p>
            <w:pPr>
              <w:pStyle w:val="TableContents"/>
              <w:bidi w:val="0"/>
              <w:spacing w:before="0" w:after="283"/>
              <w:jc w:val="right"/>
              <w:rPr/>
            </w:pPr>
            <w:r>
              <w:rPr/>
              <w:t>12,740</w:t>
            </w:r>
            <w:r>
              <w:rPr>
                <w:sz w:val="13"/>
              </w:rPr>
              <w:t>(6)</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1,705,525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tcBorders/>
            <w:shd w:fill="CCEEFF" w:val="clear"/>
            <w:tcMar>
              <w:bottom w:w="0" w:type="dxa"/>
            </w:tcMar>
            <w:vAlign w:val="center"/>
          </w:tcPr>
          <w:p>
            <w:pPr>
              <w:pStyle w:val="TableContents"/>
              <w:bidi w:val="0"/>
              <w:spacing w:before="0" w:after="0"/>
              <w:ind w:left="200" w:right="0" w:hanging="200"/>
              <w:jc w:val="left"/>
              <w:rPr/>
            </w:pPr>
            <w:r>
              <w:rPr>
                <w:spacing w:val="-2"/>
              </w:rPr>
              <w:t>Philip R. Mays</w:t>
            </w:r>
            <w:r>
              <w:rPr>
                <w:spacing w:val="-1"/>
                <w:szCs w:val="13"/>
              </w:rPr>
              <w:t>﻿</w:t>
            </w:r>
            <w:r>
              <w:rPr>
                <w:spacing w:val="-1"/>
                <w:sz w:val="13"/>
              </w:rPr>
              <w:t>(1)</w:t>
            </w:r>
            <w:r>
              <w:rPr/>
              <w:t xml:space="preserve"> </w:t>
              <w:br/>
            </w:r>
            <w:r>
              <w:rPr>
                <w:spacing w:val="-2"/>
              </w:rPr>
              <w:t xml:space="preserve">Senior Vice President, </w:t>
              <w:br/>
              <w:t xml:space="preserve">Chief Financial Officer &amp; </w:t>
              <w:br/>
              <w:t xml:space="preserve">Treasurer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203,125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304,303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048" w:type="dxa"/>
            <w:tcBorders/>
            <w:shd w:fill="CCEEFF" w:val="clear"/>
            <w:tcMar>
              <w:bottom w:w="0" w:type="dxa"/>
            </w:tcMar>
            <w:vAlign w:val="center"/>
          </w:tcPr>
          <w:p>
            <w:pPr>
              <w:pStyle w:val="TableContents"/>
              <w:bidi w:val="0"/>
              <w:spacing w:before="0" w:after="283"/>
              <w:jc w:val="right"/>
              <w:rPr/>
            </w:pPr>
            <w:r>
              <w:rPr/>
              <w:t>17,927</w:t>
            </w:r>
            <w:r>
              <w:rPr>
                <w:sz w:val="13"/>
              </w:rPr>
              <w:t>(7)</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525,355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vMerge w:val="restart"/>
            <w:tcBorders/>
            <w:tcMar>
              <w:bottom w:w="0" w:type="dxa"/>
            </w:tcMar>
            <w:vAlign w:val="center"/>
          </w:tcPr>
          <w:p>
            <w:pPr>
              <w:pStyle w:val="TableContents"/>
              <w:bidi w:val="0"/>
              <w:spacing w:lineRule="atLeast" w:line="240" w:before="0" w:after="0"/>
              <w:ind w:left="200" w:right="0" w:hanging="200"/>
              <w:jc w:val="left"/>
              <w:rPr/>
            </w:pPr>
            <w:r>
              <w:rPr>
                <w:spacing w:val="-2"/>
              </w:rPr>
              <w:t>Matthew M. Partridge</w:t>
            </w:r>
            <w:r>
              <w:rPr>
                <w:spacing w:val="-1"/>
                <w:szCs w:val="13"/>
              </w:rPr>
              <w:t>﻿</w:t>
            </w:r>
            <w:r>
              <w:rPr>
                <w:spacing w:val="-1"/>
                <w:sz w:val="13"/>
              </w:rPr>
              <w:t>(2)</w:t>
            </w:r>
            <w:r>
              <w:rPr/>
              <w:t xml:space="preserve"> </w:t>
              <w:br/>
            </w:r>
            <w:r>
              <w:rPr>
                <w:spacing w:val="-2"/>
              </w:rPr>
              <w:t xml:space="preserve">Former Senior Vice </w:t>
              <w:br/>
              <w:t xml:space="preserve">President, Chief Financial </w:t>
              <w:br/>
              <w:t xml:space="preserve">Officer &amp; Treasurer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101,515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501,850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240" w:before="0" w:after="283"/>
              <w:jc w:val="right"/>
              <w:rPr/>
            </w:pPr>
            <w:r>
              <w:rPr/>
              <w:t>​</w:t>
            </w:r>
          </w:p>
        </w:tc>
        <w:tc>
          <w:tcPr>
            <w:tcW w:w="1125" w:type="dxa"/>
            <w:tcBorders/>
            <w:tcMar>
              <w:bottom w:w="0" w:type="dxa"/>
            </w:tcMar>
            <w:vAlign w:val="center"/>
          </w:tcPr>
          <w:p>
            <w:pPr>
              <w:pStyle w:val="TableContents"/>
              <w:bidi w:val="0"/>
              <w:spacing w:lineRule="atLeast" w:line="240"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lineRule="atLeast" w:line="240" w:before="0" w:after="283"/>
              <w:jc w:val="right"/>
              <w:rPr/>
            </w:pPr>
            <w:r>
              <w:rPr/>
              <w:t>​</w:t>
            </w:r>
          </w:p>
        </w:tc>
        <w:tc>
          <w:tcPr>
            <w:tcW w:w="1048" w:type="dxa"/>
            <w:tcBorders/>
            <w:tcMar>
              <w:bottom w:w="0" w:type="dxa"/>
            </w:tcMar>
            <w:vAlign w:val="center"/>
          </w:tcPr>
          <w:p>
            <w:pPr>
              <w:pStyle w:val="TableContents"/>
              <w:bidi w:val="0"/>
              <w:spacing w:lineRule="atLeast" w:line="240" w:before="0" w:after="283"/>
              <w:jc w:val="right"/>
              <w:rPr/>
            </w:pPr>
            <w:r>
              <w:rPr/>
              <w:t>13,980</w:t>
            </w:r>
            <w:r>
              <w:rPr>
                <w:sz w:val="13"/>
              </w:rPr>
              <w:t>(8)</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617,345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517,168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369,477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048" w:type="dxa"/>
            <w:tcBorders/>
            <w:tcMar>
              <w:bottom w:w="0" w:type="dxa"/>
            </w:tcMar>
            <w:vAlign w:val="center"/>
          </w:tcPr>
          <w:p>
            <w:pPr>
              <w:pStyle w:val="TableContents"/>
              <w:bidi w:val="0"/>
              <w:spacing w:before="0" w:after="283"/>
              <w:jc w:val="right"/>
              <w:rPr/>
            </w:pPr>
            <w:r>
              <w:rPr/>
              <w:t>13,740</w:t>
            </w:r>
            <w:r>
              <w:rPr>
                <w:sz w:val="13"/>
              </w:rPr>
              <w:t>(8)</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1,300,385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859,035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450,000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048" w:type="dxa"/>
            <w:tcBorders/>
            <w:tcMar>
              <w:bottom w:w="0" w:type="dxa"/>
            </w:tcMar>
            <w:vAlign w:val="center"/>
          </w:tcPr>
          <w:p>
            <w:pPr>
              <w:pStyle w:val="TableContents"/>
              <w:bidi w:val="0"/>
              <w:spacing w:before="0" w:after="283"/>
              <w:jc w:val="right"/>
              <w:rPr/>
            </w:pPr>
            <w:r>
              <w:rPr/>
              <w:t>12,686</w:t>
            </w:r>
            <w:r>
              <w:rPr>
                <w:sz w:val="13"/>
              </w:rPr>
              <w:t>(8)</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1,705,471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vMerge w:val="restart"/>
            <w:tcBorders/>
            <w:shd w:fill="CCEEFF" w:val="clear"/>
            <w:tcMar>
              <w:bottom w:w="0" w:type="dxa"/>
            </w:tcMar>
            <w:vAlign w:val="center"/>
          </w:tcPr>
          <w:p>
            <w:pPr>
              <w:pStyle w:val="TableContents"/>
              <w:bidi w:val="0"/>
              <w:spacing w:lineRule="atLeast" w:line="240" w:before="0" w:after="0"/>
              <w:ind w:left="200" w:right="0" w:hanging="200"/>
              <w:jc w:val="left"/>
              <w:rPr>
                <w:spacing w:val="-2"/>
              </w:rPr>
            </w:pPr>
            <w:r>
              <w:rPr>
                <w:spacing w:val="-2"/>
              </w:rPr>
              <w:t xml:space="preserve">Daniel E. Smith </w:t>
              <w:br/>
              <w:t xml:space="preserve">Sr. Vice President, </w:t>
              <w:br/>
              <w:t xml:space="preserve">General Counsel &amp; </w:t>
              <w:br/>
              <w:t xml:space="preserve">Corporate Secretary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376,388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1125" w:type="dxa"/>
            <w:tcBorders/>
            <w:shd w:fill="CCEEFF" w:val="clear"/>
            <w:tcMar>
              <w:bottom w:w="0" w:type="dxa"/>
            </w:tcMar>
            <w:vAlign w:val="center"/>
          </w:tcPr>
          <w:p>
            <w:pPr>
              <w:pStyle w:val="TableContents"/>
              <w:bidi w:val="0"/>
              <w:spacing w:lineRule="atLeast" w:line="240" w:before="0" w:after="283"/>
              <w:jc w:val="right"/>
              <w:rPr/>
            </w:pPr>
            <w:r>
              <w:rPr/>
              <w:t>450,000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lineRule="atLeast" w:line="240" w:before="0" w:after="283"/>
              <w:jc w:val="right"/>
              <w:rPr/>
            </w:pPr>
            <w:r>
              <w:rPr/>
              <w:t>​</w:t>
            </w:r>
          </w:p>
        </w:tc>
        <w:tc>
          <w:tcPr>
            <w:tcW w:w="1048" w:type="dxa"/>
            <w:tcBorders/>
            <w:shd w:fill="CCEEFF" w:val="clear"/>
            <w:tcMar>
              <w:bottom w:w="0" w:type="dxa"/>
            </w:tcMar>
            <w:vAlign w:val="center"/>
          </w:tcPr>
          <w:p>
            <w:pPr>
              <w:pStyle w:val="TableContents"/>
              <w:bidi w:val="0"/>
              <w:spacing w:lineRule="atLeast" w:line="240" w:before="0" w:after="283"/>
              <w:jc w:val="right"/>
              <w:rPr/>
            </w:pPr>
            <w:r>
              <w:rPr/>
              <w:t>16,122</w:t>
            </w:r>
            <w:r>
              <w:rPr>
                <w:sz w:val="13"/>
              </w:rPr>
              <w:t>(9)</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1,142,510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463,157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277,108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048" w:type="dxa"/>
            <w:tcBorders/>
            <w:shd w:fill="CCEEFF" w:val="clear"/>
            <w:tcMar>
              <w:bottom w:w="0" w:type="dxa"/>
            </w:tcMar>
            <w:vAlign w:val="center"/>
          </w:tcPr>
          <w:p>
            <w:pPr>
              <w:pStyle w:val="TableContents"/>
              <w:bidi w:val="0"/>
              <w:spacing w:before="0" w:after="283"/>
              <w:jc w:val="right"/>
              <w:rPr/>
            </w:pPr>
            <w:r>
              <w:rPr/>
              <w:t>15,522</w:t>
            </w:r>
            <w:r>
              <w:rPr>
                <w:sz w:val="13"/>
              </w:rPr>
              <w:t>(9)</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1,055,787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271,366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486,692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318,214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048" w:type="dxa"/>
            <w:tcBorders/>
            <w:shd w:fill="CCEEFF" w:val="clear"/>
            <w:tcMar>
              <w:bottom w:w="0" w:type="dxa"/>
            </w:tcMar>
            <w:vAlign w:val="center"/>
          </w:tcPr>
          <w:p>
            <w:pPr>
              <w:pStyle w:val="TableContents"/>
              <w:bidi w:val="0"/>
              <w:spacing w:before="0" w:after="283"/>
              <w:jc w:val="right"/>
              <w:rPr/>
            </w:pPr>
            <w:r>
              <w:rPr/>
              <w:t>14,522</w:t>
            </w:r>
            <w:r>
              <w:rPr>
                <w:sz w:val="13"/>
              </w:rPr>
              <w:t>(9)</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1,090,794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tcBorders/>
            <w:tcMar>
              <w:bottom w:w="0" w:type="dxa"/>
            </w:tcMar>
            <w:vAlign w:val="center"/>
          </w:tcPr>
          <w:p>
            <w:pPr>
              <w:pStyle w:val="TableContents"/>
              <w:bidi w:val="0"/>
              <w:spacing w:before="0" w:after="0"/>
              <w:ind w:left="200" w:right="0" w:hanging="200"/>
              <w:jc w:val="both"/>
              <w:rPr>
                <w:spacing w:val="-2"/>
              </w:rPr>
            </w:pPr>
            <w:r>
              <w:rPr>
                <w:spacing w:val="-2"/>
              </w:rPr>
              <w:t xml:space="preserve">Lisa M. Vorakoun </w:t>
              <w:br/>
              <w:t xml:space="preserve">Sr. Vice President &amp; </w:t>
              <w:br/>
              <w:t xml:space="preserve">Chief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255,833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226,572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412,500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048" w:type="dxa"/>
            <w:tcBorders/>
            <w:tcMar>
              <w:bottom w:w="0" w:type="dxa"/>
            </w:tcMar>
            <w:vAlign w:val="center"/>
          </w:tcPr>
          <w:p>
            <w:pPr>
              <w:pStyle w:val="TableContents"/>
              <w:bidi w:val="0"/>
              <w:spacing w:before="0" w:after="283"/>
              <w:jc w:val="right"/>
              <w:rPr/>
            </w:pPr>
            <w:r>
              <w:rPr/>
              <w:t>14,340</w:t>
            </w:r>
            <w:r>
              <w:rPr>
                <w:sz w:val="13"/>
              </w:rPr>
              <w:t>(10)</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909,245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Mays was appointed to his position as CFO of the Company effective as of June 17,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79"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Partridge resigned from his position as CFO of the Company effective as of April 1, 2024. He received certain equity awards in February 2024 which were subsequently forfeited prior to vesting as a result of his resignation.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0"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aggregate grant date fair value for performance share and time-vesting restricted stock awards granted pursuant to the 2010 Plan, computed in accordance with FASB ASC Topic 718, disregarding the estimate of forfeitures, calculated as follows with respect to time-vesting restricted stock awards: (i) for awards granted in 2022, by multiplying the number of shares issued by the Company’s stock price at the grant date, less the present value of expected dividends during the vesting period; and (ii) for awards granted in 2023 and 2024, by multiplying the number of shares issued by the Company’s stock price at the grant date, which was $19.24 (February 17, 2023) and $16.31 (February 14, 2024) .</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1"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With respect to performance share awards, amounts included consist of the aggregate grant date fair value of the awards, based on the probable outcome of conditions required to be met for vesting, computed in accordance with FASB ASC Topic 718. If the maximum amount, rather than the probable amount, were reported in the table with respect to the 2024 performance share awards, the values associated with the performance share awards would be as follows for each NEO: Mr. Albright: $1,037,069; Mr. Greathouse: $397,249; Mr. Partridge: $397,249; Mr. Smith: $297,945; and Ms. Vorakoun: $171,472 (versus the respective $691,374, $264,833, $264,833, $198,625, and $114,310 actually included for each individual). The amounts do not reflect whether Messrs. Albright, Greathouse, Partridge, Smith or Ms. Vorakoun have actually realized or will realize a financial benefit from the award, as the award is at-risk until the performance conditions are satisfied. For information </w:t>
      </w:r>
      <w:r>
        <mc:AlternateContent>
          <mc:Choice Requires="wps">
            <w:drawing>
              <wp:anchor behindDoc="0" distT="4953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2"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80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the valuation assumptions used in these computations, refer to Note 20 (Stock-Based Compensation) in the Notes to Consolidated Financial Statements included in our 2024 Annual Report.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reflect group term life insurance premium paid on behalf of Mr. Albright by the Company, and 401(k) plan employer matching contributions; during fiscal year 2024, such amounts were $2,322 (life insurance) and $13,800 (401(k) match).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3"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reflect group term life insurance premium paid on behalf of Mr. Greathouse by the Company, and 401(k) plan employer matching contributions; during fiscal year 2024, such amounts were $810 (life insurance) and $13,800 (401(k) match).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4"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reflect group term life insurance premium paid on behalf of Mr. Mays by the Company, reimbursement of moving expenses and 401(k) plan employer matching contributions; during fiscal year 2024, such amounts were $774 (life insurance), $12,141 (moving expenses), and $5,012 (401(k) match).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5"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reflect group term life insurance premium paid on behalf of Mr. Partridge by the Company, and 401(k) plan employer matching contributions; during fiscal year 2024, such amounts were $180 (life insurance) and $13,800 (401(k) match).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6"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reflect group term life insurance premium paid on behalf of Mr. Smith by the Company, and 401(k) plan employer matching contributions; during fiscal year 2024, such amounts were $2,322 (life insurance) and $13,800 (401(k) match).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87"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Amounts reflect group term life insurance premium paid on behalf of Ms. Vorakoun by the Company, and 401(k) plan employer matching contributions; during fiscal year 2024, such amounts were $540 (life insurance) and $13,800 (401(k) match). </w:t>
      </w:r>
      <w:r>
        <mc:AlternateContent>
          <mc:Choice Requires="wps">
            <w:drawing>
              <wp:anchor behindDoc="0" distT="50800" distB="0" distL="0" distR="0" simplePos="0" locked="0" layoutInCell="1" allowOverlap="1" relativeHeight="194">
                <wp:simplePos x="0" y="0"/>
                <wp:positionH relativeFrom="column">
                  <wp:align>left</wp:align>
                </wp:positionH>
                <wp:positionV relativeFrom="line">
                  <wp:align>top</wp:align>
                </wp:positionV>
                <wp:extent cx="254000" cy="525780"/>
                <wp:effectExtent l="0" t="0" r="0" b="0"/>
                <wp:wrapSquare wrapText="right"/>
                <wp:docPr id="188" name="Frame1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GOP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GRANTS OF PLAN-BASED AWARDS DURING THE YEAR ENDED DECEMBER 31,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summarizes the grants of plan-based awards to our NEOs for the fiscal year ended December 31, 2024.</w:t>
      </w:r>
      <w:r>
        <w:rPr>
          <w:rFonts w:ascii="Arial;Helvetica;sans-serif" w:hAnsi="Arial;Helvetica;sans-serif"/>
          <w:b w:val="false"/>
          <w:i w:val="false"/>
          <w:caps w:val="false"/>
          <w:smallCaps w:val="false"/>
          <w:color w:val="000000"/>
          <w:spacing w:val="4"/>
          <w:sz w:val="20"/>
        </w:rPr>
        <w:t xml:space="preserve"> </w:t>
      </w:r>
    </w:p>
    <w:tbl>
      <w:tblPr>
        <w:tblW w:w="13853" w:type="dxa"/>
        <w:jc w:val="left"/>
        <w:tblInd w:w="543" w:type="dxa"/>
        <w:tblLayout w:type="fixed"/>
        <w:tblCellMar>
          <w:top w:w="0" w:type="dxa"/>
          <w:left w:w="0" w:type="dxa"/>
          <w:bottom w:w="43" w:type="dxa"/>
          <w:right w:w="0" w:type="dxa"/>
        </w:tblCellMar>
      </w:tblPr>
      <w:tblGrid>
        <w:gridCol w:w="1192"/>
        <w:gridCol w:w="109"/>
        <w:gridCol w:w="109"/>
        <w:gridCol w:w="109"/>
        <w:gridCol w:w="109"/>
        <w:gridCol w:w="814"/>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886"/>
        <w:gridCol w:w="109"/>
        <w:gridCol w:w="154"/>
      </w:tblGrid>
      <w:tr>
        <w:trPr/>
        <w:tc>
          <w:tcPr>
            <w:tcW w:w="1192" w:type="dxa"/>
            <w:vMerge w:val="restart"/>
            <w:tcBorders>
              <w:bottom w:val="single" w:sz="2" w:space="0" w:color="000000"/>
            </w:tcBorders>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41" w:type="dxa"/>
            <w:gridSpan w:val="4"/>
            <w:vMerge w:val="restart"/>
            <w:tcBorders>
              <w:bottom w:val="single" w:sz="2" w:space="0" w:color="000000"/>
            </w:tcBorders>
            <w:vAlign w:val="center"/>
          </w:tcPr>
          <w:p>
            <w:pPr>
              <w:pStyle w:val="TableContents"/>
              <w:bidi w:val="0"/>
              <w:spacing w:lineRule="atLeast" w:line="180" w:before="0" w:after="0"/>
              <w:jc w:val="center"/>
              <w:rPr>
                <w:spacing w:val="0"/>
              </w:rPr>
            </w:pPr>
            <w:r>
              <w:rPr>
                <w:spacing w:val="0"/>
              </w:rPr>
              <w:t xml:space="preserve">Committee </w:t>
              <w:br/>
              <w:t xml:space="preserve">Approval </w:t>
              <w:br/>
              <w:t xml:space="preserve">and Grant </w:t>
              <w:br/>
              <w:t xml:space="preserve">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55" w:type="dxa"/>
            <w:gridSpan w:val="16"/>
            <w:tcBorders>
              <w:bottom w:val="single" w:sz="2" w:space="0" w:color="000000"/>
            </w:tcBorders>
            <w:vAlign w:val="center"/>
          </w:tcPr>
          <w:p>
            <w:pPr>
              <w:pStyle w:val="TableContents"/>
              <w:bidi w:val="0"/>
              <w:spacing w:lineRule="atLeast" w:line="142" w:before="0" w:after="0"/>
              <w:jc w:val="center"/>
              <w:rPr/>
            </w:pPr>
            <w:r>
              <w:rPr>
                <w:spacing w:val="0"/>
              </w:rPr>
              <w:t xml:space="preserve">Estimated Future Payouts </w:t>
              <w:br/>
              <w:t xml:space="preserve">Under Non-Equity Incentive Plan </w:t>
              <w:br/>
              <w:t>Awards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15" w:type="dxa"/>
            <w:gridSpan w:val="16"/>
            <w:tcBorders>
              <w:bottom w:val="single" w:sz="2" w:space="0" w:color="000000"/>
            </w:tcBorders>
            <w:vAlign w:val="center"/>
          </w:tcPr>
          <w:p>
            <w:pPr>
              <w:pStyle w:val="TableContents"/>
              <w:bidi w:val="0"/>
              <w:spacing w:lineRule="atLeast" w:line="142" w:before="0" w:after="0"/>
              <w:jc w:val="center"/>
              <w:rPr/>
            </w:pPr>
            <w:r>
              <w:rPr>
                <w:spacing w:val="0"/>
              </w:rPr>
              <w:t xml:space="preserve">Estimated Future Payouts </w:t>
              <w:br/>
              <w:t xml:space="preserve">Under Equity Incentive Plan </w:t>
              <w:br/>
              <w:t>Awards</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0"/>
              </w:rPr>
              <w:t xml:space="preserve">All Other </w:t>
              <w:br/>
              <w:t xml:space="preserve">Stock </w:t>
              <w:br/>
              <w:t xml:space="preserve">Awards: </w:t>
              <w:br/>
              <w:t xml:space="preserve">Number of </w:t>
              <w:br/>
              <w:t xml:space="preserve">Shares </w:t>
              <w:br/>
              <w:t>of Stock</w:t>
            </w:r>
            <w:r>
              <w:rPr>
                <w:spacing w:val="-2"/>
                <w:sz w:val="10"/>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0"/>
              </w:rPr>
              <w:t xml:space="preserve">Grant </w:t>
              <w:br/>
              <w:t xml:space="preserve">Date Fair </w:t>
              <w:br/>
              <w:t xml:space="preserve">Value of </w:t>
              <w:br/>
              <w:t xml:space="preserve">Stock </w:t>
              <w:br/>
              <w:t>Awards</w:t>
            </w:r>
            <w:r>
              <w:rPr/>
              <w:t xml:space="preserve"> </w:t>
              <w:br/>
            </w:r>
            <w:r>
              <w:rPr>
                <w:spacing w:val="-2"/>
              </w:rPr>
              <w:t>($)</w:t>
            </w:r>
            <w:r>
              <w:rPr>
                <w:spacing w:val="-2"/>
                <w:sz w:val="10"/>
              </w:rPr>
              <w:t>(4)</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9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4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13"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192" w:type="dxa"/>
            <w:vMerge w:val="restart"/>
            <w:tcBorders/>
            <w:shd w:fill="CCEEFF" w:val="clear"/>
            <w:tcMar>
              <w:bottom w:w="0" w:type="dxa"/>
            </w:tcMar>
            <w:vAlign w:val="center"/>
          </w:tcPr>
          <w:p>
            <w:pPr>
              <w:pStyle w:val="TableContents"/>
              <w:bidi w:val="0"/>
              <w:spacing w:lineRule="atLeast" w:line="192" w:before="0" w:after="0"/>
              <w:jc w:val="left"/>
              <w:rPr>
                <w:spacing w:val="-1"/>
              </w:rPr>
            </w:pPr>
            <w:r>
              <w:rPr>
                <w:spacing w:val="-1"/>
              </w:rPr>
              <w:t xml:space="preserve">John P. Albright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14" w:type="dxa"/>
            <w:tcBorders/>
            <w:shd w:fill="CCEEFF" w:val="clear"/>
            <w:tcMar>
              <w:bottom w:w="0" w:type="dxa"/>
            </w:tcMar>
            <w:vAlign w:val="center"/>
          </w:tcPr>
          <w:p>
            <w:pPr>
              <w:pStyle w:val="TableContents"/>
              <w:bidi w:val="0"/>
              <w:spacing w:lineRule="atLeast" w:line="192" w:before="0" w:after="283"/>
              <w:jc w:val="right"/>
              <w:rPr/>
            </w:pPr>
            <w:r>
              <w:rPr/>
              <w:t>2/14/24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304,337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608,675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1,217,349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2/14/24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481,553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2/14/24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45,247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67,871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691,374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restart"/>
            <w:tcBorders/>
            <w:tcMar>
              <w:bottom w:w="0" w:type="dxa"/>
            </w:tcMar>
            <w:vAlign w:val="center"/>
          </w:tcPr>
          <w:p>
            <w:pPr>
              <w:pStyle w:val="TableContents"/>
              <w:bidi w:val="0"/>
              <w:spacing w:lineRule="atLeast" w:line="192" w:before="0" w:after="0"/>
              <w:jc w:val="left"/>
              <w:rPr>
                <w:spacing w:val="-1"/>
              </w:rPr>
            </w:pPr>
            <w:r>
              <w:rPr>
                <w:spacing w:val="-1"/>
              </w:rPr>
              <w:t xml:space="preserve">Steven R. Greathouse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14" w:type="dxa"/>
            <w:tcBorders/>
            <w:tcMar>
              <w:bottom w:w="0" w:type="dxa"/>
            </w:tcMar>
            <w:vAlign w:val="center"/>
          </w:tcPr>
          <w:p>
            <w:pPr>
              <w:pStyle w:val="TableContents"/>
              <w:bidi w:val="0"/>
              <w:spacing w:lineRule="atLeast" w:line="192"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150,000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237,017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264,833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0"/>
              <w:jc w:val="left"/>
              <w:rPr>
                <w:spacing w:val="-1"/>
              </w:rPr>
            </w:pPr>
            <w:r>
              <w:rPr>
                <w:spacing w:val="-1"/>
              </w:rPr>
              <w:t xml:space="preserve">Philip R. Mays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5/29/24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76,076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152,152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restart"/>
            <w:tcBorders/>
            <w:tcMar>
              <w:bottom w:w="0" w:type="dxa"/>
            </w:tcMar>
            <w:vAlign w:val="center"/>
          </w:tcPr>
          <w:p>
            <w:pPr>
              <w:pStyle w:val="TableContents"/>
              <w:bidi w:val="0"/>
              <w:spacing w:lineRule="atLeast" w:line="192" w:before="0" w:after="0"/>
              <w:jc w:val="left"/>
              <w:rPr>
                <w:spacing w:val="-1"/>
              </w:rPr>
            </w:pPr>
            <w:r>
              <w:rPr>
                <w:spacing w:val="-1"/>
              </w:rPr>
              <w:t xml:space="preserve">Matthew M. Partridge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14" w:type="dxa"/>
            <w:tcBorders/>
            <w:tcMar>
              <w:bottom w:w="0" w:type="dxa"/>
            </w:tcMar>
            <w:vAlign w:val="center"/>
          </w:tcPr>
          <w:p>
            <w:pPr>
              <w:pStyle w:val="TableContents"/>
              <w:bidi w:val="0"/>
              <w:spacing w:lineRule="atLeast" w:line="192"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150,000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237,017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264,833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restart"/>
            <w:tcBorders/>
            <w:shd w:fill="CCEEFF" w:val="clear"/>
            <w:tcMar>
              <w:bottom w:w="0" w:type="dxa"/>
            </w:tcMar>
            <w:vAlign w:val="center"/>
          </w:tcPr>
          <w:p>
            <w:pPr>
              <w:pStyle w:val="TableContents"/>
              <w:bidi w:val="0"/>
              <w:spacing w:lineRule="atLeast" w:line="192" w:before="0" w:after="0"/>
              <w:jc w:val="left"/>
              <w:rPr>
                <w:spacing w:val="-1"/>
              </w:rPr>
            </w:pPr>
            <w:r>
              <w:rPr>
                <w:spacing w:val="-1"/>
              </w:rPr>
              <w:t xml:space="preserve">Daniel E. Smith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14" w:type="dxa"/>
            <w:tcBorders/>
            <w:shd w:fill="CCEEFF" w:val="clear"/>
            <w:tcMar>
              <w:bottom w:w="0" w:type="dxa"/>
            </w:tcMar>
            <w:vAlign w:val="center"/>
          </w:tcPr>
          <w:p>
            <w:pPr>
              <w:pStyle w:val="TableContents"/>
              <w:bidi w:val="0"/>
              <w:spacing w:lineRule="atLeast" w:line="192" w:before="0" w:after="283"/>
              <w:jc w:val="right"/>
              <w:rPr/>
            </w:pPr>
            <w:r>
              <w:rPr/>
              <w:t>2/14/24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112,500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450,000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2/14/24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177,763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2/14/24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19,499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198,625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vMerge w:val="restart"/>
            <w:tcBorders/>
            <w:tcMar>
              <w:bottom w:w="0" w:type="dxa"/>
            </w:tcMar>
            <w:vAlign w:val="center"/>
          </w:tcPr>
          <w:p>
            <w:pPr>
              <w:pStyle w:val="TableContents"/>
              <w:bidi w:val="0"/>
              <w:spacing w:lineRule="atLeast" w:line="192" w:before="0" w:after="0"/>
              <w:jc w:val="left"/>
              <w:rPr>
                <w:spacing w:val="-1"/>
              </w:rPr>
            </w:pPr>
            <w:r>
              <w:rPr>
                <w:spacing w:val="-1"/>
              </w:rPr>
              <w:t xml:space="preserve">Lisa M. Vorakoun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14" w:type="dxa"/>
            <w:tcBorders/>
            <w:tcMar>
              <w:bottom w:w="0" w:type="dxa"/>
            </w:tcMar>
            <w:vAlign w:val="center"/>
          </w:tcPr>
          <w:p>
            <w:pPr>
              <w:pStyle w:val="TableContents"/>
              <w:bidi w:val="0"/>
              <w:spacing w:lineRule="atLeast" w:line="192"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103,125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206,250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412,500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6,883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112,262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2/14/24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114,310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amounts in these columns reflect the target, threshold, and maximum payouts of cash awards made pursuant to the Annual Incentive Plan. Mr. Mays’ award for 2024 was pro rata based on the number of days employed by the Company during 2024. Mr. Partridge’s award for 2024 was forfeited as a result of his April 2024 resignation.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95">
                <wp:simplePos x="0" y="0"/>
                <wp:positionH relativeFrom="column">
                  <wp:align>left</wp:align>
                </wp:positionH>
                <wp:positionV relativeFrom="line">
                  <wp:align>top</wp:align>
                </wp:positionV>
                <wp:extent cx="254000" cy="293370"/>
                <wp:effectExtent l="0" t="0" r="0" b="0"/>
                <wp:wrapSquare wrapText="right"/>
                <wp:docPr id="189" name="Frame175"/>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2"/>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2"/>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amounts in these columns reflect the target, threshold, and maximum payouts of the performance share grants to Ms. Vorakoun and to Messrs. Albright, Greathouse, Partridge, and Smith made pursuant to the 2010 Plan. Mr. Partridge’s award for 2024 was forfeited as a result of his April 2024 resignation.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6">
                <wp:simplePos x="0" y="0"/>
                <wp:positionH relativeFrom="column">
                  <wp:align>left</wp:align>
                </wp:positionH>
                <wp:positionV relativeFrom="line">
                  <wp:align>top</wp:align>
                </wp:positionV>
                <wp:extent cx="254000" cy="304800"/>
                <wp:effectExtent l="0" t="0" r="0" b="0"/>
                <wp:wrapSquare wrapText="right"/>
                <wp:docPr id="190" name="Frame17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2"/>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2"/>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amounts in this column reflect restricted share grants to Ms. Vorakoun and to Messrs. Albright, Partridge, Greathouse, and Smith made pursuant to the 2010 Plan. The stock price on the Grant Date of the February 14, 2024 award was $16.31. Mr. Partridge’s award for 2024 was forfeited as a result of his April 2024 resignation.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54000" cy="304800"/>
                <wp:effectExtent l="0" t="0" r="0" b="0"/>
                <wp:wrapSquare wrapText="right"/>
                <wp:docPr id="191" name="Frame17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2"/>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2"/>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values in the “Grant Date Fair Value” column reflect the grant date fair value of the performance share grants at target and restricted share grants to our NEOs during fiscal year 2024, and determined in accordance with FASB ASC 718, disregarding the estimate of forfeitures. Regarding assumptions underlying the valuation of these equity awards, please see Note 20 (Stock-Based Compensation) in the Notes to Consolidated Financial Statements included in our 2024 Annual Report. </w:t>
      </w:r>
      <w:r>
        <mc:AlternateContent>
          <mc:Choice Requires="wps">
            <w:drawing>
              <wp:anchor behindDoc="0" distT="50800" distB="0" distL="0" distR="0" simplePos="0" locked="0" layoutInCell="1" allowOverlap="1" relativeHeight="198">
                <wp:simplePos x="0" y="0"/>
                <wp:positionH relativeFrom="column">
                  <wp:align>left</wp:align>
                </wp:positionH>
                <wp:positionV relativeFrom="line">
                  <wp:align>top</wp:align>
                </wp:positionV>
                <wp:extent cx="254000" cy="304800"/>
                <wp:effectExtent l="0" t="0" r="0" b="0"/>
                <wp:wrapSquare wrapText="right"/>
                <wp:docPr id="192" name="Frame17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2"/>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2"/>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EA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OUTSTANDING EQUITY AWARDS AT FISCAL YEAR END FOR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with respect to outstanding equity-based awards held by our NEOs as of December 31, 2024.</w:t>
      </w:r>
      <w:r>
        <w:rPr>
          <w:rFonts w:ascii="Arial;Helvetica;sans-serif" w:hAnsi="Arial;Helvetica;sans-serif"/>
          <w:b w:val="false"/>
          <w:i w:val="false"/>
          <w:caps w:val="false"/>
          <w:smallCaps w:val="false"/>
          <w:color w:val="000000"/>
          <w:spacing w:val="4"/>
          <w:sz w:val="20"/>
        </w:rPr>
        <w:t xml:space="preserve"> </w:t>
      </w:r>
    </w:p>
    <w:tbl>
      <w:tblPr>
        <w:tblW w:w="8808" w:type="dxa"/>
        <w:jc w:val="left"/>
        <w:tblInd w:w="1393" w:type="dxa"/>
        <w:tblLayout w:type="fixed"/>
        <w:tblCellMar>
          <w:top w:w="0" w:type="dxa"/>
          <w:left w:w="0" w:type="dxa"/>
          <w:bottom w:w="28" w:type="dxa"/>
          <w:right w:w="0" w:type="dxa"/>
        </w:tblCellMar>
      </w:tblPr>
      <w:tblGrid>
        <w:gridCol w:w="2236"/>
        <w:gridCol w:w="109"/>
        <w:gridCol w:w="109"/>
        <w:gridCol w:w="124"/>
        <w:gridCol w:w="124"/>
        <w:gridCol w:w="873"/>
        <w:gridCol w:w="124"/>
        <w:gridCol w:w="109"/>
        <w:gridCol w:w="109"/>
        <w:gridCol w:w="109"/>
        <w:gridCol w:w="109"/>
        <w:gridCol w:w="1066"/>
        <w:gridCol w:w="109"/>
        <w:gridCol w:w="109"/>
        <w:gridCol w:w="109"/>
        <w:gridCol w:w="136"/>
        <w:gridCol w:w="136"/>
        <w:gridCol w:w="1107"/>
        <w:gridCol w:w="136"/>
        <w:gridCol w:w="109"/>
        <w:gridCol w:w="109"/>
        <w:gridCol w:w="109"/>
        <w:gridCol w:w="109"/>
        <w:gridCol w:w="106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00" w:type="dxa"/>
            <w:gridSpan w:val="22"/>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Number of </w:t>
              <w:br/>
              <w:t xml:space="preserve">Shares or </w:t>
              <w:br/>
              <w:t xml:space="preserve">Units of </w:t>
              <w:br/>
              <w:t xml:space="preserve">Stock That </w:t>
              <w:br/>
              <w:t xml:space="preserve">Have </w:t>
              <w:br/>
              <w:t>Not Vested</w:t>
            </w:r>
            <w:r>
              <w:rPr/>
              <w:t xml:space="preserve"> </w:t>
              <w:br/>
            </w:r>
            <w:r>
              <w:rPr>
                <w:spacing w:val="-2"/>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Market </w:t>
              <w:br/>
              <w:t xml:space="preserve">Value of </w:t>
              <w:br/>
              <w:t xml:space="preserve">Shares or </w:t>
              <w:br/>
              <w:t xml:space="preserve">Units of </w:t>
              <w:br/>
              <w:t xml:space="preserve">Stock That </w:t>
              <w:br/>
              <w:t xml:space="preserve">Have Not </w:t>
              <w:br/>
              <w:t>Vested ($)</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Equity </w:t>
              <w:br/>
              <w:t xml:space="preserve">Incentive Plan </w:t>
              <w:br/>
              <w:t xml:space="preserve">Awards: </w:t>
              <w:br/>
              <w:t xml:space="preserve">Number of </w:t>
              <w:br/>
              <w:t xml:space="preserve">Unearned </w:t>
              <w:br/>
              <w:t xml:space="preserve">Shares, Units </w:t>
              <w:br/>
              <w:t xml:space="preserve">or Other </w:t>
              <w:br/>
              <w:t xml:space="preserve">Rights That </w:t>
              <w:br/>
              <w:t xml:space="preserve">Have Not </w:t>
              <w:br/>
              <w:t>Vested (#)</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Rights </w:t>
              <w:br/>
              <w:t xml:space="preserve">That Have </w:t>
              <w:br/>
              <w:t>Not Vested</w:t>
            </w:r>
            <w:r>
              <w:rPr/>
              <w:t xml:space="preserve"> </w:t>
              <w:br/>
            </w:r>
            <w:r>
              <w:rPr>
                <w:spacing w:val="-2"/>
              </w:rPr>
              <w: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2"/>
              </w:rPr>
            </w:pPr>
            <w:r>
              <w:rPr>
                <w:spacing w:val="-2"/>
              </w:rPr>
              <w:t xml:space="preserve">John P. Albright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54,292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1,070,095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176,835</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3,485,418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47,160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929,524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65,738</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1,295,686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2"/>
              </w:rPr>
            </w:pPr>
            <w:r>
              <w:rPr>
                <w:spacing w:val="-2"/>
              </w:rPr>
              <w:t xml:space="preserve">Philip R. Mays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spacing w:val="-2"/>
              </w:rPr>
            </w:pPr>
            <w:r>
              <w:rPr>
                <w:spacing w:val="-2"/>
              </w:rPr>
              <w:t xml:space="preserve">Matthew M. Partridge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spacing w:val="-2"/>
              </w:rPr>
            </w:pPr>
            <w:r>
              <w:rPr>
                <w:spacing w:val="-2"/>
              </w:rPr>
              <w:t xml:space="preserve">Daniel E.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31,092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612,823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48,573</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957,374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spacing w:val="-2"/>
              </w:rPr>
            </w:pPr>
            <w:r>
              <w:rPr>
                <w:spacing w:val="-2"/>
              </w:rPr>
              <w:t xml:space="preserve">Lisa M. Vorakoun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21,435</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422,484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20,859</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411,131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column includes all outstanding time-based restricted stock awards held by our NEOs as of December 31, 2024, including the following: (i) awards to Ms. Vorakoun and to Messrs. Albright, Greathouse, and Smith in 2022 for their 2021 performance, in 2023 for their 2022 performance, and in 2024 for their 2023 performance; and (ii) a one-time award of restricted shares to Ms. Vorakoun and to Messrs. Greathouse and Smith (the “July 2022 Retention Awards”). Each award of time-based restricted stock vests over a three-year period, other than the July 2022 Retention Awards, which vest as set forth in footnote (4) below on the third anniversary of the July 1, 2022 award date, provided the recipient remains an employee of the Company through the applicable vesting date. See the section below titled “Potential Payments Upon Termination or Change in Control” for a description of potential acceleration and forfeiture provisions of such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3"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amounts in these columns represent the market value of the common stock underlying the time-based restricted stock awards and performance-based awards, as applicable, held by the NEOs as of December 31, 2024, which was computed based on the closing price of our common stock on December 31, 2024 (the last trading day of 2024), which was $19.71, and with respect to performance shares, assuming vesting at the maximum (150%) level.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4"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This column includes all outstanding performance-based awards granted to our NEOs, which vest as set forth in footnote (4) below, including performance shares awarded to Ms. Vorakoun and to Messrs. Albright, Greathouse, and Smith in 2022 for their 2021 performance, in 2023 for their 2022 performance, and in 2024 for their 2023 performance. The performance share awards entitle the recipients to receive, at the conclusion of a three-year performance period, shares of common stock of the Company, the number of such shares to be between 0% and 150% of the number of performance shares awarded, based on the Company’s TSR over the performance period as compared to the TSR of a certain peer group of companies. See Note 20 (Stock-Based Compensation) in the Notes to Consolidated Financial Statements included in our 2024 Annual Report. See the section below titled “Potential Payments Upon Termination or Change in Control” for a description of potential acceleration and forfeiture provisions of such awards. </w:t>
      </w:r>
      <w:r>
        <mc:AlternateContent>
          <mc:Choice Requires="wps">
            <w:drawing>
              <wp:anchor behindDoc="0" distT="5080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5"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77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sub-table reflects the regularly scheduled vesting date for each award that is disclosed as outstanding within the main table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54000" cy="350520"/>
                <wp:effectExtent l="0" t="0" r="0" b="0"/>
                <wp:wrapSquare wrapText="right"/>
                <wp:docPr id="196"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2041"/>
        <w:gridCol w:w="109"/>
        <w:gridCol w:w="109"/>
        <w:gridCol w:w="2145"/>
        <w:gridCol w:w="109"/>
        <w:gridCol w:w="109"/>
        <w:gridCol w:w="146"/>
        <w:gridCol w:w="146"/>
        <w:gridCol w:w="1039"/>
        <w:gridCol w:w="150"/>
        <w:gridCol w:w="109"/>
        <w:gridCol w:w="109"/>
        <w:gridCol w:w="231"/>
        <w:gridCol w:w="231"/>
        <w:gridCol w:w="1635"/>
        <w:gridCol w:w="236"/>
        <w:gridCol w:w="158"/>
      </w:tblGrid>
      <w:tr>
        <w:trPr/>
        <w:tc>
          <w:tcPr>
            <w:tcW w:w="2041"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5" w:type="dxa"/>
            <w:tcBorders>
              <w:bottom w:val="single" w:sz="2" w:space="0" w:color="000000"/>
            </w:tcBorders>
            <w:vAlign w:val="center"/>
          </w:tcPr>
          <w:p>
            <w:pPr>
              <w:pStyle w:val="TableContents"/>
              <w:bidi w:val="0"/>
              <w:spacing w:before="0" w:after="0"/>
              <w:jc w:val="center"/>
              <w:rPr>
                <w:spacing w:val="0"/>
              </w:rPr>
            </w:pPr>
            <w:r>
              <w:rPr>
                <w:spacing w:val="0"/>
              </w:rPr>
              <w:t xml:space="preserve">Vesting Date or Last </w:t>
              <w:br/>
              <w:t xml:space="preserve">Date </w:t>
              <w:br/>
              <w:t xml:space="preserve">of Performance Period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1"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Number of </w:t>
              <w:br/>
              <w:t xml:space="preserve">Time-Based </w:t>
              <w:br/>
              <w:t xml:space="preserve">Restricted </w:t>
              <w:br/>
              <w:t xml:space="preserve">Shares to Vest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3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Number of Performance- </w:t>
              <w:br/>
              <w:t xml:space="preserve">Based Performance </w:t>
              <w:br/>
              <w:t xml:space="preserve">Shares to Vest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1"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John P. Albright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lineRule="atLeast" w:line="240" w:before="0" w:after="0"/>
              <w:jc w:val="center"/>
              <w:rPr>
                <w:spacing w:val="-2"/>
              </w:rPr>
            </w:pPr>
            <w:r>
              <w:rPr>
                <w:spacing w:val="-2"/>
              </w:rPr>
              <w:t xml:space="preserve">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lineRule="atLeast" w:line="240" w:before="0" w:after="283"/>
              <w:jc w:val="right"/>
              <w:rPr/>
            </w:pPr>
            <w:r>
              <w:rPr/>
              <w:t>​</w:t>
            </w:r>
          </w:p>
        </w:tc>
        <w:tc>
          <w:tcPr>
            <w:tcW w:w="1039" w:type="dxa"/>
            <w:tcBorders/>
            <w:shd w:fill="CCEEFF" w:val="clear"/>
            <w:tcMar>
              <w:bottom w:w="0" w:type="dxa"/>
            </w:tcMar>
            <w:vAlign w:val="center"/>
          </w:tcPr>
          <w:p>
            <w:pPr>
              <w:pStyle w:val="TableContents"/>
              <w:bidi w:val="0"/>
              <w:spacing w:lineRule="atLeast" w:line="240"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lineRule="atLeast" w:line="240" w:before="0" w:after="283"/>
              <w:jc w:val="right"/>
              <w:rPr/>
            </w:pPr>
            <w:r>
              <w:rPr/>
              <w:t>​</w:t>
            </w:r>
          </w:p>
        </w:tc>
        <w:tc>
          <w:tcPr>
            <w:tcW w:w="1635" w:type="dxa"/>
            <w:tcBorders/>
            <w:shd w:fill="CCEEFF" w:val="clear"/>
            <w:tcMar>
              <w:bottom w:w="0" w:type="dxa"/>
            </w:tcMar>
            <w:vAlign w:val="center"/>
          </w:tcPr>
          <w:p>
            <w:pPr>
              <w:pStyle w:val="TableContents"/>
              <w:bidi w:val="0"/>
              <w:spacing w:lineRule="atLeast" w:line="240" w:before="0" w:after="283"/>
              <w:jc w:val="right"/>
              <w:rPr/>
            </w:pPr>
            <w:r>
              <w:rPr/>
              <w:t>49,802</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January 28,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26,029</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59,163</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January 28,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18,421</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December 31,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67,870</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January 28,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9,842</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restart"/>
            <w:tcBorders/>
            <w:tcMar>
              <w:bottom w:w="0" w:type="dxa"/>
            </w:tcMar>
            <w:vAlign w:val="center"/>
          </w:tcPr>
          <w:p>
            <w:pPr>
              <w:pStyle w:val="TableContents"/>
              <w:bidi w:val="0"/>
              <w:spacing w:lineRule="atLeast" w:line="240" w:before="0" w:after="0"/>
              <w:jc w:val="left"/>
              <w:rPr>
                <w:spacing w:val="-2"/>
              </w:rPr>
            </w:pPr>
            <w:r>
              <w:rPr>
                <w:spacing w:val="-2"/>
              </w:rPr>
              <w:t xml:space="preserve">Steven R. Greathouse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lineRule="atLeast" w:line="240" w:before="0" w:after="0"/>
              <w:jc w:val="center"/>
              <w:rPr>
                <w:spacing w:val="-2"/>
              </w:rPr>
            </w:pPr>
            <w:r>
              <w:rPr>
                <w:spacing w:val="-2"/>
              </w:rPr>
              <w:t xml:space="preserve">December 31,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lineRule="atLeast" w:line="240" w:before="0" w:after="283"/>
              <w:jc w:val="right"/>
              <w:rPr/>
            </w:pPr>
            <w:r>
              <w:rPr/>
              <w:t>​</w:t>
            </w:r>
          </w:p>
        </w:tc>
        <w:tc>
          <w:tcPr>
            <w:tcW w:w="1039" w:type="dxa"/>
            <w:tcBorders/>
            <w:tcMar>
              <w:bottom w:w="0" w:type="dxa"/>
            </w:tcMar>
            <w:vAlign w:val="center"/>
          </w:tcPr>
          <w:p>
            <w:pPr>
              <w:pStyle w:val="TableContents"/>
              <w:bidi w:val="0"/>
              <w:spacing w:lineRule="atLeast" w:line="240"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lineRule="atLeast" w:line="240" w:before="0" w:after="283"/>
              <w:jc w:val="right"/>
              <w:rPr/>
            </w:pPr>
            <w:r>
              <w:rPr/>
              <w:t>​</w:t>
            </w:r>
          </w:p>
        </w:tc>
        <w:tc>
          <w:tcPr>
            <w:tcW w:w="1635" w:type="dxa"/>
            <w:tcBorders/>
            <w:tcMar>
              <w:bottom w:w="0" w:type="dxa"/>
            </w:tcMar>
            <w:vAlign w:val="center"/>
          </w:tcPr>
          <w:p>
            <w:pPr>
              <w:pStyle w:val="TableContents"/>
              <w:bidi w:val="0"/>
              <w:spacing w:lineRule="atLeast" w:line="240" w:before="0" w:after="283"/>
              <w:jc w:val="right"/>
              <w:rPr/>
            </w:pPr>
            <w:r>
              <w:rPr/>
              <w:t>17,078</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January 28,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12,249</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22,662</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January 28,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9,067</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July 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21,000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December 31,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25,998</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January 28,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4,844</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Daniel E. Smith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lineRule="atLeast" w:line="240" w:before="0" w:after="0"/>
              <w:jc w:val="center"/>
              <w:rPr>
                <w:spacing w:val="-2"/>
              </w:rPr>
            </w:pPr>
            <w:r>
              <w:rPr>
                <w:spacing w:val="-2"/>
              </w:rPr>
              <w:t xml:space="preserve">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lineRule="atLeast" w:line="240" w:before="0" w:after="283"/>
              <w:jc w:val="right"/>
              <w:rPr/>
            </w:pPr>
            <w:r>
              <w:rPr/>
              <w:t>​</w:t>
            </w:r>
          </w:p>
        </w:tc>
        <w:tc>
          <w:tcPr>
            <w:tcW w:w="1039" w:type="dxa"/>
            <w:tcBorders/>
            <w:shd w:fill="CCEEFF" w:val="clear"/>
            <w:tcMar>
              <w:bottom w:w="0" w:type="dxa"/>
            </w:tcMar>
            <w:vAlign w:val="center"/>
          </w:tcPr>
          <w:p>
            <w:pPr>
              <w:pStyle w:val="TableContents"/>
              <w:bidi w:val="0"/>
              <w:spacing w:lineRule="atLeast" w:line="240"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lineRule="atLeast" w:line="240" w:before="0" w:after="283"/>
              <w:jc w:val="right"/>
              <w:rPr/>
            </w:pPr>
            <w:r>
              <w:rPr/>
              <w:t>​</w:t>
            </w:r>
          </w:p>
        </w:tc>
        <w:tc>
          <w:tcPr>
            <w:tcW w:w="1635" w:type="dxa"/>
            <w:tcBorders/>
            <w:shd w:fill="CCEEFF" w:val="clear"/>
            <w:tcMar>
              <w:bottom w:w="0" w:type="dxa"/>
            </w:tcMar>
            <w:vAlign w:val="center"/>
          </w:tcPr>
          <w:p>
            <w:pPr>
              <w:pStyle w:val="TableContents"/>
              <w:bidi w:val="0"/>
              <w:spacing w:lineRule="atLeast" w:line="240" w:before="0" w:after="283"/>
              <w:jc w:val="right"/>
              <w:rPr/>
            </w:pPr>
            <w:r>
              <w:rPr/>
              <w:t>12,078</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January 28,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10,355</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16,996</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January 28,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8,104</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July 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9,000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December 31,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19,499</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45" w:type="dxa"/>
            <w:tcBorders/>
            <w:shd w:fill="CCEEFF" w:val="clear"/>
            <w:tcMar>
              <w:bottom w:w="0" w:type="dxa"/>
            </w:tcMar>
            <w:vAlign w:val="center"/>
          </w:tcPr>
          <w:p>
            <w:pPr>
              <w:pStyle w:val="TableContents"/>
              <w:bidi w:val="0"/>
              <w:spacing w:before="0" w:after="0"/>
              <w:jc w:val="center"/>
              <w:rPr>
                <w:spacing w:val="-2"/>
              </w:rPr>
            </w:pPr>
            <w:r>
              <w:rPr>
                <w:spacing w:val="-2"/>
              </w:rPr>
              <w:t xml:space="preserve">January 28,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9" w:type="dxa"/>
            <w:tcBorders/>
            <w:shd w:fill="CCEEFF" w:val="clear"/>
            <w:tcMar>
              <w:bottom w:w="0" w:type="dxa"/>
            </w:tcMar>
            <w:vAlign w:val="center"/>
          </w:tcPr>
          <w:p>
            <w:pPr>
              <w:pStyle w:val="TableContents"/>
              <w:bidi w:val="0"/>
              <w:spacing w:before="0" w:after="283"/>
              <w:jc w:val="right"/>
              <w:rPr/>
            </w:pPr>
            <w:r>
              <w:rPr/>
              <w:t>3,633</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635"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41" w:type="dxa"/>
            <w:vMerge w:val="restart"/>
            <w:tcBorders/>
            <w:tcMar>
              <w:bottom w:w="0" w:type="dxa"/>
            </w:tcMar>
            <w:vAlign w:val="center"/>
          </w:tcPr>
          <w:p>
            <w:pPr>
              <w:pStyle w:val="TableContents"/>
              <w:bidi w:val="0"/>
              <w:spacing w:lineRule="atLeast" w:line="240" w:before="0" w:after="0"/>
              <w:jc w:val="left"/>
              <w:rPr>
                <w:spacing w:val="-2"/>
              </w:rPr>
            </w:pPr>
            <w:r>
              <w:rPr>
                <w:spacing w:val="-2"/>
              </w:rPr>
              <w:t xml:space="preserve">Lisa M. Vorakoun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lineRule="atLeast" w:line="240" w:before="0" w:after="0"/>
              <w:jc w:val="center"/>
              <w:rPr>
                <w:spacing w:val="-2"/>
              </w:rPr>
            </w:pPr>
            <w:r>
              <w:rPr>
                <w:spacing w:val="-2"/>
              </w:rPr>
              <w:t xml:space="preserve">December 31,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lineRule="atLeast" w:line="240" w:before="0" w:after="283"/>
              <w:jc w:val="right"/>
              <w:rPr/>
            </w:pPr>
            <w:r>
              <w:rPr/>
              <w:t>​</w:t>
            </w:r>
          </w:p>
        </w:tc>
        <w:tc>
          <w:tcPr>
            <w:tcW w:w="1039" w:type="dxa"/>
            <w:tcBorders/>
            <w:tcMar>
              <w:bottom w:w="0" w:type="dxa"/>
            </w:tcMar>
            <w:vAlign w:val="center"/>
          </w:tcPr>
          <w:p>
            <w:pPr>
              <w:pStyle w:val="TableContents"/>
              <w:bidi w:val="0"/>
              <w:spacing w:lineRule="atLeast" w:line="240"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lineRule="atLeast" w:line="240" w:before="0" w:after="283"/>
              <w:jc w:val="right"/>
              <w:rPr/>
            </w:pPr>
            <w:r>
              <w:rPr/>
              <w:t>​</w:t>
            </w:r>
          </w:p>
        </w:tc>
        <w:tc>
          <w:tcPr>
            <w:tcW w:w="1635" w:type="dxa"/>
            <w:tcBorders/>
            <w:tcMar>
              <w:bottom w:w="0" w:type="dxa"/>
            </w:tcMar>
            <w:vAlign w:val="center"/>
          </w:tcPr>
          <w:p>
            <w:pPr>
              <w:pStyle w:val="TableContents"/>
              <w:bidi w:val="0"/>
              <w:spacing w:lineRule="atLeast" w:line="240" w:before="0" w:after="283"/>
              <w:jc w:val="right"/>
              <w:rPr/>
            </w:pPr>
            <w:r>
              <w:rPr/>
              <w:t>4,122</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January 28,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5,920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5,515</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January 28,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4,220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July 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9,000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December 31,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11,222</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4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45" w:type="dxa"/>
            <w:tcBorders/>
            <w:tcMar>
              <w:bottom w:w="0" w:type="dxa"/>
            </w:tcMar>
            <w:vAlign w:val="center"/>
          </w:tcPr>
          <w:p>
            <w:pPr>
              <w:pStyle w:val="TableContents"/>
              <w:bidi w:val="0"/>
              <w:spacing w:before="0" w:after="0"/>
              <w:jc w:val="center"/>
              <w:rPr>
                <w:spacing w:val="-2"/>
              </w:rPr>
            </w:pPr>
            <w:r>
              <w:rPr>
                <w:spacing w:val="-2"/>
              </w:rPr>
              <w:t xml:space="preserve">January 28,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9" w:type="dxa"/>
            <w:tcBorders/>
            <w:tcMar>
              <w:bottom w:w="0" w:type="dxa"/>
            </w:tcMar>
            <w:vAlign w:val="center"/>
          </w:tcPr>
          <w:p>
            <w:pPr>
              <w:pStyle w:val="TableContents"/>
              <w:bidi w:val="0"/>
              <w:spacing w:before="0" w:after="283"/>
              <w:jc w:val="right"/>
              <w:rPr/>
            </w:pPr>
            <w:r>
              <w:rPr/>
              <w:t>2,295</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635"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EAS"/>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09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OPTIONS EXERCISED AND STOCK VESTED DURING THE YEAR ENDED DECEMBER 31,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the total restricted stock and performance shares that vested for our NEOs during the year ended December 31, 2024. No stock options were exercised by NEOs during the year ended December 31, 2024, and currently no NEO holds unexercised stock options.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105"/>
        <w:gridCol w:w="109"/>
        <w:gridCol w:w="109"/>
        <w:gridCol w:w="146"/>
        <w:gridCol w:w="146"/>
        <w:gridCol w:w="1033"/>
        <w:gridCol w:w="146"/>
        <w:gridCol w:w="109"/>
        <w:gridCol w:w="109"/>
        <w:gridCol w:w="115"/>
        <w:gridCol w:w="115"/>
        <w:gridCol w:w="935"/>
        <w:gridCol w:w="115"/>
        <w:gridCol w:w="109"/>
        <w:gridCol w:w="109"/>
        <w:gridCol w:w="146"/>
        <w:gridCol w:w="146"/>
        <w:gridCol w:w="1035"/>
        <w:gridCol w:w="146"/>
        <w:gridCol w:w="112"/>
        <w:gridCol w:w="112"/>
        <w:gridCol w:w="112"/>
        <w:gridCol w:w="112"/>
        <w:gridCol w:w="1106"/>
        <w:gridCol w:w="112"/>
        <w:gridCol w:w="163"/>
      </w:tblGrid>
      <w:tr>
        <w:trPr/>
        <w:tc>
          <w:tcPr>
            <w:tcW w:w="21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26"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STOCK AWARDS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21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69"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2"/>
              </w:rPr>
              <w:t xml:space="preserve">TIME-VESTING </w:t>
              <w:br/>
              <w:t xml:space="preserve">RESTRICTED STOCK </w:t>
              <w:br/>
              <w:t>AWARDS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39"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2"/>
              </w:rPr>
              <w:t xml:space="preserve">PERFORMANCE SHARE </w:t>
              <w:br/>
              <w:t>AWARDS</w:t>
            </w:r>
            <w:r>
              <w:rPr>
                <w:spacing w:val="-2"/>
                <w:sz w:val="10"/>
              </w:rPr>
              <w:t>(2)</w:t>
            </w:r>
            <w:r>
              <w:rPr/>
              <w:t xml:space="preserve">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2105"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1"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w:t>
              <w:br/>
              <w:t xml:space="preserve">Shares </w:t>
              <w:br/>
              <w:t xml:space="preserve">Acquired </w:t>
              <w:br/>
              <w:t xml:space="preserve">on Vesting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0"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Value </w:t>
              <w:br/>
              <w:t xml:space="preserve">Realized on </w:t>
              <w:br/>
              <w:t>Vesting</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3"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w:t>
              <w:br/>
              <w:t xml:space="preserve">Shares </w:t>
              <w:br/>
              <w:t xml:space="preserve">Acquired </w:t>
              <w:br/>
              <w:t xml:space="preserve">on Vesting (#) </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442"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Value </w:t>
              <w:br/>
              <w:t xml:space="preserve">Realized on </w:t>
              <w:br/>
              <w:t>Exercise</w:t>
            </w:r>
            <w:r>
              <w:rPr/>
              <w:t xml:space="preserve"> </w:t>
              <w:br/>
            </w:r>
            <w:r>
              <w:rPr>
                <w:spacing w:val="-2"/>
              </w:rPr>
              <w:t xml:space="preserve">($)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spacing w:val="-2"/>
              </w:rPr>
            </w:pPr>
            <w:r>
              <w:rPr>
                <w:spacing w:val="-2"/>
              </w:rPr>
              <w:t xml:space="preserve">John P. Albright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25,992</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35" w:type="dxa"/>
            <w:tcBorders/>
            <w:shd w:fill="CCEEFF" w:val="clear"/>
            <w:tcMar>
              <w:bottom w:w="0" w:type="dxa"/>
            </w:tcMar>
            <w:vAlign w:val="center"/>
          </w:tcPr>
          <w:p>
            <w:pPr>
              <w:pStyle w:val="TableContents"/>
              <w:bidi w:val="0"/>
              <w:spacing w:before="0" w:after="283"/>
              <w:jc w:val="right"/>
              <w:rPr/>
            </w:pPr>
            <w:r>
              <w:rPr/>
              <w:t>437,705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5" w:type="dxa"/>
            <w:tcBorders/>
            <w:shd w:fill="CCEEFF" w:val="clear"/>
            <w:tcMar>
              <w:bottom w:w="0" w:type="dxa"/>
            </w:tcMar>
            <w:vAlign w:val="center"/>
          </w:tcPr>
          <w:p>
            <w:pPr>
              <w:pStyle w:val="TableContents"/>
              <w:bidi w:val="0"/>
              <w:spacing w:before="0" w:after="283"/>
              <w:jc w:val="right"/>
              <w:rPr/>
            </w:pPr>
            <w:r>
              <w:rPr/>
              <w:t>64,166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6" w:type="dxa"/>
            <w:tcBorders/>
            <w:shd w:fill="CCEEFF" w:val="clear"/>
            <w:tcMar>
              <w:bottom w:w="0" w:type="dxa"/>
            </w:tcMar>
            <w:vAlign w:val="center"/>
          </w:tcPr>
          <w:p>
            <w:pPr>
              <w:pStyle w:val="TableContents"/>
              <w:bidi w:val="0"/>
              <w:spacing w:before="0" w:after="283"/>
              <w:jc w:val="right"/>
              <w:rPr/>
            </w:pPr>
            <w:r>
              <w:rPr/>
              <w:t>1,095,955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spacing w:val="-2"/>
              </w:rPr>
            </w:pPr>
            <w:r>
              <w:rPr>
                <w:spacing w:val="-2"/>
              </w:rPr>
              <w:t xml:space="preserve">Steven R. Greathouse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11,506</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935" w:type="dxa"/>
            <w:tcBorders/>
            <w:tcMar>
              <w:bottom w:w="0" w:type="dxa"/>
            </w:tcMar>
            <w:vAlign w:val="center"/>
          </w:tcPr>
          <w:p>
            <w:pPr>
              <w:pStyle w:val="TableContents"/>
              <w:bidi w:val="0"/>
              <w:spacing w:before="0" w:after="283"/>
              <w:jc w:val="right"/>
              <w:rPr/>
            </w:pPr>
            <w:r>
              <w:rPr/>
              <w:t>193,761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5" w:type="dxa"/>
            <w:tcBorders/>
            <w:tcMar>
              <w:bottom w:w="0" w:type="dxa"/>
            </w:tcMar>
            <w:vAlign w:val="center"/>
          </w:tcPr>
          <w:p>
            <w:pPr>
              <w:pStyle w:val="TableContents"/>
              <w:bidi w:val="0"/>
              <w:spacing w:before="0" w:after="283"/>
              <w:jc w:val="right"/>
              <w:rPr/>
            </w:pPr>
            <w:r>
              <w:rPr/>
              <w:t>22,005</w:t>
            </w:r>
          </w:p>
        </w:tc>
        <w:tc>
          <w:tcPr>
            <w:tcW w:w="146"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6" w:type="dxa"/>
            <w:tcBorders/>
            <w:tcMar>
              <w:bottom w:w="0" w:type="dxa"/>
            </w:tcMar>
            <w:vAlign w:val="center"/>
          </w:tcPr>
          <w:p>
            <w:pPr>
              <w:pStyle w:val="TableContents"/>
              <w:bidi w:val="0"/>
              <w:spacing w:before="0" w:after="283"/>
              <w:jc w:val="right"/>
              <w:rPr/>
            </w:pPr>
            <w:r>
              <w:rPr/>
              <w:t>375,845</w:t>
            </w:r>
          </w:p>
        </w:tc>
        <w:tc>
          <w:tcPr>
            <w:tcW w:w="11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spacing w:val="-2"/>
              </w:rPr>
            </w:pPr>
            <w:r>
              <w:rPr>
                <w:spacing w:val="-2"/>
              </w:rPr>
              <w:t xml:space="preserve">Philip R. Mays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3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spacing w:val="-2"/>
              </w:rPr>
            </w:pPr>
            <w:r>
              <w:rPr>
                <w:spacing w:val="-2"/>
              </w:rPr>
              <w:t xml:space="preserve">Matthew M. Partridge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93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5"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6"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spacing w:val="-2"/>
              </w:rPr>
            </w:pPr>
            <w:r>
              <w:rPr>
                <w:spacing w:val="-2"/>
              </w:rPr>
              <w:t xml:space="preserve">Daniel E.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9,623</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35" w:type="dxa"/>
            <w:tcBorders/>
            <w:shd w:fill="CCEEFF" w:val="clear"/>
            <w:tcMar>
              <w:bottom w:w="0" w:type="dxa"/>
            </w:tcMar>
            <w:vAlign w:val="center"/>
          </w:tcPr>
          <w:p>
            <w:pPr>
              <w:pStyle w:val="TableContents"/>
              <w:bidi w:val="0"/>
              <w:spacing w:before="0" w:after="283"/>
              <w:jc w:val="right"/>
              <w:rPr/>
            </w:pPr>
            <w:r>
              <w:rPr/>
              <w:t>162,051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5" w:type="dxa"/>
            <w:tcBorders/>
            <w:shd w:fill="CCEEFF" w:val="clear"/>
            <w:tcMar>
              <w:bottom w:w="0" w:type="dxa"/>
            </w:tcMar>
            <w:vAlign w:val="center"/>
          </w:tcPr>
          <w:p>
            <w:pPr>
              <w:pStyle w:val="TableContents"/>
              <w:bidi w:val="0"/>
              <w:spacing w:before="0" w:after="283"/>
              <w:jc w:val="right"/>
              <w:rPr/>
            </w:pPr>
            <w:r>
              <w:rPr/>
              <w:t>15,561</w:t>
            </w:r>
          </w:p>
        </w:tc>
        <w:tc>
          <w:tcPr>
            <w:tcW w:w="146"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6" w:type="dxa"/>
            <w:tcBorders/>
            <w:shd w:fill="CCEEFF" w:val="clear"/>
            <w:tcMar>
              <w:bottom w:w="0" w:type="dxa"/>
            </w:tcMar>
            <w:vAlign w:val="center"/>
          </w:tcPr>
          <w:p>
            <w:pPr>
              <w:pStyle w:val="TableContents"/>
              <w:bidi w:val="0"/>
              <w:spacing w:before="0" w:after="283"/>
              <w:jc w:val="right"/>
              <w:rPr/>
            </w:pPr>
            <w:r>
              <w:rPr/>
              <w:t>265,782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spacing w:val="-2"/>
              </w:rPr>
            </w:pPr>
            <w:r>
              <w:rPr>
                <w:spacing w:val="-2"/>
              </w:rPr>
              <w:t xml:space="preserve">Lisa M. Vorakoun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5,542</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935" w:type="dxa"/>
            <w:tcBorders/>
            <w:tcMar>
              <w:bottom w:w="0" w:type="dxa"/>
            </w:tcMar>
            <w:vAlign w:val="center"/>
          </w:tcPr>
          <w:p>
            <w:pPr>
              <w:pStyle w:val="TableContents"/>
              <w:bidi w:val="0"/>
              <w:spacing w:before="0" w:after="283"/>
              <w:jc w:val="right"/>
              <w:rPr/>
            </w:pPr>
            <w:r>
              <w:rPr/>
              <w:t>93,327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5" w:type="dxa"/>
            <w:tcBorders/>
            <w:tcMar>
              <w:bottom w:w="0" w:type="dxa"/>
            </w:tcMar>
            <w:vAlign w:val="center"/>
          </w:tcPr>
          <w:p>
            <w:pPr>
              <w:pStyle w:val="TableContents"/>
              <w:bidi w:val="0"/>
              <w:spacing w:before="0" w:after="283"/>
              <w:jc w:val="right"/>
              <w:rPr/>
            </w:pPr>
            <w:r>
              <w:rPr/>
              <w:t>5,171</w:t>
            </w:r>
          </w:p>
        </w:tc>
        <w:tc>
          <w:tcPr>
            <w:tcW w:w="146"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6" w:type="dxa"/>
            <w:tcBorders/>
            <w:tcMar>
              <w:bottom w:w="0" w:type="dxa"/>
            </w:tcMar>
            <w:vAlign w:val="center"/>
          </w:tcPr>
          <w:p>
            <w:pPr>
              <w:pStyle w:val="TableContents"/>
              <w:bidi w:val="0"/>
              <w:spacing w:before="0" w:after="283"/>
              <w:jc w:val="right"/>
              <w:rPr/>
            </w:pPr>
            <w:r>
              <w:rPr/>
              <w:t>88,321</w:t>
            </w:r>
          </w:p>
        </w:tc>
        <w:tc>
          <w:tcPr>
            <w:tcW w:w="11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Restricted shares vesting in 2024 are comprised of a portion of the time-based restricted shares awarded in 2021, 2022, and 2023 as compensation for 2020, 2021, and 2022 performance, respectively.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97"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Performance share awards vesting in 2024 were awarded in January 2021 and provided for the recipients to receive, at the conclusion of the performance period commencing January 1, 2021, and ending December 31, 2023, shares of common stock of the Company, the number of such shares to be between 0% and 150% of the number of performance shares awarded, based on the Company’s TSR over the performance period as compared to the TSR of the constituent companies of the Index as of January 1, 2021.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98"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Pension Benefits and Non-Qualified Deferred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None of our employees are currently eligible to receive benefits under a defined benefit pension plan or a nonqualified deferred compensation plan providing for retirement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PUT"/>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POTENTIAL PAYMENTS UPON TERMINATION OR CHANGE IN CONTROL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Severance Payments and Benefits</w:t>
      </w:r>
      <w:r>
        <w:rPr>
          <w:rFonts w:ascii="Arial;Helvetica;sans-serif" w:hAnsi="Arial;Helvetica;sans-serif"/>
          <w:b w:val="false"/>
          <w:i w:val="false"/>
          <w:caps w:val="false"/>
          <w:smallCaps w:val="false"/>
          <w:color w:val="000000"/>
          <w:spacing w:val="-2"/>
          <w:sz w:val="20"/>
        </w:rPr>
        <w:t>.   We entered into an employment agreement with Mr. Albright on June 30, 2011, in connection with his appointment as our President and CEO effective August 1, 2011, which agreement was amended and restated several times, most recently on July 29, 2020, and further amended on October 22, 2024. Pursuant to his employment agreement, if Mr. Albright’s employment is terminated by the Company without cause (as defined in the employment agreement), the Company will pay Mr. Albright an amount equal to 200% of his then-current base salary in one lump sum payment, on the 45</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his employment, conditioned upon the delivery of a release of claims reasonably acceptable to the Company. If, after a change in control of the Company (as defined in the employment agreement), Mr. Albright’s employment is terminated by the Company other than for cause (as defined in the employment agreement) or Mr. Albright voluntarily terminates employment for good reason (as defined in the employment agreement), he will receive separation pay in an amount equal to 275% of the sum of (i) his then-current base salary, (ii) his then-current annual target bonus, in one lump sum payment on the 45</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his employment, and (iii) any payments and benefits to the extent set forth in his equity incentive award agreements, conditioned upon the delivery of a release of claims reasonably acceptable to the Company. Mr. Albright’s employment agreement contains customary non-competition, non-solicitation, confidentiality and intellectual property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an employment agreement with Mr. Greathouse on February 26, 2016, in connection with his appointment as our Senior Vice President-Investments, which agreement was amended on August 4, 2017 and October 22, 2024. Pursuant to the employment agreement, if, after a change in control of the Company (as defined in the employment agreement), Mr. Greathouse’s employment is terminated by the Company other than for cause (as defined in the employment agreement) or Mr. Greathouse voluntarily terminates employment for good reason (as defined in the employment agreement), he will receive (i) separation pay in an amount equal to 100% of then-current base salary in one lump sum payment on the 45</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his employment, (ii) any amounts due and payable under the Annual Incentive Plan, and (iii) any payments and benefits to the extent set forth in his equity incentive award agreements, conditioned upon the delivery of a release of claims reasonably acceptable to the Company. Mr. Greathouse’s employment agreement contains customary non-competition, non-solicitation, confidentiality and intellectual property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an employment agreement with Mr. Mays on May 29, 2024, in connection with his appointment as our Senior Vice President, Chief Financial Officer and Treasurer. Pursuant to his employment agreement, if Mr. Mays is terminated without cause (as defined in the employment agreement) at any time outside of the twenty-four (24) month period after a change in control of the Company (the “Change in Control Period”), he will receive (i) any amounts due and payable under the Annual Incentive Plan, (ii) any payments and benefits to the extent set forth in his equity incentive award agreements, and (iii) if such termination occurs prior to June 17, 2029, he will receive separation pay in an amount equal to 100% of then-current base salary in one lump sum payment on the 60</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his employment. If, during the Change in Control Period, Mr. Mays’ employment is terminated by the Company other than for cause (as defined in the employment agreement) or Mr. Mays voluntarily terminates employment for good reason (as defined in the employment agreement), he will receive (i) separation pay in an amount equal to 100% of then-current base salary in one lump sum payment on the 60</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his employment, (ii) any amounts due and payable under the Annual Incentive Plan, and (iii) any payments and benefits to the extent set forth in his equity incentive award agreements, conditioned upon the delivery of a release of claims reasonably acceptable to the Company. Mr. May’s employment agreement contains customary non-competition, non-solicitation, confidentiality and intellectual property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entered into an employment agreement with Mr. Smith on October 22, 2014, in connection with his appointment as our Senior Vice President, General Counsel and Corporate Secretary, which agreement was amended on February 26, 2016, August 4, 2017 and October 22, 2024. Pursuant to his employment agreement, if, after a change in control of the Company (as defined in the employment agreement), Mr. Smith’s employment is terminated by the Company other than for cause (as defined in the employment agreement) or Mr. Smith voluntarily terminates employment for good reason (as defined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employment agreement), he will receive (i) separation pay in an amount equal to 100% of then-current base salary in one lump sum payment on the 45</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his employment, (ii) any amounts due and payable under the Annual Incentive Plan, and (iii) any payments and benefits to the extent set forth in his equity incentive award agreements, conditioned upon the delivery of a release of claims reasonably acceptable to the Company. Mr. Smith’s employment agreement contains customary non-competition, non-solicitation, confidentiality and intellectual property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an employment agreement with Ms. Vorakoun on October 22, 2024, in connection with her appointment as our Senior Vice President and Chief Accounting Officer. Pursuant to her employment agreement, if, during the Change in control Period, Ms. Vorakoun’s employment is terminated by the Company other than for cause (as defined in the employment agreement) or Ms. Vorakoun voluntarily terminates employment for good reason (as defined in the employment agreement), she will receive (i) separation pay in an amount equal to 100% of then-current base salary in one lump sum payment on the 60</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day after the date of termination of her employment, (ii) any amounts due and payable under the Annual Incentive Plan, and (iii) any payments and benefits to the extent set forth in her equity incentive award agreements, conditioned upon the delivery of a release of claims reasonably acceptable to the Company. Ms. Vorakoun’s employment agreement contains customary non-competition, non-solicitation, confidentiality and intellectual property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above-referenced employment agreements use the general definitions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Change in Control” generally has the same definition as contained in the 2010 Plan (see Equity-Based Incentive Awards discussion below at page 52).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Cause” generally means any of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employee’s arrest or conviction for, plea of nolo contendere to, or admission of the commission of, any act of fraud, misappropriation, or embezzlement, or a criminal felony involving dishonesty or moral turpitude;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breach by the employee of any material provision of this Agreement, provided that the employee is given reasonable notice of, and a reasonable opportunity to cure within thirty (30) days of such notice (if such breach is curable), any such breach;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act or intentional omission by the employee involving dishonesty or moral turpitude;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employee’s material failure to adequately perform his/her duties and responsibilities as such duties and responsibilities are, from time to time, in the Company’s discretion, determined and after reasonable notice of, and a reasonable opportunity to cure within thirty (30) days of such notice (if such breach is curable), any such breach;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2"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intentional independent act by the employee that would cause the Company significant reputational injury;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3"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Past or future conduct of the employee, inconsistent with the employee’s reputation at the time this Agreement is executed, which comes to light and results in sustained, widespread public condemnation of the employee that reasonably could be expected to cause adverse publicity or economic injury to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4"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Good Reason” generally means, without the affected employee’s prior written consent, a material reduction in the employee’s compensation or employment related benefits, or a material change in the employee’s status, working conditions or management responsibilities. The employee’s termination of employment will not constitute a termination for Good Reason unless the employee first provides written notice to the Company of the existence of the Good Reason within sixty (60) days following the effective date of the occurrence of the Good Reason, and the Good Reason remains uncorrected by the Company for more than thirty (30) days following such written notice of the Good Reason from the employee to the Company, and the effective date of the employee’s termination of employment is within one (1) year following the effective date of the occurrence of the Good Reason.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than as described above, we do not have any employment agreements, change in control agreements, or severance agreements with any of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Annual Incentive Plan Payments</w:t>
      </w:r>
      <w:r>
        <w:rPr>
          <w:rFonts w:ascii="Arial;Helvetica;sans-serif" w:hAnsi="Arial;Helvetica;sans-serif"/>
          <w:b w:val="false"/>
          <w:i/>
          <w:caps w:val="false"/>
          <w:smallCaps w:val="false"/>
          <w:color w:val="000000"/>
          <w:sz w:val="20"/>
        </w:rPr>
        <w:t>.</w:t>
      </w:r>
      <w:r>
        <w:rPr>
          <w:rFonts w:ascii="Arial;Helvetica;sans-serif" w:hAnsi="Arial;Helvetica;sans-serif"/>
          <w:b w:val="false"/>
          <w:i w:val="false"/>
          <w:caps w:val="false"/>
          <w:smallCaps w:val="false"/>
          <w:color w:val="000000"/>
          <w:spacing w:val="-2"/>
          <w:sz w:val="20"/>
        </w:rPr>
        <w:t>   Under the Annual Incentive Plan, if a participant experiences a qualifying termination (as defined below) prior to or on December 31 of the applicable plan year, such participant will be entitled to receive a prorated annual cash incentive payment for such plan year. The prorated amount will be based on the number of days worked by the participant during the applicable plan year prior to and including the date on which the participant’s termination of employment occurs. The Annual Incentive Plan defines a “qualifying termination” as a termination of employment on or after April 1 of the applicable plan year by (a) the Company without cause or (b) the participant for good reason. “Cause” and “good reason” will have the meanings ascribed to such terms in such participant’s employment or similar agreement or, if no such agreement exists, then as defined in the Annual Incentive Plan. Any prorated annual cash bonus will be payable no later than 30 days following the participant’s termination of employment based on the “target” level of achievement.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u w:val="single"/>
        </w:rPr>
        <w:t>Equity-Based Incentive Awards</w:t>
      </w:r>
      <w:r>
        <w:rPr>
          <w:rFonts w:ascii="Arial;Helvetica;sans-serif" w:hAnsi="Arial;Helvetica;sans-serif"/>
          <w:b w:val="false"/>
          <w:i/>
          <w:caps w:val="false"/>
          <w:smallCaps w:val="false"/>
          <w:color w:val="000000"/>
          <w:sz w:val="20"/>
        </w:rPr>
        <w:t>.</w:t>
      </w:r>
      <w:r>
        <w:rPr>
          <w:rFonts w:ascii="Arial;Helvetica;sans-serif" w:hAnsi="Arial;Helvetica;sans-serif"/>
          <w:b w:val="false"/>
          <w:i w:val="false"/>
          <w:caps w:val="false"/>
          <w:smallCaps w:val="false"/>
          <w:color w:val="000000"/>
          <w:spacing w:val="-2"/>
          <w:sz w:val="20"/>
        </w:rPr>
        <w:t>   All equity awards agreements entered into with our NEOs and other officers pursuant to the 2010 Plan (including the award agreements pertaining to time-based restricted shares and performance shares) provide that all unvested awards become vested upon the officer’s termination of employment without cause or the officer’s resignation for good reason (as such terms are defined in the executive’s employment agreement or the award agreement, as applicable) (such termination of employment being a “Qualifying Termination”). With respect to awards of performance shares, (a) in the case of a Qualifying Termination prior to the expiration of the applicable performance period, the percentage of performance shares that vest pursuant to the applicable agreement shall be the greater of (i) the percentage of performance shares that would vest based on the TSR achieved by the Company as if the performance period had ended on the date of the Qualifying Termination, as determined and certified by the Compensation Committee, multiplied by a fraction, the denominator of which is the total number of days in the original performance period and the numerator of which is the number of days from the beginning of the performance period to the date of the Qualifying Termination or (ii) 100% of the performance shares; and (b) in the case of a Qualifying Termination prior to the expiration of the performance period at any time during the 24-month period following a change in control, the number of performance shares that vest pursuant to the applicable agreement shall be 150% of the performance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2010 Plan, a change of control shall be deemed to have occurred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person (as such term is used in Section 13(d) of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5"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approval by the stockholders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upon a change in the composition of the Board such that, during any twelve-month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14"/>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the benefit that would have been realized by Ms. Vorakoun and Messrs. Albright, Greathouse, Mays and Smith as of December 31, 2024, if such officer’s employment had been terminated on that date due to a qualifying termination, and the benefit that would have been realized by each NEO as of December 31, 2024, if a change in control had occurred on or before such date. Mr. Partridge is not included in the table below because of his April 2024 resignation. Mr. Partridge did not receive any payments or benefits in connection with his resignation.</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368"/>
        <w:gridCol w:w="109"/>
        <w:gridCol w:w="109"/>
        <w:gridCol w:w="2120"/>
        <w:gridCol w:w="109"/>
        <w:gridCol w:w="109"/>
        <w:gridCol w:w="205"/>
        <w:gridCol w:w="205"/>
        <w:gridCol w:w="653"/>
        <w:gridCol w:w="206"/>
        <w:gridCol w:w="109"/>
        <w:gridCol w:w="109"/>
        <w:gridCol w:w="109"/>
        <w:gridCol w:w="109"/>
        <w:gridCol w:w="1186"/>
        <w:gridCol w:w="109"/>
        <w:gridCol w:w="109"/>
        <w:gridCol w:w="109"/>
        <w:gridCol w:w="109"/>
        <w:gridCol w:w="109"/>
        <w:gridCol w:w="1186"/>
        <w:gridCol w:w="109"/>
        <w:gridCol w:w="157"/>
      </w:tblGrid>
      <w:tr>
        <w:trPr/>
        <w:tc>
          <w:tcPr>
            <w:tcW w:w="1368"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000000"/>
            </w:tcBorders>
            <w:vAlign w:val="center"/>
          </w:tcPr>
          <w:p>
            <w:pPr>
              <w:pStyle w:val="TableContents"/>
              <w:bidi w:val="0"/>
              <w:spacing w:before="0" w:after="0"/>
              <w:jc w:val="center"/>
              <w:rPr>
                <w:spacing w:val="0"/>
              </w:rPr>
            </w:pPr>
            <w:r>
              <w:rPr>
                <w:spacing w:val="0"/>
              </w:rPr>
              <w:t xml:space="preserve">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9" w:type="dxa"/>
            <w:gridSpan w:val="4"/>
            <w:tcBorders>
              <w:bottom w:val="single" w:sz="2" w:space="0" w:color="000000"/>
            </w:tcBorders>
            <w:vAlign w:val="center"/>
          </w:tcPr>
          <w:p>
            <w:pPr>
              <w:pStyle w:val="TableContents"/>
              <w:bidi w:val="0"/>
              <w:spacing w:before="0" w:after="0"/>
              <w:jc w:val="center"/>
              <w:rPr/>
            </w:pPr>
            <w:r>
              <w:rPr>
                <w:spacing w:val="0"/>
              </w:rPr>
              <w:t xml:space="preserve">Change in </w:t>
              <w:br/>
              <w:t xml:space="preserve">Control </w:t>
              <w:br/>
              <w:t xml:space="preserve">Without </w:t>
              <w:br/>
              <w:t>Termination</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Termination </w:t>
              <w:br/>
              <w:t xml:space="preserve">without </w:t>
              <w:br/>
              <w:t xml:space="preserve">Cause or </w:t>
              <w:br/>
              <w:t xml:space="preserve">with Good </w:t>
              <w:br/>
              <w:t xml:space="preserve">Reason after </w:t>
              <w:br/>
              <w:t xml:space="preserve">Change in </w:t>
              <w:br/>
              <w:t xml:space="preserve">Control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0"/>
              </w:rPr>
              <w:t xml:space="preserve">Termination </w:t>
              <w:br/>
              <w:t xml:space="preserve">without </w:t>
              <w:br/>
              <w:t>Cause</w:t>
            </w:r>
            <w:r>
              <w:rPr/>
              <w:t xml:space="preserve"> </w:t>
              <w:br/>
            </w:r>
            <w:r>
              <w:rPr>
                <w:spacing w:val="-2"/>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8" w:type="dxa"/>
            <w:vMerge w:val="restart"/>
            <w:tcBorders/>
            <w:shd w:fill="CCEEFF" w:val="clear"/>
            <w:tcMar>
              <w:bottom w:w="0" w:type="dxa"/>
            </w:tcMar>
            <w:vAlign w:val="center"/>
          </w:tcPr>
          <w:p>
            <w:pPr>
              <w:pStyle w:val="TableContents"/>
              <w:bidi w:val="0"/>
              <w:spacing w:lineRule="atLeast" w:line="192" w:before="0" w:after="0"/>
              <w:jc w:val="left"/>
              <w:rPr>
                <w:spacing w:val="-1"/>
              </w:rPr>
            </w:pPr>
            <w:r>
              <w:rPr>
                <w:spacing w:val="-1"/>
              </w:rPr>
              <w:t xml:space="preserve">John P. Albright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lineRule="atLeast" w:line="192" w:before="0" w:after="0"/>
              <w:jc w:val="left"/>
              <w:rPr/>
            </w:pPr>
            <w:r>
              <w:rPr>
                <w:spacing w:val="-1"/>
              </w:rPr>
              <w:t>Unvested Time-Based Restricted Stock Awards</w:t>
            </w:r>
            <w:r>
              <w:rPr>
                <w:spacing w:val="-1"/>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lineRule="atLeast" w:line="192" w:before="0" w:after="283"/>
              <w:jc w:val="right"/>
              <w:rPr/>
            </w:pPr>
            <w:r>
              <w:rPr/>
              <w:t>​</w:t>
            </w:r>
          </w:p>
        </w:tc>
        <w:tc>
          <w:tcPr>
            <w:tcW w:w="653" w:type="dxa"/>
            <w:tcBorders/>
            <w:shd w:fill="CCEEFF" w:val="clear"/>
            <w:tcMar>
              <w:bottom w:w="0" w:type="dxa"/>
            </w:tcMar>
            <w:vAlign w:val="center"/>
          </w:tcPr>
          <w:p>
            <w:pPr>
              <w:pStyle w:val="TableContents"/>
              <w:bidi w:val="0"/>
              <w:spacing w:lineRule="atLeast" w:line="192"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1,070,095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1,070,095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283"/>
              <w:jc w:val="left"/>
              <w:rPr>
                <w:spacing w:val="-1"/>
              </w:rPr>
            </w:pPr>
            <w:r>
              <w:rPr>
                <w:spacing w:val="-1"/>
              </w:rPr>
              <w:t xml:space="preserve">Severance pursuant to employment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1,761,953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1,281,420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0"/>
              <w:jc w:val="left"/>
              <w:rPr>
                <w:spacing w:val="-1"/>
              </w:rPr>
            </w:pPr>
            <w:r>
              <w:rPr>
                <w:spacing w:val="-1"/>
              </w:rPr>
              <w:t xml:space="preserve">Prorated Annual Incentive Award upon Qualifying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1,673,855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608,675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120" w:type="dxa"/>
            <w:tcBorders>
              <w:bottom w:val="single" w:sz="2" w:space="0" w:color="CCEEFF"/>
            </w:tcBorders>
            <w:shd w:fill="CCEEFF" w:val="clear"/>
            <w:tcMar>
              <w:bottom w:w="56" w:type="dxa"/>
            </w:tcMar>
            <w:vAlign w:val="center"/>
          </w:tcPr>
          <w:p>
            <w:pPr>
              <w:pStyle w:val="TableContents"/>
              <w:bidi w:val="0"/>
              <w:spacing w:lineRule="atLeast" w:line="142" w:before="0" w:after="283"/>
              <w:jc w:val="left"/>
              <w:rPr/>
            </w:pPr>
            <w:r>
              <w:rPr>
                <w:spacing w:val="-1"/>
              </w:rPr>
              <w:t>Unvested Performance Share Awards</w:t>
            </w:r>
            <w:r>
              <w:rPr>
                <w:spacing w:val="-1"/>
                <w:sz w:val="10"/>
              </w:rPr>
              <w:t>(1)(2)(3)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 w:type="dxa"/>
            <w:tcBorders>
              <w:bottom w:val="single" w:sz="2" w:space="0" w:color="000000"/>
            </w:tcBorders>
            <w:shd w:fill="CCEEFF" w:val="clear"/>
            <w:tcMar>
              <w:bottom w:w="56" w:type="dxa"/>
            </w:tcMar>
            <w:vAlign w:val="center"/>
          </w:tcPr>
          <w:p>
            <w:pPr>
              <w:pStyle w:val="TableContents"/>
              <w:bidi w:val="0"/>
              <w:spacing w:before="0" w:after="0"/>
              <w:jc w:val="right"/>
              <w:rPr/>
            </w:pPr>
            <w:r>
              <w:rPr/>
              <w:t>​</w:t>
            </w:r>
          </w:p>
        </w:tc>
        <w:tc>
          <w:tcPr>
            <w:tcW w:w="653" w:type="dxa"/>
            <w:tcBorders>
              <w:bottom w:val="single" w:sz="2" w:space="0" w:color="000000"/>
            </w:tcBorders>
            <w:shd w:fill="CCEEFF" w:val="clear"/>
            <w:tcMar>
              <w:bottom w:w="56" w:type="dxa"/>
            </w:tcMar>
            <w:vAlign w:val="center"/>
          </w:tcPr>
          <w:p>
            <w:pPr>
              <w:pStyle w:val="TableContents"/>
              <w:bidi w:val="0"/>
              <w:spacing w:before="0" w:after="0"/>
              <w:jc w:val="right"/>
              <w:rPr/>
            </w:pPr>
            <w:r>
              <w:rPr/>
              <w:t>—</w:t>
            </w:r>
          </w:p>
        </w:tc>
        <w:tc>
          <w:tcPr>
            <w:tcW w:w="20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3,485,418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2,323,612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53"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0"/>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0"/>
              <w:jc w:val="right"/>
              <w:rPr>
                <w:b/>
              </w:rPr>
            </w:pPr>
            <w:r>
              <w:rPr>
                <w:b/>
              </w:rPr>
              <w:t>7,991,321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0"/>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0"/>
              <w:jc w:val="right"/>
              <w:rPr>
                <w:b/>
              </w:rPr>
            </w:pPr>
            <w:r>
              <w:rPr>
                <w:b/>
              </w:rPr>
              <w:t>5,283,802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restart"/>
            <w:tcBorders/>
            <w:tcMar>
              <w:bottom w:w="0" w:type="dxa"/>
            </w:tcMar>
            <w:vAlign w:val="center"/>
          </w:tcPr>
          <w:p>
            <w:pPr>
              <w:pStyle w:val="TableContents"/>
              <w:bidi w:val="0"/>
              <w:spacing w:lineRule="atLeast" w:line="192" w:before="0" w:after="0"/>
              <w:jc w:val="left"/>
              <w:rPr>
                <w:spacing w:val="-1"/>
              </w:rPr>
            </w:pPr>
            <w:r>
              <w:rPr>
                <w:spacing w:val="-1"/>
              </w:rPr>
              <w:t xml:space="preserve">Steven R. Greathouse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lineRule="atLeast" w:line="192" w:before="0" w:after="0"/>
              <w:jc w:val="left"/>
              <w:rPr/>
            </w:pPr>
            <w:r>
              <w:rPr>
                <w:spacing w:val="-1"/>
              </w:rPr>
              <w:t>Unvested Time-Based Restricted Stock Awards</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lineRule="atLeast" w:line="192" w:before="0" w:after="283"/>
              <w:jc w:val="right"/>
              <w:rPr/>
            </w:pPr>
            <w:r>
              <w:rPr/>
              <w:t>​</w:t>
            </w:r>
          </w:p>
        </w:tc>
        <w:tc>
          <w:tcPr>
            <w:tcW w:w="653" w:type="dxa"/>
            <w:tcBorders/>
            <w:tcMar>
              <w:bottom w:w="0" w:type="dxa"/>
            </w:tcMar>
            <w:vAlign w:val="center"/>
          </w:tcPr>
          <w:p>
            <w:pPr>
              <w:pStyle w:val="TableContents"/>
              <w:bidi w:val="0"/>
              <w:spacing w:lineRule="atLeast" w:line="192" w:before="0" w:after="283"/>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186" w:type="dxa"/>
            <w:tcBorders/>
            <w:tcMar>
              <w:bottom w:w="0" w:type="dxa"/>
            </w:tcMar>
            <w:vAlign w:val="center"/>
          </w:tcPr>
          <w:p>
            <w:pPr>
              <w:pStyle w:val="TableContents"/>
              <w:bidi w:val="0"/>
              <w:spacing w:lineRule="atLeast" w:line="192" w:before="0" w:after="283"/>
              <w:jc w:val="right"/>
              <w:rPr/>
            </w:pPr>
            <w:r>
              <w:rPr/>
              <w:t>929,524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186" w:type="dxa"/>
            <w:tcBorders/>
            <w:tcMar>
              <w:bottom w:w="0" w:type="dxa"/>
            </w:tcMar>
            <w:vAlign w:val="center"/>
          </w:tcPr>
          <w:p>
            <w:pPr>
              <w:pStyle w:val="TableContents"/>
              <w:bidi w:val="0"/>
              <w:spacing w:lineRule="atLeast" w:line="192" w:before="0" w:after="283"/>
              <w:jc w:val="right"/>
              <w:rPr/>
            </w:pPr>
            <w:r>
              <w:rPr/>
              <w:t>929,524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283"/>
              <w:jc w:val="left"/>
              <w:rPr>
                <w:spacing w:val="-1"/>
              </w:rPr>
            </w:pPr>
            <w:r>
              <w:rPr>
                <w:spacing w:val="-1"/>
              </w:rPr>
              <w:t xml:space="preserve">Severance pursuant to employment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0"/>
              <w:jc w:val="right"/>
              <w:rPr/>
            </w:pPr>
            <w:r>
              <w:rPr/>
              <w:t>​</w:t>
            </w:r>
          </w:p>
        </w:tc>
        <w:tc>
          <w:tcPr>
            <w:tcW w:w="653" w:type="dxa"/>
            <w:tcBorders/>
            <w:tcMar>
              <w:bottom w:w="0" w:type="dxa"/>
            </w:tcMar>
            <w:vAlign w:val="center"/>
          </w:tcPr>
          <w:p>
            <w:pPr>
              <w:pStyle w:val="TableContents"/>
              <w:bidi w:val="0"/>
              <w:spacing w:before="0" w:after="0"/>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0"/>
              <w:jc w:val="left"/>
              <w:rPr>
                <w:spacing w:val="-1"/>
              </w:rPr>
            </w:pPr>
            <w:r>
              <w:rPr>
                <w:spacing w:val="-1"/>
              </w:rPr>
              <w:t xml:space="preserve">Prorated Annual Incentive Award upon Qualifying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FFFFFF"/>
            </w:tcBorders>
            <w:tcMar>
              <w:bottom w:w="56" w:type="dxa"/>
            </w:tcMar>
            <w:vAlign w:val="center"/>
          </w:tcPr>
          <w:p>
            <w:pPr>
              <w:pStyle w:val="TableContents"/>
              <w:bidi w:val="0"/>
              <w:spacing w:lineRule="atLeast" w:line="142" w:before="0" w:after="283"/>
              <w:jc w:val="left"/>
              <w:rPr/>
            </w:pPr>
            <w:r>
              <w:rPr>
                <w:spacing w:val="-1"/>
              </w:rPr>
              <w:t>Unvested Performance Share Awards</w:t>
            </w:r>
            <w:r>
              <w:rPr>
                <w:spacing w:val="-1"/>
                <w:sz w:val="10"/>
              </w:rPr>
              <w:t>(1)(2)(3)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000000"/>
            </w:tcBorders>
            <w:tcMar>
              <w:bottom w:w="56" w:type="dxa"/>
            </w:tcMar>
            <w:vAlign w:val="center"/>
          </w:tcPr>
          <w:p>
            <w:pPr>
              <w:pStyle w:val="TableContents"/>
              <w:bidi w:val="0"/>
              <w:spacing w:before="0" w:after="283"/>
              <w:jc w:val="right"/>
              <w:rPr/>
            </w:pPr>
            <w:r>
              <w:rPr/>
              <w:t>​</w:t>
            </w:r>
          </w:p>
        </w:tc>
        <w:tc>
          <w:tcPr>
            <w:tcW w:w="653" w:type="dxa"/>
            <w:tcBorders>
              <w:bottom w:val="single" w:sz="2" w:space="0" w:color="000000"/>
            </w:tcBorders>
            <w:tcMar>
              <w:bottom w:w="56" w:type="dxa"/>
            </w:tcMar>
            <w:vAlign w:val="center"/>
          </w:tcPr>
          <w:p>
            <w:pPr>
              <w:pStyle w:val="TableContents"/>
              <w:bidi w:val="0"/>
              <w:spacing w:before="0" w:after="283"/>
              <w:jc w:val="right"/>
              <w:rPr/>
            </w:pPr>
            <w:r>
              <w:rPr/>
              <w:t>—</w:t>
            </w:r>
          </w:p>
        </w:tc>
        <w:tc>
          <w:tcPr>
            <w:tcW w:w="20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1,295,686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863,791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bottom w:val="double" w:sz="8" w:space="0" w:color="000000"/>
            </w:tcBorders>
            <w:tcMar>
              <w:bottom w:w="56" w:type="dxa"/>
            </w:tcMar>
            <w:vAlign w:val="center"/>
          </w:tcPr>
          <w:p>
            <w:pPr>
              <w:pStyle w:val="TableContents"/>
              <w:bidi w:val="0"/>
              <w:spacing w:before="0" w:after="283"/>
              <w:jc w:val="right"/>
              <w:rPr/>
            </w:pPr>
            <w:r>
              <w:rPr/>
              <w:t>​</w:t>
            </w:r>
          </w:p>
        </w:tc>
        <w:tc>
          <w:tcPr>
            <w:tcW w:w="653" w:type="dxa"/>
            <w:tcBorders>
              <w:bottom w:val="double" w:sz="8" w:space="0" w:color="000000"/>
            </w:tcBorders>
            <w:tcMar>
              <w:bottom w:w="56" w:type="dxa"/>
            </w:tcMar>
            <w:vAlign w:val="center"/>
          </w:tcPr>
          <w:p>
            <w:pPr>
              <w:pStyle w:val="TableContents"/>
              <w:bidi w:val="0"/>
              <w:spacing w:before="0" w:after="283"/>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0"/>
              <w:jc w:val="right"/>
              <w:rPr/>
            </w:pPr>
            <w:r>
              <w:rPr/>
              <w:t>​</w:t>
            </w:r>
          </w:p>
        </w:tc>
        <w:tc>
          <w:tcPr>
            <w:tcW w:w="1186" w:type="dxa"/>
            <w:tcBorders>
              <w:bottom w:val="double" w:sz="8" w:space="0" w:color="000000"/>
            </w:tcBorders>
            <w:tcMar>
              <w:bottom w:w="56" w:type="dxa"/>
            </w:tcMar>
            <w:vAlign w:val="center"/>
          </w:tcPr>
          <w:p>
            <w:pPr>
              <w:pStyle w:val="TableContents"/>
              <w:bidi w:val="0"/>
              <w:spacing w:before="0" w:after="0"/>
              <w:jc w:val="right"/>
              <w:rPr>
                <w:b/>
              </w:rPr>
            </w:pPr>
            <w:r>
              <w:rPr>
                <w:b/>
              </w:rPr>
              <w:t>2,925,210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0"/>
              <w:jc w:val="right"/>
              <w:rPr/>
            </w:pPr>
            <w:r>
              <w:rPr/>
              <w:t>​</w:t>
            </w:r>
          </w:p>
        </w:tc>
        <w:tc>
          <w:tcPr>
            <w:tcW w:w="1186" w:type="dxa"/>
            <w:tcBorders>
              <w:bottom w:val="double" w:sz="8" w:space="0" w:color="000000"/>
            </w:tcBorders>
            <w:tcMar>
              <w:bottom w:w="56" w:type="dxa"/>
            </w:tcMar>
            <w:vAlign w:val="center"/>
          </w:tcPr>
          <w:p>
            <w:pPr>
              <w:pStyle w:val="TableContents"/>
              <w:bidi w:val="0"/>
              <w:spacing w:before="0" w:after="0"/>
              <w:jc w:val="right"/>
              <w:rPr>
                <w:b/>
              </w:rPr>
            </w:pPr>
            <w:r>
              <w:rPr>
                <w:b/>
              </w:rPr>
              <w:t>2,093,315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restart"/>
            <w:tcBorders/>
            <w:shd w:fill="CCEEFF" w:val="clear"/>
            <w:tcMar>
              <w:bottom w:w="0" w:type="dxa"/>
            </w:tcMar>
            <w:vAlign w:val="center"/>
          </w:tcPr>
          <w:p>
            <w:pPr>
              <w:pStyle w:val="TableContents"/>
              <w:bidi w:val="0"/>
              <w:spacing w:lineRule="atLeast" w:line="192" w:before="0" w:after="0"/>
              <w:jc w:val="left"/>
              <w:rPr>
                <w:spacing w:val="-1"/>
              </w:rPr>
            </w:pPr>
            <w:r>
              <w:rPr>
                <w:spacing w:val="-1"/>
              </w:rPr>
              <w:t xml:space="preserve">Philip R. Mays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lineRule="atLeast" w:line="192" w:before="0" w:after="0"/>
              <w:jc w:val="left"/>
              <w:rPr/>
            </w:pPr>
            <w:r>
              <w:rPr>
                <w:spacing w:val="-1"/>
              </w:rPr>
              <w:t>Unvested Time-Based Restricted Stock Awards</w:t>
            </w:r>
            <w:r>
              <w:rPr>
                <w:spacing w:val="-1"/>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lineRule="atLeast" w:line="192" w:before="0" w:after="283"/>
              <w:jc w:val="right"/>
              <w:rPr/>
            </w:pPr>
            <w:r>
              <w:rPr/>
              <w:t>​</w:t>
            </w:r>
          </w:p>
        </w:tc>
        <w:tc>
          <w:tcPr>
            <w:tcW w:w="653" w:type="dxa"/>
            <w:tcBorders/>
            <w:shd w:fill="CCEEFF" w:val="clear"/>
            <w:tcMar>
              <w:bottom w:w="0" w:type="dxa"/>
            </w:tcMar>
            <w:vAlign w:val="center"/>
          </w:tcPr>
          <w:p>
            <w:pPr>
              <w:pStyle w:val="TableContents"/>
              <w:bidi w:val="0"/>
              <w:spacing w:lineRule="atLeast" w:line="192"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283"/>
              <w:jc w:val="left"/>
              <w:rPr>
                <w:spacing w:val="-1"/>
              </w:rPr>
            </w:pPr>
            <w:r>
              <w:rPr>
                <w:spacing w:val="-1"/>
              </w:rPr>
              <w:t xml:space="preserve">Severance pursuant to employment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0"/>
              <w:jc w:val="right"/>
              <w:rPr/>
            </w:pPr>
            <w:r>
              <w:rPr/>
              <w:t>​</w:t>
            </w:r>
          </w:p>
        </w:tc>
        <w:tc>
          <w:tcPr>
            <w:tcW w:w="653" w:type="dxa"/>
            <w:tcBorders/>
            <w:shd w:fill="CCEEFF" w:val="clear"/>
            <w:tcMar>
              <w:bottom w:w="0" w:type="dxa"/>
            </w:tcMar>
            <w:vAlign w:val="center"/>
          </w:tcPr>
          <w:p>
            <w:pPr>
              <w:pStyle w:val="TableContents"/>
              <w:bidi w:val="0"/>
              <w:spacing w:before="0" w:after="0"/>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0"/>
              <w:jc w:val="left"/>
              <w:rPr>
                <w:spacing w:val="-1"/>
              </w:rPr>
            </w:pPr>
            <w:r>
              <w:rPr>
                <w:spacing w:val="-1"/>
              </w:rPr>
              <w:t xml:space="preserve">Prorated Annual Incentive Award upon Qualifying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152,152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152,568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120" w:type="dxa"/>
            <w:tcBorders>
              <w:bottom w:val="single" w:sz="2" w:space="0" w:color="CCEEFF"/>
            </w:tcBorders>
            <w:shd w:fill="CCEEFF" w:val="clear"/>
            <w:tcMar>
              <w:bottom w:w="56" w:type="dxa"/>
            </w:tcMar>
            <w:vAlign w:val="center"/>
          </w:tcPr>
          <w:p>
            <w:pPr>
              <w:pStyle w:val="TableContents"/>
              <w:bidi w:val="0"/>
              <w:spacing w:lineRule="atLeast" w:line="142" w:before="0" w:after="283"/>
              <w:jc w:val="left"/>
              <w:rPr/>
            </w:pPr>
            <w:r>
              <w:rPr>
                <w:spacing w:val="-1"/>
              </w:rPr>
              <w:t>Unvested Performance Share Awards</w:t>
            </w:r>
            <w:r>
              <w:rPr>
                <w:spacing w:val="-1"/>
                <w:sz w:val="10"/>
              </w:rPr>
              <w:t>(1)(2)(3)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53"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20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53"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0"/>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0"/>
              <w:jc w:val="right"/>
              <w:rPr>
                <w:b/>
              </w:rPr>
            </w:pPr>
            <w:r>
              <w:rPr>
                <w:b/>
              </w:rPr>
              <w:t>527,152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0"/>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0"/>
              <w:jc w:val="right"/>
              <w:rPr>
                <w:b/>
              </w:rPr>
            </w:pPr>
            <w:r>
              <w:rPr>
                <w:b/>
              </w:rPr>
              <w:t>527,152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restart"/>
            <w:tcBorders/>
            <w:tcMar>
              <w:bottom w:w="0" w:type="dxa"/>
            </w:tcMar>
            <w:vAlign w:val="center"/>
          </w:tcPr>
          <w:p>
            <w:pPr>
              <w:pStyle w:val="TableContents"/>
              <w:bidi w:val="0"/>
              <w:spacing w:lineRule="atLeast" w:line="192" w:before="0" w:after="0"/>
              <w:jc w:val="left"/>
              <w:rPr>
                <w:spacing w:val="-1"/>
              </w:rPr>
            </w:pPr>
            <w:r>
              <w:rPr>
                <w:spacing w:val="-1"/>
              </w:rPr>
              <w:t xml:space="preserve">Daniel E. Smith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lineRule="atLeast" w:line="192" w:before="0" w:after="0"/>
              <w:jc w:val="left"/>
              <w:rPr/>
            </w:pPr>
            <w:r>
              <w:rPr>
                <w:spacing w:val="-1"/>
              </w:rPr>
              <w:t>Unvested Time-Based Restricted Stock Awards</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lineRule="atLeast" w:line="192" w:before="0" w:after="0"/>
              <w:jc w:val="right"/>
              <w:rPr/>
            </w:pPr>
            <w:r>
              <w:rPr/>
              <w:t>​</w:t>
            </w:r>
          </w:p>
        </w:tc>
        <w:tc>
          <w:tcPr>
            <w:tcW w:w="653" w:type="dxa"/>
            <w:tcBorders/>
            <w:tcMar>
              <w:bottom w:w="0" w:type="dxa"/>
            </w:tcMar>
            <w:vAlign w:val="center"/>
          </w:tcPr>
          <w:p>
            <w:pPr>
              <w:pStyle w:val="TableContents"/>
              <w:bidi w:val="0"/>
              <w:spacing w:lineRule="atLeast" w:line="192" w:before="0" w:after="0"/>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186" w:type="dxa"/>
            <w:tcBorders/>
            <w:tcMar>
              <w:bottom w:w="0" w:type="dxa"/>
            </w:tcMar>
            <w:vAlign w:val="center"/>
          </w:tcPr>
          <w:p>
            <w:pPr>
              <w:pStyle w:val="TableContents"/>
              <w:bidi w:val="0"/>
              <w:spacing w:lineRule="atLeast" w:line="192" w:before="0" w:after="283"/>
              <w:jc w:val="right"/>
              <w:rPr/>
            </w:pPr>
            <w:r>
              <w:rPr/>
              <w:t>612,823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186" w:type="dxa"/>
            <w:tcBorders/>
            <w:tcMar>
              <w:bottom w:w="0" w:type="dxa"/>
            </w:tcMar>
            <w:vAlign w:val="center"/>
          </w:tcPr>
          <w:p>
            <w:pPr>
              <w:pStyle w:val="TableContents"/>
              <w:bidi w:val="0"/>
              <w:spacing w:lineRule="atLeast" w:line="192" w:before="0" w:after="283"/>
              <w:jc w:val="right"/>
              <w:rPr/>
            </w:pPr>
            <w:r>
              <w:rPr/>
              <w:t>612,823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283"/>
              <w:jc w:val="left"/>
              <w:rPr>
                <w:spacing w:val="-1"/>
              </w:rPr>
            </w:pPr>
            <w:r>
              <w:rPr>
                <w:spacing w:val="-1"/>
              </w:rPr>
              <w:t xml:space="preserve">Severance pursuant to employment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0"/>
              <w:jc w:val="right"/>
              <w:rPr/>
            </w:pPr>
            <w:r>
              <w:rPr/>
              <w:t>​</w:t>
            </w:r>
          </w:p>
        </w:tc>
        <w:tc>
          <w:tcPr>
            <w:tcW w:w="653" w:type="dxa"/>
            <w:tcBorders/>
            <w:tcMar>
              <w:bottom w:w="0" w:type="dxa"/>
            </w:tcMar>
            <w:vAlign w:val="center"/>
          </w:tcPr>
          <w:p>
            <w:pPr>
              <w:pStyle w:val="TableContents"/>
              <w:bidi w:val="0"/>
              <w:spacing w:before="0" w:after="0"/>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0"/>
              <w:jc w:val="left"/>
              <w:rPr>
                <w:spacing w:val="-1"/>
              </w:rPr>
            </w:pPr>
            <w:r>
              <w:rPr>
                <w:spacing w:val="-1"/>
              </w:rPr>
              <w:t xml:space="preserve">Prorated Annual Incentive Award upon Qualifying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225,000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FFFFFF"/>
            </w:tcBorders>
            <w:tcMar>
              <w:bottom w:w="56" w:type="dxa"/>
            </w:tcMar>
            <w:vAlign w:val="center"/>
          </w:tcPr>
          <w:p>
            <w:pPr>
              <w:pStyle w:val="TableContents"/>
              <w:bidi w:val="0"/>
              <w:spacing w:lineRule="atLeast" w:line="142" w:before="0" w:after="283"/>
              <w:jc w:val="left"/>
              <w:rPr/>
            </w:pPr>
            <w:r>
              <w:rPr>
                <w:spacing w:val="-1"/>
              </w:rPr>
              <w:t>Unvested Performance Share Awards</w:t>
            </w:r>
            <w:r>
              <w:rPr>
                <w:spacing w:val="-1"/>
                <w:sz w:val="10"/>
              </w:rPr>
              <w:t>(1)(2)(3)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000000"/>
            </w:tcBorders>
            <w:tcMar>
              <w:bottom w:w="56" w:type="dxa"/>
            </w:tcMar>
            <w:vAlign w:val="center"/>
          </w:tcPr>
          <w:p>
            <w:pPr>
              <w:pStyle w:val="TableContents"/>
              <w:bidi w:val="0"/>
              <w:spacing w:before="0" w:after="283"/>
              <w:jc w:val="right"/>
              <w:rPr/>
            </w:pPr>
            <w:r>
              <w:rPr/>
              <w:t>​</w:t>
            </w:r>
          </w:p>
        </w:tc>
        <w:tc>
          <w:tcPr>
            <w:tcW w:w="653" w:type="dxa"/>
            <w:tcBorders>
              <w:bottom w:val="single" w:sz="2" w:space="0" w:color="000000"/>
            </w:tcBorders>
            <w:tcMar>
              <w:bottom w:w="56" w:type="dxa"/>
            </w:tcMar>
            <w:vAlign w:val="center"/>
          </w:tcPr>
          <w:p>
            <w:pPr>
              <w:pStyle w:val="TableContents"/>
              <w:bidi w:val="0"/>
              <w:spacing w:before="0" w:after="283"/>
              <w:jc w:val="right"/>
              <w:rPr/>
            </w:pPr>
            <w:r>
              <w:rPr/>
              <w:t>—</w:t>
            </w:r>
          </w:p>
        </w:tc>
        <w:tc>
          <w:tcPr>
            <w:tcW w:w="20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957,374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638,249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283"/>
              <w:jc w:val="left"/>
              <w:rPr/>
            </w:pPr>
            <w:r>
              <w:rPr>
                <w:spacing w:val="0"/>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bottom w:val="double" w:sz="8" w:space="0" w:color="000000"/>
            </w:tcBorders>
            <w:tcMar>
              <w:bottom w:w="56" w:type="dxa"/>
            </w:tcMar>
            <w:vAlign w:val="center"/>
          </w:tcPr>
          <w:p>
            <w:pPr>
              <w:pStyle w:val="TableContents"/>
              <w:bidi w:val="0"/>
              <w:spacing w:before="0" w:after="283"/>
              <w:jc w:val="right"/>
              <w:rPr/>
            </w:pPr>
            <w:r>
              <w:rPr/>
              <w:t>​</w:t>
            </w:r>
          </w:p>
        </w:tc>
        <w:tc>
          <w:tcPr>
            <w:tcW w:w="653" w:type="dxa"/>
            <w:tcBorders>
              <w:bottom w:val="double" w:sz="8" w:space="0" w:color="000000"/>
            </w:tcBorders>
            <w:tcMar>
              <w:bottom w:w="56" w:type="dxa"/>
            </w:tcMar>
            <w:vAlign w:val="center"/>
          </w:tcPr>
          <w:p>
            <w:pPr>
              <w:pStyle w:val="TableContents"/>
              <w:bidi w:val="0"/>
              <w:spacing w:before="0" w:after="283"/>
              <w:jc w:val="right"/>
              <w:rPr/>
            </w:pPr>
            <w:r>
              <w:rPr/>
              <w:t>—</w:t>
            </w:r>
          </w:p>
        </w:tc>
        <w:tc>
          <w:tcPr>
            <w:tcW w:w="2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tcMar>
              <w:bottom w:w="56" w:type="dxa"/>
            </w:tcMar>
            <w:vAlign w:val="center"/>
          </w:tcPr>
          <w:p>
            <w:pPr>
              <w:pStyle w:val="TableContents"/>
              <w:bidi w:val="0"/>
              <w:spacing w:before="0" w:after="283"/>
              <w:jc w:val="right"/>
              <w:rPr/>
            </w:pPr>
            <w:r>
              <w:rPr/>
              <w:t>2,095,197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tcMar>
              <w:bottom w:w="56" w:type="dxa"/>
            </w:tcMar>
            <w:vAlign w:val="center"/>
          </w:tcPr>
          <w:p>
            <w:pPr>
              <w:pStyle w:val="TableContents"/>
              <w:bidi w:val="0"/>
              <w:spacing w:before="0" w:after="283"/>
              <w:jc w:val="right"/>
              <w:rPr/>
            </w:pPr>
            <w:r>
              <w:rPr/>
              <w:t>1,476,072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368" w:type="dxa"/>
            <w:vMerge w:val="restart"/>
            <w:tcBorders/>
            <w:shd w:fill="CCEEFF" w:val="clear"/>
            <w:tcMar>
              <w:bottom w:w="0" w:type="dxa"/>
            </w:tcMar>
            <w:vAlign w:val="center"/>
          </w:tcPr>
          <w:p>
            <w:pPr>
              <w:pStyle w:val="TableContents"/>
              <w:bidi w:val="0"/>
              <w:spacing w:lineRule="atLeast" w:line="192" w:before="0" w:after="0"/>
              <w:jc w:val="left"/>
              <w:rPr>
                <w:spacing w:val="-1"/>
              </w:rPr>
            </w:pPr>
            <w:r>
              <w:rPr>
                <w:spacing w:val="-1"/>
              </w:rPr>
              <w:t xml:space="preserve">Lisa M. Vorakoun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lineRule="atLeast" w:line="192" w:before="0" w:after="0"/>
              <w:jc w:val="left"/>
              <w:rPr/>
            </w:pPr>
            <w:r>
              <w:rPr>
                <w:spacing w:val="-1"/>
              </w:rPr>
              <w:t>Unvested Time-Based Restricted Stock Awards</w:t>
            </w:r>
            <w:r>
              <w:rPr>
                <w:spacing w:val="-1"/>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lineRule="atLeast" w:line="192" w:before="0" w:after="0"/>
              <w:jc w:val="right"/>
              <w:rPr/>
            </w:pPr>
            <w:r>
              <w:rPr/>
              <w:t>​</w:t>
            </w:r>
          </w:p>
        </w:tc>
        <w:tc>
          <w:tcPr>
            <w:tcW w:w="653" w:type="dxa"/>
            <w:tcBorders/>
            <w:shd w:fill="CCEEFF" w:val="clear"/>
            <w:tcMar>
              <w:bottom w:w="0" w:type="dxa"/>
            </w:tcMar>
            <w:vAlign w:val="center"/>
          </w:tcPr>
          <w:p>
            <w:pPr>
              <w:pStyle w:val="TableContents"/>
              <w:bidi w:val="0"/>
              <w:spacing w:lineRule="atLeast" w:line="192" w:before="0" w:after="0"/>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422,484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422,484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283"/>
              <w:jc w:val="left"/>
              <w:rPr>
                <w:spacing w:val="-1"/>
              </w:rPr>
            </w:pPr>
            <w:r>
              <w:rPr>
                <w:spacing w:val="-1"/>
              </w:rPr>
              <w:t xml:space="preserve">Severance pursuant to employment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0"/>
              <w:jc w:val="right"/>
              <w:rPr/>
            </w:pPr>
            <w:r>
              <w:rPr/>
              <w:t>​</w:t>
            </w:r>
          </w:p>
        </w:tc>
        <w:tc>
          <w:tcPr>
            <w:tcW w:w="653" w:type="dxa"/>
            <w:tcBorders/>
            <w:shd w:fill="CCEEFF" w:val="clear"/>
            <w:tcMar>
              <w:bottom w:w="0" w:type="dxa"/>
            </w:tcMar>
            <w:vAlign w:val="center"/>
          </w:tcPr>
          <w:p>
            <w:pPr>
              <w:pStyle w:val="TableContents"/>
              <w:bidi w:val="0"/>
              <w:spacing w:before="0" w:after="0"/>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0"/>
              <w:jc w:val="left"/>
              <w:rPr>
                <w:spacing w:val="-1"/>
              </w:rPr>
            </w:pPr>
            <w:r>
              <w:rPr>
                <w:spacing w:val="-1"/>
              </w:rPr>
              <w:t xml:space="preserve">Prorated Annual Incentive Award upon Qualifying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120" w:type="dxa"/>
            <w:tcBorders>
              <w:bottom w:val="single" w:sz="2" w:space="0" w:color="CCEEFF"/>
            </w:tcBorders>
            <w:shd w:fill="CCEEFF" w:val="clear"/>
            <w:tcMar>
              <w:bottom w:w="56" w:type="dxa"/>
            </w:tcMar>
            <w:vAlign w:val="center"/>
          </w:tcPr>
          <w:p>
            <w:pPr>
              <w:pStyle w:val="TableContents"/>
              <w:bidi w:val="0"/>
              <w:spacing w:lineRule="atLeast" w:line="142" w:before="0" w:after="283"/>
              <w:jc w:val="left"/>
              <w:rPr/>
            </w:pPr>
            <w:r>
              <w:rPr>
                <w:spacing w:val="-1"/>
              </w:rPr>
              <w:t>Unvested Performance Share Awards</w:t>
            </w:r>
            <w:r>
              <w:rPr>
                <w:spacing w:val="-1"/>
                <w:sz w:val="10"/>
              </w:rPr>
              <w:t>(1)(2)(3)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53"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20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411,131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274,087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283"/>
              <w:jc w:val="left"/>
              <w:rPr/>
            </w:pPr>
            <w:r>
              <w:rPr>
                <w:spacing w:val="0"/>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53"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1,314,865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902,821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36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120" w:type="dxa"/>
            <w:tcBorders/>
            <w:shd w:fill="CCEEFF" w:val="clear"/>
            <w:tcMar>
              <w:bottom w:w="0" w:type="dxa"/>
            </w:tcMar>
            <w:vAlign w:val="center"/>
          </w:tcPr>
          <w:p>
            <w:pPr>
              <w:pStyle w:val="TableContents"/>
              <w:bidi w:val="0"/>
              <w:spacing w:before="0" w:after="283"/>
              <w:jc w:val="left"/>
              <w:rPr/>
            </w:pPr>
            <w:r>
              <w:rPr>
                <w:spacing w:val="-2"/>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53"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14,853,745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10,283,162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Values are calculated as if a change in control and/or termination had taken place on December 31, 2024 (the last business day of 2024), using the closing market price per share of our stock on that date of $19.71.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54000" cy="293370"/>
                <wp:effectExtent l="0" t="0" r="0" b="0"/>
                <wp:wrapSquare wrapText="right"/>
                <wp:docPr id="208" name="Frame194"/>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2"/>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2"/>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the event of termination without cause or with good reason after change in control, the value attributable to the performance shares outstanding as of 12/31/2024 assumes full vesting, i.e., at 150% of target. </w:t>
      </w:r>
      <w:r>
        <mc:AlternateContent>
          <mc:Choice Requires="wps">
            <w:drawing>
              <wp:anchor behindDoc="0" distT="50800" distB="0" distL="0" distR="0" simplePos="0" locked="0" layoutInCell="1" allowOverlap="1" relativeHeight="215">
                <wp:simplePos x="0" y="0"/>
                <wp:positionH relativeFrom="column">
                  <wp:align>left</wp:align>
                </wp:positionH>
                <wp:positionV relativeFrom="line">
                  <wp:align>top</wp:align>
                </wp:positionV>
                <wp:extent cx="254000" cy="304800"/>
                <wp:effectExtent l="0" t="0" r="0" b="0"/>
                <wp:wrapSquare wrapText="right"/>
                <wp:docPr id="209" name="Frame19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2"/>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2"/>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ARA"/>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76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event of termination without cause absent change in control, the value attributable to the performance shares outstanding as of 12/31/2024 assumes vesting at 100% of target; however, pursuant to the underlying performance share award agreements, vesting upon termination without cause absent change in control would be the greater of (i) 100% of target or (ii) the percentage of target that would vest based on the Relative TSR achieved as if the applicable performance period had ended on the date of the Qualifying Termination, as determined and certified by the Compensation Committee, multiplied by a fraction, the denominator of which is the total number of days in the original performance period and the numerator of which is the number of days from the beginning of the performance period to the date of the Qualifying Termination.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254000" cy="350520"/>
                <wp:effectExtent l="0" t="0" r="0" b="0"/>
                <wp:wrapSquare wrapText="right"/>
                <wp:docPr id="210"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PAY RATIO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providing the following estimate of the ratio of the annual total compensation of our CEO to the median of the annual total compensation of all other employees in accordance with applicable SEC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determined our median employee based on total compensation (including base salary, year-end bonus, and equity compensation (in each case annualized with respect to any full- and part-time employees who joined the Company during 2024)) of each of our 36 employees (excluding the CEO) as of December 31, 2024. Once we identified our median employee, we combined all of the elements of such employee’s compensation for 2024 in accordance with the requirements of Item 402(c)(2)(x) of Regulation S-K, resulting in annual total compensation of $120,880. As disclosed in the Summary Compensation Table appearing on page 44 above, our current CEO’s annual total compensation for 2024 was $3,047,109. Our current CEO has served in this capacity since August 1, 2011, which period of service includes December 31, 2024, the date of determination for the median employee. Based on the foregoing, our estimate of the ratio of the annual total compensation of our CEO to the median of the annual total compensation of all other employees was 25.2. Given the different methodologies that various public companies will use to determine an estimate of their pay ratio, the estimated ratio reported above may not be appropriate as a basis for comparison between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V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01"/>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PAY VERSUS PERFORMANCE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is provided in accordance with Item 402(v) of Regulation S-K. This information is being provided for compliance purposes. Neither the Compensation Committee nor the executives of our Company use the information in this table when making compensation decisions.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 The table below summarizes compensation values both previously reported in our Summary Compensation Table, as well as the adjusted values required in this section for the 2020, 2021, 2022, 2023 and 2024 fiscal years. Note that for our NEOs other than our principal executive officer (the “PEO”), compensation is reported as an average of each of the NEOs’ total compensation for the respective fiscal year.</w:t>
      </w:r>
      <w:r>
        <w:rPr>
          <w:rFonts w:ascii="Arial;Helvetica;sans-serif" w:hAnsi="Arial;Helvetica;sans-serif"/>
          <w:b w:val="false"/>
          <w:i w:val="false"/>
          <w:caps w:val="false"/>
          <w:smallCaps w:val="false"/>
          <w:color w:val="000000"/>
          <w:spacing w:val="4"/>
          <w:sz w:val="20"/>
        </w:rPr>
        <w:t xml:space="preserve"> </w:t>
      </w:r>
    </w:p>
    <w:tbl>
      <w:tblPr>
        <w:tblW w:w="12263" w:type="dxa"/>
        <w:jc w:val="left"/>
        <w:tblInd w:w="1393" w:type="dxa"/>
        <w:tblLayout w:type="fixed"/>
        <w:tblCellMar>
          <w:top w:w="0" w:type="dxa"/>
          <w:left w:w="0" w:type="dxa"/>
          <w:bottom w:w="43" w:type="dxa"/>
          <w:right w:w="0" w:type="dxa"/>
        </w:tblCellMar>
      </w:tblPr>
      <w:tblGrid>
        <w:gridCol w:w="598"/>
        <w:gridCol w:w="109"/>
        <w:gridCol w:w="109"/>
        <w:gridCol w:w="115"/>
        <w:gridCol w:w="115"/>
        <w:gridCol w:w="1125"/>
        <w:gridCol w:w="116"/>
        <w:gridCol w:w="109"/>
        <w:gridCol w:w="109"/>
        <w:gridCol w:w="115"/>
        <w:gridCol w:w="115"/>
        <w:gridCol w:w="1125"/>
        <w:gridCol w:w="116"/>
        <w:gridCol w:w="109"/>
        <w:gridCol w:w="109"/>
        <w:gridCol w:w="115"/>
        <w:gridCol w:w="115"/>
        <w:gridCol w:w="1125"/>
        <w:gridCol w:w="116"/>
        <w:gridCol w:w="109"/>
        <w:gridCol w:w="109"/>
        <w:gridCol w:w="115"/>
        <w:gridCol w:w="115"/>
        <w:gridCol w:w="1125"/>
        <w:gridCol w:w="116"/>
        <w:gridCol w:w="109"/>
        <w:gridCol w:w="109"/>
        <w:gridCol w:w="109"/>
        <w:gridCol w:w="109"/>
        <w:gridCol w:w="466"/>
        <w:gridCol w:w="109"/>
        <w:gridCol w:w="109"/>
        <w:gridCol w:w="109"/>
        <w:gridCol w:w="109"/>
        <w:gridCol w:w="109"/>
        <w:gridCol w:w="466"/>
        <w:gridCol w:w="109"/>
        <w:gridCol w:w="109"/>
        <w:gridCol w:w="109"/>
        <w:gridCol w:w="133"/>
        <w:gridCol w:w="133"/>
        <w:gridCol w:w="936"/>
        <w:gridCol w:w="134"/>
        <w:gridCol w:w="109"/>
        <w:gridCol w:w="109"/>
        <w:gridCol w:w="122"/>
        <w:gridCol w:w="122"/>
        <w:gridCol w:w="592"/>
        <w:gridCol w:w="125"/>
        <w:gridCol w:w="154"/>
      </w:tblGrid>
      <w:tr>
        <w:trPr/>
        <w:tc>
          <w:tcPr>
            <w:tcW w:w="598" w:type="dxa"/>
            <w:vMerge w:val="restart"/>
            <w:tcBorders>
              <w:bottom w:val="single" w:sz="2" w:space="0" w:color="000000"/>
            </w:tcBorders>
            <w:vAlign w:val="center"/>
          </w:tcPr>
          <w:p>
            <w:pPr>
              <w:pStyle w:val="TableContents"/>
              <w:bidi w:val="0"/>
              <w:spacing w:lineRule="atLeast" w:line="180" w:before="0" w:after="0"/>
              <w:jc w:val="left"/>
              <w:rPr>
                <w:spacing w:val="0"/>
              </w:rPr>
            </w:pPr>
            <w:r>
              <w:rPr>
                <w:spacing w:val="0"/>
              </w:rPr>
              <w:t xml:space="preserve">Year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0"/>
              </w:rPr>
              <w:t xml:space="preserve">Summary </w:t>
              <w:br/>
              <w:t xml:space="preserve">Compensation </w:t>
              <w:br/>
              <w:t xml:space="preserve">Table Total </w:t>
              <w:br/>
              <w:t>for PEO</w:t>
            </w:r>
            <w:r>
              <w:rPr/>
              <w:t xml:space="preserve"> </w:t>
              <w:br/>
            </w:r>
            <w:r>
              <w:rPr>
                <w:spacing w:val="-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0"/>
              </w:rPr>
              <w:t xml:space="preserve">Compensation </w:t>
              <w:br/>
              <w:t xml:space="preserve">Actually Paid </w:t>
              <w:br/>
              <w:t>to PEO</w:t>
            </w:r>
            <w:r>
              <w:rPr>
                <w:spacing w:val="-2"/>
                <w:sz w:val="10"/>
              </w:rPr>
              <w:t>(1)(4)</w:t>
            </w:r>
            <w:r>
              <w:rPr/>
              <w:t xml:space="preserve"> </w:t>
              <w:br/>
            </w:r>
            <w:r>
              <w:rPr>
                <w:spacing w:val="-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0"/>
              </w:rPr>
              <w:t xml:space="preserve">Average </w:t>
              <w:br/>
              <w:t xml:space="preserve">Summary </w:t>
              <w:br/>
              <w:t xml:space="preserve">Compensation </w:t>
              <w:br/>
              <w:t xml:space="preserve">Table Total for </w:t>
              <w:br/>
              <w:t>Non-PEO NEOs</w:t>
            </w:r>
            <w:r>
              <w:rPr/>
              <w:t xml:space="preserve"> </w:t>
              <w:br/>
            </w:r>
            <w:r>
              <w:rPr>
                <w:spacing w:val="-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71"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0"/>
              </w:rPr>
              <w:t xml:space="preserve">Average </w:t>
              <w:br/>
              <w:t xml:space="preserve">Compensation </w:t>
              <w:br/>
              <w:t xml:space="preserve">Actually Paid </w:t>
              <w:br/>
              <w:t xml:space="preserve">to Non-PEO </w:t>
              <w:br/>
              <w:t>NEOs</w:t>
            </w:r>
            <w:r>
              <w:rPr>
                <w:spacing w:val="-2"/>
                <w:sz w:val="10"/>
              </w:rPr>
              <w:t>(1)(4)</w:t>
            </w:r>
            <w:r>
              <w:rPr/>
              <w:t xml:space="preserve"> </w:t>
              <w:br/>
            </w:r>
            <w:r>
              <w:rPr>
                <w:spacing w:val="-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4" w:type="dxa"/>
            <w:gridSpan w:val="10"/>
            <w:tcBorders>
              <w:bottom w:val="single" w:sz="2" w:space="0" w:color="000000"/>
            </w:tcBorders>
            <w:vAlign w:val="center"/>
          </w:tcPr>
          <w:p>
            <w:pPr>
              <w:pStyle w:val="TableContents"/>
              <w:bidi w:val="0"/>
              <w:spacing w:before="0" w:after="0"/>
              <w:jc w:val="center"/>
              <w:rPr>
                <w:spacing w:val="0"/>
              </w:rPr>
            </w:pPr>
            <w:r>
              <w:rPr>
                <w:spacing w:val="0"/>
              </w:rPr>
              <w:t xml:space="preserve">Value of Initial </w:t>
              <w:br/>
              <w:t xml:space="preserve">Fixed $100 </w:t>
              <w:br/>
              <w:t xml:space="preserve">Investment </w:t>
              <w:br/>
              <w:t xml:space="preserve">Based 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vMerge w:val="restart"/>
            <w:tcBorders>
              <w:bottom w:val="single" w:sz="2" w:space="0" w:color="000000"/>
            </w:tcBorders>
            <w:vAlign w:val="center"/>
          </w:tcPr>
          <w:p>
            <w:pPr>
              <w:pStyle w:val="TableContents"/>
              <w:bidi w:val="0"/>
              <w:spacing w:lineRule="atLeast" w:line="180" w:before="0" w:after="0"/>
              <w:jc w:val="center"/>
              <w:rPr>
                <w:spacing w:val="0"/>
              </w:rPr>
            </w:pPr>
            <w:r>
              <w:rPr>
                <w:spacing w:val="0"/>
              </w:rPr>
              <w:t xml:space="preserve">Net Income </w:t>
              <w:br/>
              <w:t xml:space="preserve">(Loss) </w:t>
              <w:br/>
              <w:t xml:space="preserve">Attributable </w:t>
              <w:br/>
              <w:t xml:space="preserve">to Common </w:t>
              <w:br/>
              <w:t xml:space="preserve">Stockholders </w:t>
              <w:br/>
              <w:t xml:space="preserve">($ in 000’s)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61"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0"/>
              </w:rPr>
              <w:t xml:space="preserve">Adjusted </w:t>
              <w:br/>
              <w:t xml:space="preserve">FFO Per </w:t>
              <w:br/>
              <w:t xml:space="preserve">Fully </w:t>
              <w:br/>
              <w:t xml:space="preserve">Diluted </w:t>
              <w:br/>
              <w:t>Share</w:t>
            </w:r>
            <w:r>
              <w:rPr>
                <w:spacing w:val="-2"/>
                <w:sz w:val="10"/>
              </w:rPr>
              <w:t>(3)</w:t>
            </w:r>
            <w:r>
              <w:rPr/>
              <w:t xml:space="preserve"> </w:t>
              <w:br/>
            </w:r>
            <w:r>
              <w:rPr>
                <w:spacing w:val="-2"/>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8"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7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7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7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7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Peer </w:t>
              <w:br/>
              <w:t>Group</w:t>
            </w:r>
            <w:r>
              <w:rPr/>
              <w:t xml:space="preserve"> </w:t>
              <w:br/>
            </w:r>
            <w:r>
              <w:rPr>
                <w:spacing w:val="-2"/>
              </w:rPr>
              <w:t>TSR</w:t>
            </w:r>
            <w:r>
              <w:rPr>
                <w:spacing w:val="-2"/>
                <w:sz w:val="10"/>
              </w:rPr>
              <w:t>(2)</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36"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61"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598" w:type="dxa"/>
            <w:tcBorders/>
            <w:tcMar>
              <w:bottom w:w="0" w:type="dxa"/>
            </w:tcMar>
            <w:vAlign w:val="center"/>
          </w:tcPr>
          <w:p>
            <w:pPr>
              <w:pStyle w:val="TableContents"/>
              <w:bidi w:val="0"/>
              <w:spacing w:before="0" w:after="0"/>
              <w:jc w:val="left"/>
              <w:rPr>
                <w:spacing w:val="0"/>
              </w:rPr>
            </w:pPr>
            <w:r>
              <w:rPr>
                <w:spacing w:val="0"/>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gridSpan w:val="4"/>
            <w:tcBorders/>
            <w:tcMar>
              <w:bottom w:w="0" w:type="dxa"/>
            </w:tcMar>
            <w:vAlign w:val="center"/>
          </w:tcPr>
          <w:p>
            <w:pPr>
              <w:pStyle w:val="TableContents"/>
              <w:bidi w:val="0"/>
              <w:spacing w:before="0" w:after="0"/>
              <w:jc w:val="center"/>
              <w:rPr>
                <w:spacing w:val="0"/>
              </w:rPr>
            </w:pPr>
            <w:r>
              <w:rPr>
                <w:spacing w:val="0"/>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gridSpan w:val="4"/>
            <w:tcBorders/>
            <w:tcMar>
              <w:bottom w:w="0" w:type="dxa"/>
            </w:tcMar>
            <w:vAlign w:val="center"/>
          </w:tcPr>
          <w:p>
            <w:pPr>
              <w:pStyle w:val="TableContents"/>
              <w:bidi w:val="0"/>
              <w:spacing w:before="0" w:after="0"/>
              <w:jc w:val="center"/>
              <w:rPr>
                <w:spacing w:val="0"/>
              </w:rPr>
            </w:pPr>
            <w:r>
              <w:rPr>
                <w:spacing w:val="0"/>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gridSpan w:val="4"/>
            <w:tcBorders/>
            <w:tcMar>
              <w:bottom w:w="0" w:type="dxa"/>
            </w:tcMar>
            <w:vAlign w:val="center"/>
          </w:tcPr>
          <w:p>
            <w:pPr>
              <w:pStyle w:val="TableContents"/>
              <w:bidi w:val="0"/>
              <w:spacing w:before="0" w:after="0"/>
              <w:jc w:val="center"/>
              <w:rPr>
                <w:spacing w:val="0"/>
              </w:rPr>
            </w:pPr>
            <w:r>
              <w:rPr>
                <w:spacing w:val="0"/>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gridSpan w:val="4"/>
            <w:tcBorders/>
            <w:tcMar>
              <w:bottom w:w="0" w:type="dxa"/>
            </w:tcMar>
            <w:vAlign w:val="center"/>
          </w:tcPr>
          <w:p>
            <w:pPr>
              <w:pStyle w:val="TableContents"/>
              <w:bidi w:val="0"/>
              <w:spacing w:before="0" w:after="0"/>
              <w:jc w:val="center"/>
              <w:rPr>
                <w:spacing w:val="0"/>
              </w:rPr>
            </w:pPr>
            <w:r>
              <w:rPr>
                <w:spacing w:val="0"/>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3" w:type="dxa"/>
            <w:gridSpan w:val="4"/>
            <w:tcBorders/>
            <w:tcMar>
              <w:bottom w:w="0" w:type="dxa"/>
            </w:tcMar>
            <w:vAlign w:val="center"/>
          </w:tcPr>
          <w:p>
            <w:pPr>
              <w:pStyle w:val="TableContents"/>
              <w:bidi w:val="0"/>
              <w:spacing w:before="0" w:after="0"/>
              <w:jc w:val="center"/>
              <w:rPr>
                <w:spacing w:val="0"/>
              </w:rPr>
            </w:pPr>
            <w:r>
              <w:rPr>
                <w:spacing w:val="0"/>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3" w:type="dxa"/>
            <w:gridSpan w:val="4"/>
            <w:tcBorders/>
            <w:tcMar>
              <w:bottom w:w="0" w:type="dxa"/>
            </w:tcMar>
            <w:vAlign w:val="center"/>
          </w:tcPr>
          <w:p>
            <w:pPr>
              <w:pStyle w:val="TableContents"/>
              <w:bidi w:val="0"/>
              <w:spacing w:before="0" w:after="0"/>
              <w:jc w:val="center"/>
              <w:rPr>
                <w:spacing w:val="0"/>
              </w:rPr>
            </w:pPr>
            <w:r>
              <w:rPr>
                <w:spacing w:val="0"/>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6" w:type="dxa"/>
            <w:gridSpan w:val="4"/>
            <w:tcBorders/>
            <w:tcMar>
              <w:bottom w:w="0" w:type="dxa"/>
            </w:tcMar>
            <w:vAlign w:val="center"/>
          </w:tcPr>
          <w:p>
            <w:pPr>
              <w:pStyle w:val="TableContents"/>
              <w:bidi w:val="0"/>
              <w:spacing w:before="0" w:after="0"/>
              <w:jc w:val="center"/>
              <w:rPr>
                <w:spacing w:val="0"/>
              </w:rPr>
            </w:pPr>
            <w:r>
              <w:rPr>
                <w:spacing w:val="0"/>
              </w:rPr>
              <w:t xml:space="preserv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1" w:type="dxa"/>
            <w:gridSpan w:val="4"/>
            <w:tcBorders/>
            <w:tcMar>
              <w:bottom w:w="0" w:type="dxa"/>
            </w:tcMar>
            <w:vAlign w:val="center"/>
          </w:tcPr>
          <w:p>
            <w:pPr>
              <w:pStyle w:val="TableContents"/>
              <w:bidi w:val="0"/>
              <w:spacing w:before="0" w:after="0"/>
              <w:jc w:val="center"/>
              <w:rPr>
                <w:spacing w:val="0"/>
              </w:rPr>
            </w:pPr>
            <w:r>
              <w:rPr>
                <w:spacing w:val="0"/>
              </w:rPr>
              <w:t xml:space="preserve">(i) </w:t>
            </w:r>
          </w:p>
        </w:tc>
        <w:tc>
          <w:tcPr>
            <w:tcW w:w="154" w:type="dxa"/>
            <w:tcBorders/>
            <w:tcMar>
              <w:bottom w:w="0" w:type="dxa"/>
            </w:tcMar>
            <w:vAlign w:val="center"/>
          </w:tcPr>
          <w:p>
            <w:pPr>
              <w:pStyle w:val="TableContents"/>
              <w:bidi w:val="0"/>
              <w:spacing w:before="0" w:after="283"/>
              <w:jc w:val="left"/>
              <w:rPr/>
            </w:pPr>
            <w:r>
              <w:rPr/>
              <w:t>​</w:t>
            </w:r>
          </w:p>
        </w:tc>
      </w:tr>
      <w:tr>
        <w:trPr/>
        <w:tc>
          <w:tcPr>
            <w:tcW w:w="598" w:type="dxa"/>
            <w:tcBorders/>
            <w:shd w:fill="CCEEFF" w:val="clear"/>
            <w:tcMar>
              <w:bottom w:w="0" w:type="dxa"/>
            </w:tcMar>
            <w:vAlign w:val="center"/>
          </w:tcPr>
          <w:p>
            <w:pPr>
              <w:pStyle w:val="TableContents"/>
              <w:bidi w:val="0"/>
              <w:spacing w:before="0" w:after="0"/>
              <w:jc w:val="left"/>
              <w:rPr>
                <w:spacing w:val="-1"/>
              </w:rPr>
            </w:pPr>
            <w:r>
              <w:rPr>
                <w:spacing w:val="-1"/>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3,047,109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4,181,015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942,183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825,555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8,779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2.00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8" w:type="dxa"/>
            <w:tcBorders/>
            <w:tcMar>
              <w:bottom w:w="0" w:type="dxa"/>
            </w:tcMar>
            <w:vAlign w:val="center"/>
          </w:tcPr>
          <w:p>
            <w:pPr>
              <w:pStyle w:val="TableContents"/>
              <w:bidi w:val="0"/>
              <w:spacing w:before="0" w:after="0"/>
              <w:jc w:val="left"/>
              <w:rPr>
                <w:spacing w:val="-1"/>
              </w:rPr>
            </w:pPr>
            <w:r>
              <w:rPr>
                <w:spacing w:val="-1"/>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2,622,366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2,355,069</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1,218,942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1,108,613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758</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1.91</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8" w:type="dxa"/>
            <w:tcBorders/>
            <w:shd w:fill="CCEEFF" w:val="clear"/>
            <w:tcMar>
              <w:bottom w:w="0" w:type="dxa"/>
            </w:tcMar>
            <w:vAlign w:val="center"/>
          </w:tcPr>
          <w:p>
            <w:pPr>
              <w:pStyle w:val="TableContents"/>
              <w:bidi w:val="0"/>
              <w:spacing w:before="0" w:after="0"/>
              <w:jc w:val="left"/>
              <w:rPr>
                <w:spacing w:val="-1"/>
              </w:rPr>
            </w:pPr>
            <w:r>
              <w:rPr>
                <w:spacing w:val="-1"/>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2,423,711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2,347,865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1,500,597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1,435,406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(1,623)</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1.83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8" w:type="dxa"/>
            <w:tcBorders/>
            <w:tcMar>
              <w:bottom w:w="0" w:type="dxa"/>
            </w:tcMar>
            <w:vAlign w:val="center"/>
          </w:tcPr>
          <w:p>
            <w:pPr>
              <w:pStyle w:val="TableContents"/>
              <w:bidi w:val="0"/>
              <w:spacing w:before="0" w:after="0"/>
              <w:jc w:val="left"/>
              <w:rPr>
                <w:spacing w:val="-1"/>
              </w:rPr>
            </w:pPr>
            <w:r>
              <w:rPr>
                <w:spacing w:val="-1"/>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2,357,788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4,535,058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947,655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1,595,876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27,615</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1.45</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8" w:type="dxa"/>
            <w:tcBorders/>
            <w:shd w:fill="CCEEFF" w:val="clear"/>
            <w:tcMar>
              <w:bottom w:w="0" w:type="dxa"/>
            </w:tcMar>
            <w:vAlign w:val="center"/>
          </w:tcPr>
          <w:p>
            <w:pPr>
              <w:pStyle w:val="TableContents"/>
              <w:bidi w:val="0"/>
              <w:spacing w:before="0" w:after="0"/>
              <w:jc w:val="left"/>
              <w:rPr>
                <w:spacing w:val="-1"/>
              </w:rPr>
            </w:pPr>
            <w:r>
              <w:rPr>
                <w:spacing w:val="-1"/>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1,864,910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1,618,412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639,514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441,669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78,509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1.86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represent “compensation actually paid” ​(as defined below) to our PEO and the average compensation actually paid to our remaining NEOs for the relevant fiscal year, as determined under SEC rules, which includes the individuals indicated in the table below for each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217">
                <wp:simplePos x="0" y="0"/>
                <wp:positionH relativeFrom="column">
                  <wp:align>left</wp:align>
                </wp:positionH>
                <wp:positionV relativeFrom="line">
                  <wp:align>top</wp:align>
                </wp:positionV>
                <wp:extent cx="254000" cy="293370"/>
                <wp:effectExtent l="0" t="0" r="0" b="0"/>
                <wp:wrapSquare wrapText="right"/>
                <wp:docPr id="211" name="Frame197"/>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b w:val="false"/>
                                <w:sz w:val="20"/>
                              </w:rPr>
                            </w:pPr>
                            <w:r>
                              <w:rPr>
                                <w:b w:val="false"/>
                                <w:spacing w:val="-2"/>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b w:val="false"/>
                          <w:sz w:val="20"/>
                        </w:rPr>
                      </w:pPr>
                      <w:r>
                        <w:rPr>
                          <w:b w:val="false"/>
                          <w:spacing w:val="-2"/>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50" w:type="dxa"/>
          <w:right w:w="0" w:type="dxa"/>
        </w:tblCellMar>
      </w:tblPr>
      <w:tblGrid>
        <w:gridCol w:w="640"/>
        <w:gridCol w:w="109"/>
        <w:gridCol w:w="109"/>
        <w:gridCol w:w="1314"/>
        <w:gridCol w:w="109"/>
        <w:gridCol w:w="109"/>
        <w:gridCol w:w="6267"/>
        <w:gridCol w:w="155"/>
      </w:tblGrid>
      <w:tr>
        <w:trPr/>
        <w:tc>
          <w:tcPr>
            <w:tcW w:w="640" w:type="dxa"/>
            <w:tcBorders>
              <w:bottom w:val="single" w:sz="2" w:space="0" w:color="000000"/>
            </w:tcBorders>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4" w:type="dxa"/>
            <w:tcBorders>
              <w:bottom w:val="single" w:sz="2" w:space="0" w:color="000000"/>
            </w:tcBorders>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67" w:type="dxa"/>
            <w:tcBorders>
              <w:bottom w:val="single" w:sz="2" w:space="0" w:color="000000"/>
            </w:tcBorders>
            <w:vAlign w:val="center"/>
          </w:tcPr>
          <w:p>
            <w:pPr>
              <w:pStyle w:val="TableContents"/>
              <w:bidi w:val="0"/>
              <w:spacing w:before="0" w:after="0"/>
              <w:jc w:val="center"/>
              <w:rPr>
                <w:spacing w:val="0"/>
              </w:rPr>
            </w:pPr>
            <w:r>
              <w:rPr>
                <w:spacing w:val="0"/>
              </w:rPr>
              <w:t xml:space="preserve">Non-PEO NEOs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0" w:type="dxa"/>
            <w:tcBorders/>
            <w:tcMar>
              <w:bottom w:w="0" w:type="dxa"/>
            </w:tcMar>
            <w:vAlign w:val="center"/>
          </w:tcPr>
          <w:p>
            <w:pPr>
              <w:pStyle w:val="TableContents"/>
              <w:bidi w:val="0"/>
              <w:spacing w:before="0" w:after="283"/>
              <w:jc w:val="left"/>
              <w:rPr>
                <w:spacing w:val="-2"/>
              </w:rPr>
            </w:pPr>
            <w:r>
              <w:rPr>
                <w:spacing w:val="-2"/>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4" w:type="dxa"/>
            <w:tcBorders/>
            <w:tcMar>
              <w:bottom w:w="0" w:type="dxa"/>
            </w:tcMar>
            <w:vAlign w:val="center"/>
          </w:tcPr>
          <w:p>
            <w:pPr>
              <w:pStyle w:val="TableContents"/>
              <w:bidi w:val="0"/>
              <w:spacing w:before="0" w:after="283"/>
              <w:jc w:val="left"/>
              <w:rPr>
                <w:spacing w:val="-2"/>
              </w:rPr>
            </w:pPr>
            <w:r>
              <w:rPr>
                <w:spacing w:val="-2"/>
              </w:rPr>
              <w:t xml:space="preserve">John Albright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67" w:type="dxa"/>
            <w:tcBorders/>
            <w:tcMar>
              <w:bottom w:w="0" w:type="dxa"/>
            </w:tcMar>
            <w:vAlign w:val="center"/>
          </w:tcPr>
          <w:p>
            <w:pPr>
              <w:pStyle w:val="TableContents"/>
              <w:bidi w:val="0"/>
              <w:spacing w:before="0" w:after="283"/>
              <w:jc w:val="left"/>
              <w:rPr>
                <w:spacing w:val="-2"/>
              </w:rPr>
            </w:pPr>
            <w:r>
              <w:rPr>
                <w:spacing w:val="-2"/>
              </w:rPr>
              <w:t xml:space="preserve">Steven Greathouse, Philip Mays, Matthew Partridge, Daniel Smith, Lisa Vorakoun </w:t>
            </w:r>
          </w:p>
        </w:tc>
        <w:tc>
          <w:tcPr>
            <w:tcW w:w="155" w:type="dxa"/>
            <w:tcBorders/>
            <w:tcMar>
              <w:bottom w:w="0" w:type="dxa"/>
            </w:tcMar>
            <w:vAlign w:val="center"/>
          </w:tcPr>
          <w:p>
            <w:pPr>
              <w:pStyle w:val="TableContents"/>
              <w:bidi w:val="0"/>
              <w:spacing w:before="0" w:after="283"/>
              <w:jc w:val="left"/>
              <w:rPr/>
            </w:pPr>
            <w:r>
              <w:rPr/>
              <w:t>​</w:t>
            </w:r>
          </w:p>
        </w:tc>
      </w:tr>
      <w:tr>
        <w:trPr/>
        <w:tc>
          <w:tcPr>
            <w:tcW w:w="640" w:type="dxa"/>
            <w:tcBorders/>
            <w:tcMar>
              <w:bottom w:w="0" w:type="dxa"/>
            </w:tcMar>
            <w:vAlign w:val="center"/>
          </w:tcPr>
          <w:p>
            <w:pPr>
              <w:pStyle w:val="TableContents"/>
              <w:bidi w:val="0"/>
              <w:spacing w:before="0" w:after="283"/>
              <w:jc w:val="left"/>
              <w:rPr>
                <w:spacing w:val="-2"/>
              </w:rPr>
            </w:pPr>
            <w:r>
              <w:rPr>
                <w:spacing w:val="-2"/>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4" w:type="dxa"/>
            <w:tcBorders/>
            <w:tcMar>
              <w:bottom w:w="0" w:type="dxa"/>
            </w:tcMar>
            <w:vAlign w:val="center"/>
          </w:tcPr>
          <w:p>
            <w:pPr>
              <w:pStyle w:val="TableContents"/>
              <w:bidi w:val="0"/>
              <w:spacing w:before="0" w:after="283"/>
              <w:jc w:val="left"/>
              <w:rPr>
                <w:spacing w:val="-2"/>
              </w:rPr>
            </w:pPr>
            <w:r>
              <w:rPr>
                <w:spacing w:val="-2"/>
              </w:rPr>
              <w:t xml:space="preserve">John Albright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67" w:type="dxa"/>
            <w:tcBorders/>
            <w:tcMar>
              <w:bottom w:w="0" w:type="dxa"/>
            </w:tcMar>
            <w:vAlign w:val="center"/>
          </w:tcPr>
          <w:p>
            <w:pPr>
              <w:pStyle w:val="TableContents"/>
              <w:bidi w:val="0"/>
              <w:spacing w:before="0" w:after="283"/>
              <w:jc w:val="left"/>
              <w:rPr>
                <w:spacing w:val="-2"/>
              </w:rPr>
            </w:pPr>
            <w:r>
              <w:rPr>
                <w:spacing w:val="-2"/>
              </w:rPr>
              <w:t xml:space="preserve">Steven Greathouse, Matthew Partridge, Daniel Smith </w:t>
            </w:r>
          </w:p>
        </w:tc>
        <w:tc>
          <w:tcPr>
            <w:tcW w:w="155" w:type="dxa"/>
            <w:tcBorders/>
            <w:tcMar>
              <w:bottom w:w="0" w:type="dxa"/>
            </w:tcMar>
            <w:vAlign w:val="center"/>
          </w:tcPr>
          <w:p>
            <w:pPr>
              <w:pStyle w:val="TableContents"/>
              <w:bidi w:val="0"/>
              <w:spacing w:before="0" w:after="283"/>
              <w:jc w:val="left"/>
              <w:rPr/>
            </w:pPr>
            <w:r>
              <w:rPr/>
              <w:t>​</w:t>
            </w:r>
          </w:p>
        </w:tc>
      </w:tr>
      <w:tr>
        <w:trPr/>
        <w:tc>
          <w:tcPr>
            <w:tcW w:w="640" w:type="dxa"/>
            <w:tcBorders/>
            <w:tcMar>
              <w:bottom w:w="0" w:type="dxa"/>
            </w:tcMar>
            <w:vAlign w:val="center"/>
          </w:tcPr>
          <w:p>
            <w:pPr>
              <w:pStyle w:val="TableContents"/>
              <w:bidi w:val="0"/>
              <w:spacing w:before="0" w:after="283"/>
              <w:jc w:val="left"/>
              <w:rPr>
                <w:spacing w:val="-2"/>
              </w:rPr>
            </w:pPr>
            <w:r>
              <w:rPr>
                <w:spacing w:val="-2"/>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4" w:type="dxa"/>
            <w:tcBorders/>
            <w:tcMar>
              <w:bottom w:w="0" w:type="dxa"/>
            </w:tcMar>
            <w:vAlign w:val="center"/>
          </w:tcPr>
          <w:p>
            <w:pPr>
              <w:pStyle w:val="TableContents"/>
              <w:bidi w:val="0"/>
              <w:spacing w:before="0" w:after="283"/>
              <w:jc w:val="left"/>
              <w:rPr>
                <w:spacing w:val="-2"/>
              </w:rPr>
            </w:pPr>
            <w:r>
              <w:rPr>
                <w:spacing w:val="-2"/>
              </w:rPr>
              <w:t xml:space="preserve">John Albright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67" w:type="dxa"/>
            <w:tcBorders/>
            <w:tcMar>
              <w:bottom w:w="0" w:type="dxa"/>
            </w:tcMar>
            <w:vAlign w:val="center"/>
          </w:tcPr>
          <w:p>
            <w:pPr>
              <w:pStyle w:val="TableContents"/>
              <w:bidi w:val="0"/>
              <w:spacing w:before="0" w:after="283"/>
              <w:jc w:val="left"/>
              <w:rPr>
                <w:spacing w:val="-2"/>
              </w:rPr>
            </w:pPr>
            <w:r>
              <w:rPr>
                <w:spacing w:val="-2"/>
              </w:rPr>
              <w:t xml:space="preserve">Steven Greathouse, Matthew Partridge, Daniel Smith </w:t>
            </w:r>
          </w:p>
        </w:tc>
        <w:tc>
          <w:tcPr>
            <w:tcW w:w="155" w:type="dxa"/>
            <w:tcBorders/>
            <w:tcMar>
              <w:bottom w:w="0" w:type="dxa"/>
            </w:tcMar>
            <w:vAlign w:val="center"/>
          </w:tcPr>
          <w:p>
            <w:pPr>
              <w:pStyle w:val="TableContents"/>
              <w:bidi w:val="0"/>
              <w:spacing w:before="0" w:after="283"/>
              <w:jc w:val="left"/>
              <w:rPr/>
            </w:pPr>
            <w:r>
              <w:rPr/>
              <w:t>​</w:t>
            </w:r>
          </w:p>
        </w:tc>
      </w:tr>
      <w:tr>
        <w:trPr/>
        <w:tc>
          <w:tcPr>
            <w:tcW w:w="640" w:type="dxa"/>
            <w:tcBorders/>
            <w:tcMar>
              <w:bottom w:w="0" w:type="dxa"/>
            </w:tcMar>
            <w:vAlign w:val="center"/>
          </w:tcPr>
          <w:p>
            <w:pPr>
              <w:pStyle w:val="TableContents"/>
              <w:bidi w:val="0"/>
              <w:spacing w:before="0" w:after="283"/>
              <w:jc w:val="left"/>
              <w:rPr>
                <w:spacing w:val="-2"/>
              </w:rPr>
            </w:pPr>
            <w:r>
              <w:rPr>
                <w:spacing w:val="-2"/>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4" w:type="dxa"/>
            <w:tcBorders/>
            <w:tcMar>
              <w:bottom w:w="0" w:type="dxa"/>
            </w:tcMar>
            <w:vAlign w:val="center"/>
          </w:tcPr>
          <w:p>
            <w:pPr>
              <w:pStyle w:val="TableContents"/>
              <w:bidi w:val="0"/>
              <w:spacing w:before="0" w:after="283"/>
              <w:jc w:val="left"/>
              <w:rPr>
                <w:spacing w:val="-2"/>
              </w:rPr>
            </w:pPr>
            <w:r>
              <w:rPr>
                <w:spacing w:val="-2"/>
              </w:rPr>
              <w:t xml:space="preserve">John Albright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67" w:type="dxa"/>
            <w:tcBorders/>
            <w:tcMar>
              <w:bottom w:w="0" w:type="dxa"/>
            </w:tcMar>
            <w:vAlign w:val="center"/>
          </w:tcPr>
          <w:p>
            <w:pPr>
              <w:pStyle w:val="TableContents"/>
              <w:bidi w:val="0"/>
              <w:spacing w:before="0" w:after="283"/>
              <w:jc w:val="left"/>
              <w:rPr>
                <w:spacing w:val="-2"/>
              </w:rPr>
            </w:pPr>
            <w:r>
              <w:rPr>
                <w:spacing w:val="-2"/>
              </w:rPr>
              <w:t xml:space="preserve">Steven Greathouse, Matthew Partridge, Daniel Smith </w:t>
            </w:r>
          </w:p>
        </w:tc>
        <w:tc>
          <w:tcPr>
            <w:tcW w:w="155" w:type="dxa"/>
            <w:tcBorders/>
            <w:tcMar>
              <w:bottom w:w="0" w:type="dxa"/>
            </w:tcMar>
            <w:vAlign w:val="center"/>
          </w:tcPr>
          <w:p>
            <w:pPr>
              <w:pStyle w:val="TableContents"/>
              <w:bidi w:val="0"/>
              <w:spacing w:before="0" w:after="283"/>
              <w:jc w:val="left"/>
              <w:rPr/>
            </w:pPr>
            <w:r>
              <w:rPr/>
              <w:t>​</w:t>
            </w:r>
          </w:p>
        </w:tc>
      </w:tr>
      <w:tr>
        <w:trPr/>
        <w:tc>
          <w:tcPr>
            <w:tcW w:w="640" w:type="dxa"/>
            <w:tcBorders/>
            <w:tcMar>
              <w:bottom w:w="0" w:type="dxa"/>
            </w:tcMar>
            <w:vAlign w:val="center"/>
          </w:tcPr>
          <w:p>
            <w:pPr>
              <w:pStyle w:val="TableContents"/>
              <w:bidi w:val="0"/>
              <w:spacing w:before="0" w:after="283"/>
              <w:jc w:val="left"/>
              <w:rPr>
                <w:spacing w:val="-2"/>
              </w:rPr>
            </w:pPr>
            <w:r>
              <w:rPr>
                <w:spacing w:val="-2"/>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4" w:type="dxa"/>
            <w:tcBorders/>
            <w:tcMar>
              <w:bottom w:w="0" w:type="dxa"/>
            </w:tcMar>
            <w:vAlign w:val="center"/>
          </w:tcPr>
          <w:p>
            <w:pPr>
              <w:pStyle w:val="TableContents"/>
              <w:bidi w:val="0"/>
              <w:spacing w:before="0" w:after="283"/>
              <w:jc w:val="left"/>
              <w:rPr>
                <w:spacing w:val="-2"/>
              </w:rPr>
            </w:pPr>
            <w:r>
              <w:rPr>
                <w:spacing w:val="-2"/>
              </w:rPr>
              <w:t xml:space="preserve">John Albright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67" w:type="dxa"/>
            <w:tcBorders/>
            <w:tcMar>
              <w:bottom w:w="0" w:type="dxa"/>
            </w:tcMar>
            <w:vAlign w:val="center"/>
          </w:tcPr>
          <w:p>
            <w:pPr>
              <w:pStyle w:val="TableContents"/>
              <w:bidi w:val="0"/>
              <w:spacing w:before="0" w:after="283"/>
              <w:jc w:val="left"/>
              <w:rPr/>
            </w:pPr>
            <w:r>
              <w:rPr>
                <w:spacing w:val="-2"/>
              </w:rPr>
              <w:t>Steven Greathouse, Matthew Partridge, Mark Patten, Daniel Smith</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cumulative TSR (the “Peer Group TSR”) of the 2024 Peer Group (see page 33 above), which was used for compensation benchmarking purposes for 2024 compensation as described above. The 2024 Peer Group consisted of the same companies as the 2023 Peer Group. In addition, for 2022, the peer group used for compensation benchmarking purposes consisted of the same companies as the 2023 Peer Group, except that the Cedar Realty Trust, Inc. was included for 2022 and was removed for 2023 and replaced with RPT Realty. The change was made by the Compensation Committee after reviewing the Company’s and the peer companies’ asset base, market capitalization, total enterprise value, and other factors. A comparison of the Company’s TSR and the Peer Group TSR for 2022 and 2023 is set forth in the sub-table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218">
                <wp:simplePos x="0" y="0"/>
                <wp:positionH relativeFrom="column">
                  <wp:align>left</wp:align>
                </wp:positionH>
                <wp:positionV relativeFrom="line">
                  <wp:align>top</wp:align>
                </wp:positionV>
                <wp:extent cx="254000" cy="304800"/>
                <wp:effectExtent l="0" t="0" r="0" b="0"/>
                <wp:wrapSquare wrapText="right"/>
                <wp:docPr id="212" name="Frame19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2"/>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2"/>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291" w:type="dxa"/>
        <w:jc w:val="left"/>
        <w:tblInd w:w="1393" w:type="dxa"/>
        <w:tblLayout w:type="fixed"/>
        <w:tblCellMar>
          <w:top w:w="0" w:type="dxa"/>
          <w:left w:w="0" w:type="dxa"/>
          <w:bottom w:w="28" w:type="dxa"/>
          <w:right w:w="0" w:type="dxa"/>
        </w:tblCellMar>
      </w:tblPr>
      <w:tblGrid>
        <w:gridCol w:w="655"/>
        <w:gridCol w:w="109"/>
        <w:gridCol w:w="109"/>
        <w:gridCol w:w="150"/>
        <w:gridCol w:w="150"/>
        <w:gridCol w:w="644"/>
        <w:gridCol w:w="150"/>
        <w:gridCol w:w="148"/>
        <w:gridCol w:w="148"/>
        <w:gridCol w:w="177"/>
        <w:gridCol w:w="177"/>
        <w:gridCol w:w="758"/>
        <w:gridCol w:w="177"/>
        <w:gridCol w:w="148"/>
        <w:gridCol w:w="148"/>
        <w:gridCol w:w="177"/>
        <w:gridCol w:w="177"/>
        <w:gridCol w:w="758"/>
        <w:gridCol w:w="177"/>
        <w:gridCol w:w="154"/>
      </w:tblGrid>
      <w:tr>
        <w:trPr/>
        <w:tc>
          <w:tcPr>
            <w:tcW w:w="6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64" w:type="dxa"/>
            <w:gridSpan w:val="16"/>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Value of Initial Fixed $100 Investment </w:t>
              <w:br/>
              <w:t xml:space="preserve">Based 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55"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Company</w:t>
            </w:r>
            <w:r>
              <w:rPr/>
              <w:t xml:space="preserve"> </w:t>
              <w:br/>
            </w:r>
            <w:r>
              <w:rPr>
                <w:spacing w:val="-2"/>
              </w:rPr>
              <w:t xml:space="preserve">TSR </w:t>
              <w:br/>
              <w:t xml:space="preserve">($)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289"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2022 Peer </w:t>
              <w:br/>
              <w:t>Group TSR</w:t>
            </w:r>
            <w:r>
              <w:rPr/>
              <w:t xml:space="preserve"> </w:t>
              <w:br/>
            </w:r>
            <w:r>
              <w:rPr>
                <w:spacing w:val="-2"/>
              </w:rPr>
              <w:t xml:space="preserve">($)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289"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2023 Peer </w:t>
              <w:br/>
              <w:t>Group TSR</w:t>
            </w:r>
            <w:r>
              <w:rPr/>
              <w:t xml:space="preserve"> </w:t>
              <w:br/>
            </w:r>
            <w:r>
              <w:rPr>
                <w:spacing w:val="-2"/>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55" w:type="dxa"/>
            <w:tcBorders/>
            <w:shd w:fill="CCEEFF" w:val="clear"/>
            <w:tcMar>
              <w:bottom w:w="0" w:type="dxa"/>
            </w:tcMar>
            <w:vAlign w:val="center"/>
          </w:tcPr>
          <w:p>
            <w:pPr>
              <w:pStyle w:val="TableContents"/>
              <w:bidi w:val="0"/>
              <w:spacing w:before="0" w:after="0"/>
              <w:jc w:val="left"/>
              <w:rPr>
                <w:spacing w:val="-2"/>
              </w:rPr>
            </w:pPr>
            <w:r>
              <w:rPr>
                <w:spacing w:val="-2"/>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644" w:type="dxa"/>
            <w:tcBorders/>
            <w:shd w:fill="CCEEFF" w:val="clear"/>
            <w:tcMar>
              <w:bottom w:w="0" w:type="dxa"/>
            </w:tcMar>
            <w:vAlign w:val="center"/>
          </w:tcPr>
          <w:p>
            <w:pPr>
              <w:pStyle w:val="TableContents"/>
              <w:bidi w:val="0"/>
              <w:spacing w:before="0" w:after="283"/>
              <w:jc w:val="right"/>
              <w:rPr/>
            </w:pPr>
            <w:r>
              <w:rPr/>
              <w:t>94</w:t>
            </w:r>
          </w:p>
        </w:tc>
        <w:tc>
          <w:tcPr>
            <w:tcW w:w="150"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83</w:t>
            </w:r>
          </w:p>
        </w:tc>
        <w:tc>
          <w:tcPr>
            <w:tcW w:w="177"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81</w:t>
            </w:r>
          </w:p>
        </w:tc>
        <w:tc>
          <w:tcPr>
            <w:tcW w:w="17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5" w:type="dxa"/>
            <w:tcBorders/>
            <w:tcMar>
              <w:bottom w:w="0" w:type="dxa"/>
            </w:tcMar>
            <w:vAlign w:val="center"/>
          </w:tcPr>
          <w:p>
            <w:pPr>
              <w:pStyle w:val="TableContents"/>
              <w:bidi w:val="0"/>
              <w:spacing w:before="0" w:after="0"/>
              <w:jc w:val="left"/>
              <w:rPr>
                <w:spacing w:val="-2"/>
              </w:rPr>
            </w:pPr>
            <w:r>
              <w:rPr>
                <w:spacing w:val="-2"/>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148</w:t>
            </w:r>
          </w:p>
        </w:tc>
        <w:tc>
          <w:tcPr>
            <w:tcW w:w="150"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113</w:t>
            </w:r>
          </w:p>
        </w:tc>
        <w:tc>
          <w:tcPr>
            <w:tcW w:w="177"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110</w:t>
            </w:r>
          </w:p>
        </w:tc>
        <w:tc>
          <w:tcPr>
            <w:tcW w:w="17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5" w:type="dxa"/>
            <w:tcBorders/>
            <w:shd w:fill="CCEEFF" w:val="clear"/>
            <w:tcMar>
              <w:bottom w:w="0" w:type="dxa"/>
            </w:tcMar>
            <w:vAlign w:val="center"/>
          </w:tcPr>
          <w:p>
            <w:pPr>
              <w:pStyle w:val="TableContents"/>
              <w:bidi w:val="0"/>
              <w:spacing w:before="0" w:after="0"/>
              <w:jc w:val="left"/>
              <w:rPr>
                <w:spacing w:val="-2"/>
              </w:rPr>
            </w:pPr>
            <w:r>
              <w:rPr>
                <w:spacing w:val="-2"/>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644" w:type="dxa"/>
            <w:tcBorders/>
            <w:shd w:fill="CCEEFF" w:val="clear"/>
            <w:tcMar>
              <w:bottom w:w="0" w:type="dxa"/>
            </w:tcMar>
            <w:vAlign w:val="center"/>
          </w:tcPr>
          <w:p>
            <w:pPr>
              <w:pStyle w:val="TableContents"/>
              <w:bidi w:val="0"/>
              <w:spacing w:before="0" w:after="283"/>
              <w:jc w:val="right"/>
              <w:rPr/>
            </w:pPr>
            <w:r>
              <w:rPr/>
              <w:t>142</w:t>
            </w:r>
          </w:p>
        </w:tc>
        <w:tc>
          <w:tcPr>
            <w:tcW w:w="150"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94</w:t>
            </w:r>
          </w:p>
        </w:tc>
        <w:tc>
          <w:tcPr>
            <w:tcW w:w="177"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92</w:t>
            </w:r>
          </w:p>
        </w:tc>
        <w:tc>
          <w:tcPr>
            <w:tcW w:w="17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5" w:type="dxa"/>
            <w:tcBorders/>
            <w:tcMar>
              <w:bottom w:w="0" w:type="dxa"/>
            </w:tcMar>
            <w:vAlign w:val="center"/>
          </w:tcPr>
          <w:p>
            <w:pPr>
              <w:pStyle w:val="TableContents"/>
              <w:bidi w:val="0"/>
              <w:spacing w:before="0" w:after="0"/>
              <w:jc w:val="left"/>
              <w:rPr>
                <w:spacing w:val="-2"/>
              </w:rPr>
            </w:pPr>
            <w:r>
              <w:rPr>
                <w:spacing w:val="-2"/>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644" w:type="dxa"/>
            <w:tcBorders/>
            <w:tcMar>
              <w:bottom w:w="0" w:type="dxa"/>
            </w:tcMar>
            <w:vAlign w:val="center"/>
          </w:tcPr>
          <w:p>
            <w:pPr>
              <w:pStyle w:val="TableContents"/>
              <w:bidi w:val="0"/>
              <w:spacing w:before="0" w:after="283"/>
              <w:jc w:val="right"/>
              <w:rPr/>
            </w:pPr>
            <w:r>
              <w:rPr/>
              <w:t>147</w:t>
            </w:r>
          </w:p>
        </w:tc>
        <w:tc>
          <w:tcPr>
            <w:tcW w:w="150"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95</w:t>
            </w:r>
          </w:p>
        </w:tc>
        <w:tc>
          <w:tcPr>
            <w:tcW w:w="177"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96</w:t>
            </w:r>
          </w:p>
        </w:tc>
        <w:tc>
          <w:tcPr>
            <w:tcW w:w="17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5" w:type="dxa"/>
            <w:tcBorders/>
            <w:shd w:fill="CCEEFF" w:val="clear"/>
            <w:tcMar>
              <w:bottom w:w="0" w:type="dxa"/>
            </w:tcMar>
            <w:vAlign w:val="center"/>
          </w:tcPr>
          <w:p>
            <w:pPr>
              <w:pStyle w:val="TableContents"/>
              <w:bidi w:val="0"/>
              <w:spacing w:before="0" w:after="0"/>
              <w:jc w:val="left"/>
              <w:rPr>
                <w:spacing w:val="-2"/>
              </w:rPr>
            </w:pPr>
            <w:r>
              <w:rPr>
                <w:spacing w:val="-2"/>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644" w:type="dxa"/>
            <w:tcBorders/>
            <w:shd w:fill="CCEEFF" w:val="clear"/>
            <w:tcMar>
              <w:bottom w:w="0" w:type="dxa"/>
            </w:tcMar>
            <w:vAlign w:val="center"/>
          </w:tcPr>
          <w:p>
            <w:pPr>
              <w:pStyle w:val="TableContents"/>
              <w:bidi w:val="0"/>
              <w:spacing w:before="0" w:after="283"/>
              <w:jc w:val="right"/>
              <w:rPr/>
            </w:pPr>
            <w:r>
              <w:rPr/>
              <w:t>181</w:t>
            </w:r>
          </w:p>
        </w:tc>
        <w:tc>
          <w:tcPr>
            <w:tcW w:w="150"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99</w:t>
            </w:r>
          </w:p>
        </w:tc>
        <w:tc>
          <w:tcPr>
            <w:tcW w:w="177"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99</w:t>
            </w:r>
          </w:p>
        </w:tc>
        <w:tc>
          <w:tcPr>
            <w:tcW w:w="17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80" w:after="283"/>
        <w:ind w:left="1393" w:right="0" w:hanging="0"/>
        <w:jc w:val="both"/>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calculations of AFFO per diluted share, see pages 49 – 51 of our Annual Report on Form 10-K filed with the SEC on February 20, 2025, which also includes a GAAP reconciliation of this non-GAAP measure.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254000" cy="350520"/>
                <wp:effectExtent l="0" t="0" r="0" b="0"/>
                <wp:wrapSquare wrapText="right"/>
                <wp:docPr id="213"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Compensation Actually Paid” ​(“CAP”) to our NEOs represents the “Total” compensation reported in the Summary Compensation Table for the applicable fiscal year (see page 44 above), adjusted as set forth in the sub-table below. As our NEOs do not participate in any defined benefit plans, no adjustments were required to amounts reported in the Summary Compensation Table totals related to the value of benefits under such plans.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4"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890" w:type="dxa"/>
        <w:jc w:val="left"/>
        <w:tblInd w:w="1393" w:type="dxa"/>
        <w:tblLayout w:type="fixed"/>
        <w:tblCellMar>
          <w:top w:w="0" w:type="dxa"/>
          <w:left w:w="0" w:type="dxa"/>
          <w:bottom w:w="28" w:type="dxa"/>
          <w:right w:w="0" w:type="dxa"/>
        </w:tblCellMar>
      </w:tblPr>
      <w:tblGrid>
        <w:gridCol w:w="1486"/>
        <w:gridCol w:w="109"/>
        <w:gridCol w:w="109"/>
        <w:gridCol w:w="109"/>
        <w:gridCol w:w="109"/>
        <w:gridCol w:w="1141"/>
        <w:gridCol w:w="109"/>
        <w:gridCol w:w="109"/>
        <w:gridCol w:w="109"/>
        <w:gridCol w:w="109"/>
        <w:gridCol w:w="109"/>
        <w:gridCol w:w="1141"/>
        <w:gridCol w:w="109"/>
        <w:gridCol w:w="109"/>
        <w:gridCol w:w="109"/>
        <w:gridCol w:w="109"/>
        <w:gridCol w:w="109"/>
        <w:gridCol w:w="1141"/>
        <w:gridCol w:w="109"/>
        <w:gridCol w:w="109"/>
        <w:gridCol w:w="109"/>
        <w:gridCol w:w="109"/>
        <w:gridCol w:w="109"/>
        <w:gridCol w:w="1141"/>
        <w:gridCol w:w="109"/>
        <w:gridCol w:w="109"/>
        <w:gridCol w:w="109"/>
        <w:gridCol w:w="109"/>
        <w:gridCol w:w="109"/>
        <w:gridCol w:w="961"/>
        <w:gridCol w:w="109"/>
        <w:gridCol w:w="154"/>
      </w:tblGrid>
      <w:tr>
        <w:trPr/>
        <w:tc>
          <w:tcPr>
            <w:tcW w:w="1486" w:type="dxa"/>
            <w:tcBorders>
              <w:bottom w:val="single" w:sz="2" w:space="0" w:color="000000"/>
            </w:tcBorders>
            <w:vAlign w:val="center"/>
          </w:tcPr>
          <w:p>
            <w:pPr>
              <w:pStyle w:val="TableContents"/>
              <w:bidi w:val="0"/>
              <w:spacing w:before="0" w:after="283"/>
              <w:jc w:val="left"/>
              <w:rPr>
                <w:spacing w:val="0"/>
              </w:rPr>
            </w:pPr>
            <w:r>
              <w:rPr>
                <w:spacing w:val="0"/>
              </w:rPr>
              <w:t xml:space="preserve">Adjustments to Determine Compensation “Actually </w:t>
              <w:br/>
              <w:t xml:space="preserve">Paid” for 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6"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Deduction for Amounts Reported under the </w:t>
              <w:br/>
              <w:t xml:space="preserve">“Stock Awards” Column in the SCT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(1,172,927)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(1,209,080)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(1,141,117)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(1,135,825)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(929,602)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6" w:type="dxa"/>
            <w:tcBorders/>
            <w:tcMar>
              <w:bottom w:w="0" w:type="dxa"/>
            </w:tcMar>
            <w:vAlign w:val="center"/>
          </w:tcPr>
          <w:p>
            <w:pPr>
              <w:pStyle w:val="TableContents"/>
              <w:bidi w:val="0"/>
              <w:spacing w:before="0" w:after="0"/>
              <w:ind w:left="200" w:right="0" w:hanging="200"/>
              <w:jc w:val="left"/>
              <w:rPr>
                <w:spacing w:val="-2"/>
              </w:rPr>
            </w:pPr>
            <w:r>
              <w:rPr>
                <w:spacing w:val="-2"/>
              </w:rPr>
              <w:t xml:space="preserve">Increase for Fair Value of Awards Granted during year that Remain Unvested as of Year-end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1,709,493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1,090,110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1,220,410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2,066,282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792,893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86"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Increase/deduction for Change in Fair </w:t>
              <w:br/>
              <w:t xml:space="preserve">Value from prior Year-end to current </w:t>
              <w:br/>
              <w:t xml:space="preserve">Year-end of Awards Granted Prior to year </w:t>
              <w:br/>
              <w:t xml:space="preserve">that were Outstanding and Unvested as </w:t>
              <w:br/>
              <w:t xml:space="preserve">of Year-end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626,117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(187,893)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(51,182)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1,184,425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(143,285)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6" w:type="dxa"/>
            <w:tcBorders>
              <w:bottom w:val="single" w:sz="2" w:space="0" w:color="FFFFFF"/>
            </w:tcBorders>
            <w:vAlign w:val="center"/>
          </w:tcPr>
          <w:p>
            <w:pPr>
              <w:pStyle w:val="TableContents"/>
              <w:bidi w:val="0"/>
              <w:spacing w:before="0" w:after="0"/>
              <w:ind w:left="200" w:right="0" w:hanging="200"/>
              <w:jc w:val="left"/>
              <w:rPr>
                <w:spacing w:val="-2"/>
              </w:rPr>
            </w:pPr>
            <w:r>
              <w:rPr>
                <w:spacing w:val="-2"/>
              </w:rPr>
              <w:t xml:space="preserve">Increase/deduction for Change in Fair Value from Prior Year-end to Vesting Date of Awards Granted Prior to year that Vested during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(28,777)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39,566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(103,957)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62,388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33,496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6" w:type="dxa"/>
            <w:tcBorders/>
            <w:shd w:fill="CCEEFF" w:val="clear"/>
            <w:tcMar>
              <w:bottom w:w="0" w:type="dxa"/>
            </w:tcMar>
            <w:vAlign w:val="center"/>
          </w:tcPr>
          <w:p>
            <w:pPr>
              <w:pStyle w:val="TableContents"/>
              <w:bidi w:val="0"/>
              <w:spacing w:before="0" w:after="0"/>
              <w:jc w:val="left"/>
              <w:rPr/>
            </w:pPr>
            <w:r>
              <w:rPr>
                <w:spacing w:val="0"/>
              </w:rPr>
              <w:t>Total Adjustments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41" w:type="dxa"/>
            <w:tcBorders>
              <w:bottom w:val="double" w:sz="8" w:space="0" w:color="000000"/>
            </w:tcBorders>
            <w:shd w:fill="CCEEFF" w:val="clear"/>
            <w:tcMar>
              <w:bottom w:w="30" w:type="dxa"/>
            </w:tcMar>
            <w:vAlign w:val="center"/>
          </w:tcPr>
          <w:p>
            <w:pPr>
              <w:pStyle w:val="TableContents"/>
              <w:bidi w:val="0"/>
              <w:spacing w:before="0" w:after="283"/>
              <w:jc w:val="right"/>
              <w:rPr/>
            </w:pPr>
            <w:r>
              <w:rPr/>
              <w:t>1,133,906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41" w:type="dxa"/>
            <w:tcBorders>
              <w:bottom w:val="double" w:sz="8" w:space="0" w:color="000000"/>
            </w:tcBorders>
            <w:shd w:fill="CCEEFF" w:val="clear"/>
            <w:tcMar>
              <w:bottom w:w="30" w:type="dxa"/>
            </w:tcMar>
            <w:vAlign w:val="center"/>
          </w:tcPr>
          <w:p>
            <w:pPr>
              <w:pStyle w:val="TableContents"/>
              <w:bidi w:val="0"/>
              <w:spacing w:before="0" w:after="283"/>
              <w:jc w:val="right"/>
              <w:rPr/>
            </w:pPr>
            <w:r>
              <w:rPr/>
              <w:t>(267,297)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41" w:type="dxa"/>
            <w:tcBorders>
              <w:bottom w:val="double" w:sz="8" w:space="0" w:color="000000"/>
            </w:tcBorders>
            <w:shd w:fill="CCEEFF" w:val="clear"/>
            <w:tcMar>
              <w:bottom w:w="30" w:type="dxa"/>
            </w:tcMar>
            <w:vAlign w:val="center"/>
          </w:tcPr>
          <w:p>
            <w:pPr>
              <w:pStyle w:val="TableContents"/>
              <w:bidi w:val="0"/>
              <w:spacing w:before="0" w:after="283"/>
              <w:jc w:val="right"/>
              <w:rPr/>
            </w:pPr>
            <w:r>
              <w:rPr/>
              <w:t>(75,846)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41" w:type="dxa"/>
            <w:tcBorders>
              <w:bottom w:val="double" w:sz="8" w:space="0" w:color="000000"/>
            </w:tcBorders>
            <w:shd w:fill="CCEEFF" w:val="clear"/>
            <w:tcMar>
              <w:bottom w:w="30" w:type="dxa"/>
            </w:tcMar>
            <w:vAlign w:val="center"/>
          </w:tcPr>
          <w:p>
            <w:pPr>
              <w:pStyle w:val="TableContents"/>
              <w:bidi w:val="0"/>
              <w:spacing w:before="0" w:after="283"/>
              <w:jc w:val="right"/>
              <w:rPr/>
            </w:pPr>
            <w:r>
              <w:rPr/>
              <w:t>2,177,270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0" w:type="dxa"/>
            </w:tcMar>
            <w:vAlign w:val="center"/>
          </w:tcPr>
          <w:p>
            <w:pPr>
              <w:pStyle w:val="TableContents"/>
              <w:bidi w:val="0"/>
              <w:spacing w:before="0" w:after="283"/>
              <w:jc w:val="right"/>
              <w:rPr/>
            </w:pPr>
            <w:r>
              <w:rPr/>
              <w:t>(246,498)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170" w:type="dxa"/>
        <w:jc w:val="left"/>
        <w:tblInd w:w="1393" w:type="dxa"/>
        <w:tblLayout w:type="fixed"/>
        <w:tblCellMar>
          <w:top w:w="0" w:type="dxa"/>
          <w:left w:w="0" w:type="dxa"/>
          <w:bottom w:w="28" w:type="dxa"/>
          <w:right w:w="0" w:type="dxa"/>
        </w:tblCellMar>
      </w:tblPr>
      <w:tblGrid>
        <w:gridCol w:w="1486"/>
        <w:gridCol w:w="109"/>
        <w:gridCol w:w="109"/>
        <w:gridCol w:w="109"/>
        <w:gridCol w:w="109"/>
        <w:gridCol w:w="961"/>
        <w:gridCol w:w="109"/>
        <w:gridCol w:w="109"/>
        <w:gridCol w:w="109"/>
        <w:gridCol w:w="109"/>
        <w:gridCol w:w="109"/>
        <w:gridCol w:w="961"/>
        <w:gridCol w:w="109"/>
        <w:gridCol w:w="109"/>
        <w:gridCol w:w="109"/>
        <w:gridCol w:w="109"/>
        <w:gridCol w:w="109"/>
        <w:gridCol w:w="961"/>
        <w:gridCol w:w="109"/>
        <w:gridCol w:w="109"/>
        <w:gridCol w:w="109"/>
        <w:gridCol w:w="109"/>
        <w:gridCol w:w="109"/>
        <w:gridCol w:w="961"/>
        <w:gridCol w:w="109"/>
        <w:gridCol w:w="109"/>
        <w:gridCol w:w="109"/>
        <w:gridCol w:w="109"/>
        <w:gridCol w:w="109"/>
        <w:gridCol w:w="961"/>
        <w:gridCol w:w="109"/>
        <w:gridCol w:w="154"/>
      </w:tblGrid>
      <w:tr>
        <w:trPr/>
        <w:tc>
          <w:tcPr>
            <w:tcW w:w="1486" w:type="dxa"/>
            <w:tcBorders>
              <w:bottom w:val="single" w:sz="2" w:space="0" w:color="000000"/>
            </w:tcBorders>
            <w:vAlign w:val="center"/>
          </w:tcPr>
          <w:p>
            <w:pPr>
              <w:pStyle w:val="TableContents"/>
              <w:bidi w:val="0"/>
              <w:spacing w:before="0" w:after="283"/>
              <w:jc w:val="left"/>
              <w:rPr>
                <w:spacing w:val="0"/>
              </w:rPr>
            </w:pPr>
            <w:r>
              <w:rPr>
                <w:spacing w:val="0"/>
              </w:rPr>
              <w:t xml:space="preserve">Adjustments to Determine Compensation “Actually Paid” </w:t>
              <w:br/>
              <w:t xml:space="preserve">for Non-PEOs (Average)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6"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Deduction for Amounts Reported under the “Stock </w:t>
              <w:br/>
              <w:t xml:space="preserve">Awards” Column in the SCT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(321,332)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(499,164)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(734,921)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(382,239)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(328,875)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6" w:type="dxa"/>
            <w:tcBorders/>
            <w:tcMar>
              <w:bottom w:w="0" w:type="dxa"/>
            </w:tcMar>
            <w:vAlign w:val="center"/>
          </w:tcPr>
          <w:p>
            <w:pPr>
              <w:pStyle w:val="TableContents"/>
              <w:bidi w:val="0"/>
              <w:spacing w:before="0" w:after="0"/>
              <w:ind w:left="200" w:right="0" w:hanging="200"/>
              <w:jc w:val="left"/>
              <w:rPr>
                <w:spacing w:val="-2"/>
              </w:rPr>
            </w:pPr>
            <w:r>
              <w:rPr>
                <w:spacing w:val="-2"/>
              </w:rPr>
              <w:t xml:space="preserve">Increase for Fair Value of Awards Granted during </w:t>
              <w:br/>
              <w:t xml:space="preserve">year that Remain Unvested as of Year end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315,837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449,983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716,807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686,661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239,386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86"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Increase/deduction for Change in Fair Value from </w:t>
              <w:br/>
              <w:t xml:space="preserve">prior Year-end to current Year-end of Awards </w:t>
              <w:br/>
              <w:t xml:space="preserve">Granted Prior to year that were Outstanding </w:t>
              <w:br/>
              <w:t xml:space="preserve">and Unvested as of Year-end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(75,917)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332,595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(20,377)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86" w:type="dxa"/>
            <w:tcBorders/>
            <w:tcMar>
              <w:bottom w:w="0" w:type="dxa"/>
            </w:tcMar>
            <w:vAlign w:val="center"/>
          </w:tcPr>
          <w:p>
            <w:pPr>
              <w:pStyle w:val="TableContents"/>
              <w:bidi w:val="0"/>
              <w:spacing w:before="0" w:after="0"/>
              <w:ind w:left="200" w:right="0" w:hanging="200"/>
              <w:jc w:val="left"/>
              <w:rPr>
                <w:spacing w:val="-2"/>
              </w:rPr>
            </w:pPr>
            <w:r>
              <w:rPr>
                <w:spacing w:val="-2"/>
              </w:rPr>
              <w:t xml:space="preserve">Increase/deduction for Change in Fair Value from </w:t>
              <w:br/>
              <w:t xml:space="preserve">Prior Year-end to Vesting Date of Awards </w:t>
              <w:br/>
              <w:t xml:space="preserve">Granted Prior to year that Vested during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14,769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11,206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8,839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86" w:type="dxa"/>
            <w:tcBorders>
              <w:bottom w:val="single" w:sz="2" w:space="0" w:color="CCEEFF"/>
            </w:tcBorders>
            <w:shd w:fill="CCEEFF" w:val="clear"/>
            <w:vAlign w:val="center"/>
          </w:tcPr>
          <w:p>
            <w:pPr>
              <w:pStyle w:val="TableContents"/>
              <w:bidi w:val="0"/>
              <w:spacing w:before="0" w:after="0"/>
              <w:ind w:left="200" w:right="0" w:hanging="200"/>
              <w:jc w:val="left"/>
              <w:rPr>
                <w:spacing w:val="-2"/>
              </w:rPr>
            </w:pPr>
            <w:r>
              <w:rPr>
                <w:spacing w:val="-2"/>
              </w:rPr>
              <w:t xml:space="preserve">Deduction for the Fair Value of Awards forfeited during year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(220,175)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(96,818)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86" w:type="dxa"/>
            <w:tcBorders/>
            <w:tcMar>
              <w:bottom w:w="0" w:type="dxa"/>
            </w:tcMar>
            <w:vAlign w:val="center"/>
          </w:tcPr>
          <w:p>
            <w:pPr>
              <w:pStyle w:val="TableContents"/>
              <w:bidi w:val="0"/>
              <w:spacing w:before="0" w:after="0"/>
              <w:jc w:val="left"/>
              <w:rPr/>
            </w:pPr>
            <w:r>
              <w:rPr>
                <w:spacing w:val="0"/>
              </w:rPr>
              <w:t>Total Adjustments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961" w:type="dxa"/>
            <w:tcBorders>
              <w:bottom w:val="double" w:sz="8" w:space="0" w:color="000000"/>
            </w:tcBorders>
            <w:tcMar>
              <w:bottom w:w="30" w:type="dxa"/>
            </w:tcMar>
            <w:vAlign w:val="center"/>
          </w:tcPr>
          <w:p>
            <w:pPr>
              <w:pStyle w:val="TableContents"/>
              <w:bidi w:val="0"/>
              <w:spacing w:before="0" w:after="283"/>
              <w:jc w:val="right"/>
              <w:rPr/>
            </w:pPr>
            <w:r>
              <w:rPr/>
              <w:t>(116,628)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961" w:type="dxa"/>
            <w:tcBorders>
              <w:bottom w:val="double" w:sz="8" w:space="0" w:color="000000"/>
            </w:tcBorders>
            <w:tcMar>
              <w:bottom w:w="30" w:type="dxa"/>
            </w:tcMar>
            <w:vAlign w:val="center"/>
          </w:tcPr>
          <w:p>
            <w:pPr>
              <w:pStyle w:val="TableContents"/>
              <w:bidi w:val="0"/>
              <w:spacing w:before="0" w:after="283"/>
              <w:jc w:val="right"/>
              <w:rPr/>
            </w:pPr>
            <w:r>
              <w:rPr/>
              <w:t>(110,329)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961" w:type="dxa"/>
            <w:tcBorders>
              <w:bottom w:val="double" w:sz="8" w:space="0" w:color="000000"/>
            </w:tcBorders>
            <w:tcMar>
              <w:bottom w:w="30" w:type="dxa"/>
            </w:tcMar>
            <w:vAlign w:val="center"/>
          </w:tcPr>
          <w:p>
            <w:pPr>
              <w:pStyle w:val="TableContents"/>
              <w:bidi w:val="0"/>
              <w:spacing w:before="0" w:after="283"/>
              <w:jc w:val="right"/>
              <w:rPr/>
            </w:pPr>
            <w:r>
              <w:rPr/>
              <w:t>(65,374)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961" w:type="dxa"/>
            <w:tcBorders>
              <w:bottom w:val="double" w:sz="8" w:space="0" w:color="000000"/>
            </w:tcBorders>
            <w:tcMar>
              <w:bottom w:w="30" w:type="dxa"/>
            </w:tcMar>
            <w:vAlign w:val="center"/>
          </w:tcPr>
          <w:p>
            <w:pPr>
              <w:pStyle w:val="TableContents"/>
              <w:bidi w:val="0"/>
              <w:spacing w:before="0" w:after="283"/>
              <w:jc w:val="right"/>
              <w:rPr/>
            </w:pPr>
            <w:r>
              <w:rPr/>
              <w:t>648,223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961" w:type="dxa"/>
            <w:tcBorders>
              <w:bottom w:val="double" w:sz="8" w:space="0" w:color="000000"/>
            </w:tcBorders>
            <w:tcMar>
              <w:bottom w:w="30" w:type="dxa"/>
            </w:tcMar>
            <w:vAlign w:val="center"/>
          </w:tcPr>
          <w:p>
            <w:pPr>
              <w:pStyle w:val="TableContents"/>
              <w:bidi w:val="0"/>
              <w:spacing w:before="0" w:after="283"/>
              <w:jc w:val="right"/>
              <w:rPr/>
            </w:pPr>
            <w:r>
              <w:rPr/>
              <w:t>(197,845)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757"/>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because Mr. Partridge was an NEO during a portion of 2024, the calculation above of “Average Compensation Actually Paid to non-PEO NEOs” for 2024 includes amounts paid to Mr. Partridge for such year. If Mr. Partridge’s 2024 compensation had not been included in such calculation for 2024, the “Average Summary Compensation Table Total for Non-PEO NEOs” and “Average Compensation Actually Paid to Non-PEOP NEOs” for 2024 would have been $1,023,393 and $1,281,073, respectively.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Relationship Between Financial 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following graphs compare the CAP for the PEO and the average CAP for the non-PEO NEOs with (i) our cumulative TSR and our peer group TSR, (ii) our net income and (iii) our Adjusted FFO per fully diluted share, in each case, for the fiscal years ended December 31, 2020, 2021, 2022, 2023, and 2024.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TSR amounts reported in the graph assume an initial fixed investment of $100, and that all dividends, if any, were reinvested.</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4286250" cy="2581275"/>
            <wp:effectExtent l="0" t="0" r="0" b="0"/>
            <wp:docPr id="2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5" descr=""/>
                    <pic:cNvPicPr>
                      <a:picLocks noChangeAspect="1" noChangeArrowheads="1"/>
                    </pic:cNvPicPr>
                  </pic:nvPicPr>
                  <pic:blipFill>
                    <a:blip r:embed="rId16"/>
                    <a:stretch>
                      <a:fillRect/>
                    </a:stretch>
                  </pic:blipFill>
                  <pic:spPr bwMode="auto">
                    <a:xfrm>
                      <a:off x="0" y="0"/>
                      <a:ext cx="4286250" cy="2581275"/>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4314825" cy="2428875"/>
            <wp:effectExtent l="0" t="0" r="0" b="0"/>
            <wp:docPr id="2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 descr=""/>
                    <pic:cNvPicPr>
                      <a:picLocks noChangeAspect="1" noChangeArrowheads="1"/>
                    </pic:cNvPicPr>
                  </pic:nvPicPr>
                  <pic:blipFill>
                    <a:blip r:embed="rId17"/>
                    <a:stretch>
                      <a:fillRect/>
                    </a:stretch>
                  </pic:blipFill>
                  <pic:spPr bwMode="auto">
                    <a:xfrm>
                      <a:off x="0" y="0"/>
                      <a:ext cx="4314825"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4343400" cy="2447925"/>
            <wp:effectExtent l="0" t="0" r="0" b="0"/>
            <wp:docPr id="2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 descr=""/>
                    <pic:cNvPicPr>
                      <a:picLocks noChangeAspect="1" noChangeArrowheads="1"/>
                    </pic:cNvPicPr>
                  </pic:nvPicPr>
                  <pic:blipFill>
                    <a:blip r:embed="rId18"/>
                    <a:stretch>
                      <a:fillRect/>
                    </a:stretch>
                  </pic:blipFill>
                  <pic:spPr bwMode="auto">
                    <a:xfrm>
                      <a:off x="0" y="0"/>
                      <a:ext cx="4343400" cy="2447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the following performance measures represent the most important financial performance measures used by us to link our NEOs’ CAP for the fiscal year ended December 31,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TSR over a 3-year performance period versus the performance of the Index</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Adjusted FFO per fully diluted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income growth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Same-store leased occupancy change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1"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additional details regarding our most important financial performance measures, please see the sections titled “Annual Incentive Plan” and “Equity Compensation — Performance Shares” in the CD&amp;A included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Equity Compensation Plan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provides information regarding the Company’s equity compensation plans as of December 31, 2024:</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2922"/>
        <w:gridCol w:w="109"/>
        <w:gridCol w:w="109"/>
        <w:gridCol w:w="128"/>
        <w:gridCol w:w="128"/>
        <w:gridCol w:w="1198"/>
        <w:gridCol w:w="128"/>
        <w:gridCol w:w="109"/>
        <w:gridCol w:w="109"/>
        <w:gridCol w:w="168"/>
        <w:gridCol w:w="168"/>
        <w:gridCol w:w="1099"/>
        <w:gridCol w:w="172"/>
        <w:gridCol w:w="109"/>
        <w:gridCol w:w="109"/>
        <w:gridCol w:w="168"/>
        <w:gridCol w:w="168"/>
        <w:gridCol w:w="1378"/>
        <w:gridCol w:w="172"/>
        <w:gridCol w:w="161"/>
      </w:tblGrid>
      <w:tr>
        <w:trPr/>
        <w:tc>
          <w:tcPr>
            <w:tcW w:w="2922" w:type="dxa"/>
            <w:tcBorders>
              <w:bottom w:val="single" w:sz="2" w:space="0" w:color="000000"/>
            </w:tcBorders>
            <w:vAlign w:val="center"/>
          </w:tcPr>
          <w:p>
            <w:pPr>
              <w:pStyle w:val="TableContents"/>
              <w:bidi w:val="0"/>
              <w:spacing w:before="0" w:after="0"/>
              <w:jc w:val="left"/>
              <w:rPr>
                <w:spacing w:val="0"/>
              </w:rPr>
            </w:pPr>
            <w:r>
              <w:rPr>
                <w:spacing w:val="0"/>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2"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Number of securities </w:t>
              <w:br/>
              <w:t xml:space="preserve">to be issued upon </w:t>
              <w:br/>
              <w:t xml:space="preserve">exercise of </w:t>
              <w:br/>
              <w:t xml:space="preserve">outstanding </w:t>
              <w:br/>
              <w:t xml:space="preserve">options, warrants </w:t>
              <w:br/>
              <w:t xml:space="preserve">and rights (a)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7"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Weighted average </w:t>
              <w:br/>
              <w:t xml:space="preserve">exercise price of </w:t>
              <w:br/>
              <w:t xml:space="preserve">outstanding options, </w:t>
              <w:br/>
              <w:t xml:space="preserve">warrants and rights (b)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6"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Number of securities </w:t>
              <w:br/>
              <w:t xml:space="preserve">remaining available for </w:t>
              <w:br/>
              <w:t xml:space="preserve">future issuance under </w:t>
              <w:br/>
              <w:t xml:space="preserve">equity compensation </w:t>
              <w:br/>
              <w:t xml:space="preserve">plans </w:t>
              <w:br/>
              <w:t xml:space="preserve">(excluding securities </w:t>
              <w:br/>
              <w:t xml:space="preserve">reflected in column (a)) (c)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22" w:type="dxa"/>
            <w:tcBorders/>
            <w:shd w:fill="CCEEFF" w:val="clear"/>
            <w:tcMar>
              <w:bottom w:w="0" w:type="dxa"/>
            </w:tcMar>
            <w:vAlign w:val="center"/>
          </w:tcPr>
          <w:p>
            <w:pPr>
              <w:pStyle w:val="TableContents"/>
              <w:bidi w:val="0"/>
              <w:spacing w:before="0" w:after="0"/>
              <w:ind w:left="200" w:right="0" w:hanging="200"/>
              <w:jc w:val="left"/>
              <w:rPr/>
            </w:pPr>
            <w:r>
              <w:rPr>
                <w:spacing w:val="-2"/>
              </w:rPr>
              <w:t>Equity compensation plans approved by security holders</w:t>
            </w:r>
            <w:r>
              <w:rPr>
                <w:spacing w:val="-1"/>
                <w:szCs w:val="13"/>
              </w:rPr>
              <w:t>﻿</w:t>
            </w:r>
            <w:r>
              <w:rPr>
                <w:spacing w:val="-1"/>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405,797</w:t>
            </w:r>
            <w:r>
              <w:rPr>
                <w:sz w:val="13"/>
              </w:rPr>
              <w:t>(2)</w:t>
            </w:r>
            <w:r>
              <w:rPr/>
              <w:t xml:space="preserve">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w:t>
            </w:r>
            <w:r>
              <w:rPr>
                <w:sz w:val="13"/>
              </w:rPr>
              <w:t>(3)</w:t>
            </w:r>
            <w:r>
              <w:rPr/>
              <w:t xml:space="preserve"> </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378" w:type="dxa"/>
            <w:tcBorders/>
            <w:shd w:fill="CCEEFF" w:val="clear"/>
            <w:tcMar>
              <w:bottom w:w="0" w:type="dxa"/>
            </w:tcMar>
            <w:vAlign w:val="center"/>
          </w:tcPr>
          <w:p>
            <w:pPr>
              <w:pStyle w:val="TableContents"/>
              <w:bidi w:val="0"/>
              <w:spacing w:before="0" w:after="283"/>
              <w:jc w:val="right"/>
              <w:rPr/>
            </w:pPr>
            <w:r>
              <w:rPr/>
              <w:t>836,038</w:t>
            </w:r>
          </w:p>
        </w:tc>
        <w:tc>
          <w:tcPr>
            <w:tcW w:w="17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922"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Equity compensation plans not approved by security 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000000"/>
            </w:tcBorders>
            <w:tcMar>
              <w:bottom w:w="37" w:type="dxa"/>
            </w:tcMar>
            <w:vAlign w:val="center"/>
          </w:tcPr>
          <w:p>
            <w:pPr>
              <w:pStyle w:val="TableContents"/>
              <w:bidi w:val="0"/>
              <w:spacing w:before="0" w:after="283"/>
              <w:jc w:val="right"/>
              <w:rPr/>
            </w:pPr>
            <w:r>
              <w:rPr/>
              <w:t>​</w:t>
            </w:r>
          </w:p>
        </w:tc>
        <w:tc>
          <w:tcPr>
            <w:tcW w:w="1198" w:type="dxa"/>
            <w:tcBorders>
              <w:bottom w:val="single" w:sz="2" w:space="0" w:color="000000"/>
            </w:tcBorders>
            <w:tcMar>
              <w:bottom w:w="37" w:type="dxa"/>
            </w:tcMar>
            <w:vAlign w:val="center"/>
          </w:tcPr>
          <w:p>
            <w:pPr>
              <w:pStyle w:val="TableContents"/>
              <w:bidi w:val="0"/>
              <w:spacing w:before="0" w:after="283"/>
              <w:jc w:val="right"/>
              <w:rPr/>
            </w:pPr>
            <w:r>
              <w:rPr/>
              <w:t>—</w:t>
            </w:r>
          </w:p>
        </w:tc>
        <w:tc>
          <w:tcPr>
            <w:tcW w:w="12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37" w:type="dxa"/>
            </w:tcMar>
            <w:vAlign w:val="center"/>
          </w:tcPr>
          <w:p>
            <w:pPr>
              <w:pStyle w:val="TableContents"/>
              <w:bidi w:val="0"/>
              <w:spacing w:before="0" w:after="283"/>
              <w:jc w:val="right"/>
              <w:rPr/>
            </w:pPr>
            <w:r>
              <w:rPr/>
              <w:t>​</w:t>
            </w:r>
          </w:p>
        </w:tc>
        <w:tc>
          <w:tcPr>
            <w:tcW w:w="1099" w:type="dxa"/>
            <w:tcBorders>
              <w:bottom w:val="single" w:sz="2" w:space="0" w:color="000000"/>
            </w:tcBorders>
            <w:tcMar>
              <w:bottom w:w="37" w:type="dxa"/>
            </w:tcMar>
            <w:vAlign w:val="center"/>
          </w:tcPr>
          <w:p>
            <w:pPr>
              <w:pStyle w:val="TableContents"/>
              <w:bidi w:val="0"/>
              <w:spacing w:before="0" w:after="283"/>
              <w:jc w:val="right"/>
              <w:rPr/>
            </w:pPr>
            <w:r>
              <w:rPr/>
              <w:t>      —</w:t>
            </w:r>
          </w:p>
        </w:tc>
        <w:tc>
          <w:tcPr>
            <w:tcW w:w="17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37" w:type="dxa"/>
            </w:tcMar>
            <w:vAlign w:val="center"/>
          </w:tcPr>
          <w:p>
            <w:pPr>
              <w:pStyle w:val="TableContents"/>
              <w:bidi w:val="0"/>
              <w:spacing w:before="0" w:after="283"/>
              <w:jc w:val="right"/>
              <w:rPr/>
            </w:pPr>
            <w:r>
              <w:rPr/>
              <w:t>​</w:t>
            </w:r>
          </w:p>
        </w:tc>
        <w:tc>
          <w:tcPr>
            <w:tcW w:w="1378" w:type="dxa"/>
            <w:tcBorders>
              <w:bottom w:val="single" w:sz="2" w:space="0" w:color="000000"/>
            </w:tcBorders>
            <w:tcMar>
              <w:bottom w:w="37" w:type="dxa"/>
            </w:tcMar>
            <w:vAlign w:val="center"/>
          </w:tcPr>
          <w:p>
            <w:pPr>
              <w:pStyle w:val="TableContents"/>
              <w:bidi w:val="0"/>
              <w:spacing w:before="0" w:after="283"/>
              <w:jc w:val="right"/>
              <w:rPr/>
            </w:pPr>
            <w:r>
              <w:rPr/>
              <w:t>—</w:t>
            </w:r>
          </w:p>
        </w:tc>
        <w:tc>
          <w:tcPr>
            <w:tcW w:w="172"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22"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405,797</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378" w:type="dxa"/>
            <w:tcBorders/>
            <w:shd w:fill="CCEEFF" w:val="clear"/>
            <w:tcMar>
              <w:bottom w:w="0" w:type="dxa"/>
            </w:tcMar>
            <w:vAlign w:val="center"/>
          </w:tcPr>
          <w:p>
            <w:pPr>
              <w:pStyle w:val="TableContents"/>
              <w:bidi w:val="0"/>
              <w:spacing w:before="0" w:after="283"/>
              <w:jc w:val="right"/>
              <w:rPr/>
            </w:pPr>
            <w:r>
              <w:rPr/>
              <w:t>836,038</w:t>
            </w:r>
          </w:p>
        </w:tc>
        <w:tc>
          <w:tcPr>
            <w:tcW w:w="17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entirely of common shares authorized for issuance under the 2010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2"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Reflects the maximum number of shares that may be issued pursuant to all outstanding performance share awards, as adjusted in connection with the June 2022 3-for-1 stock split.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3"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None of the outstanding awards granted under the equity incentive plan described in the table above have an exercise price.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4"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ROT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3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REPORT OF THE 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assists the Board of Directors in fulfilling its oversight responsibilities with respect to the integrity of our consolidated financial statements, our compliance with legal and regulatory requirements, the qualifications, independence and performance of our independent auditors, our systems of internal controls over financial reporting established by management and the Board, and our auditing, accounting, and financial reporting processes generally.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Among other things, the Audit Committee contracts with the independent auditors to audit our financial statements; inquires as to the independence of the auditors, and obtains at least annually the auditors’ written statement describing their independent status; meets with the independent auditors, with and without management present, to discuss their examination, their evaluation of our internal controls, and the overall quality of our financial reporting; and investigates any matter brought to its attention within the scope of its duties, with the power to retain outside counsel for this purpose, as deemed necessary by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 preparation and filing of our 2024 Annual Report: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reviewed and discussed with management and the independent auditors our audited consolidated financial statements for the year ended December 31, 2024, and reports on the effectiveness of internal controls over financial reporting contained in our 2024 Annual Report, including a discussion of the reasonableness of significant judgements and the clarity of disclosures in the consolidated financial statements.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5"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discussed with the independent auditors the matters required to be discussed by the applicable requirements of the Public Company Accounting Oversight Board (“PCAOB”) and the SEC.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6"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discussed with the independent auditors the auditors’ independence and received the written disclosures and the letter from the independent auditors as required by applicable requirements of the PCAOB regarding the independent auditors’ communications with the Audit Committee regarding independence.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7"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the review and discussions referred to above, the Audit Committee recommended to the Board of Directors that the audited consolidated financial statements be included in the 2024 Annual Report on Form 10-K. The Audit Committee also has appointed, and requested stockholder ratification of the appointment of, Grant Thornton LLP, as the Company’s independent registered public accounting firm for the fiscal year ending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Submitted by the Audit Committee: George R. Brokaw, Chairman, R. Blakeslee Gable and Christopher W. Haga.</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2R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RATIFICATION OF APPOINTMENT OF INDEPENDENT REGISTERED PUBLIC ACCOUNTING FIRM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OUR BOARD RECOMMENDS THAT YOU VOTE “FOR” THIS PROPOSAL. IF NOT OTHERWISE SPECIFIED, PROXIES WILL BE VOTED “FOR” APPROVAL OF THIS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Ratification of Independent Registered Public Accounting Firm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selected Grant Thornton LLP (“Grant Thornton”) to serve as the independent registered public accounting firm of the Company for the fiscal year ending December 31, 2025. Grant Thornton was appointed as the Company’s independent registered public accounting firm on March 2, 2012.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Representatives of Grant Thornton are required to be present at the Annual Meeting, will have the opportunity to make a statement if they desire to do so, and are expected to be available to respond to appropriate questions.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ratification by our stockholders is not a prerequisite to the power of the Audit Committee to appoint Grant Thornton as our independent registered public accounting firm, our Board and the Audit Committee believe such ratification to be advisable and in the best interest of the company. Accordingly, stockholders are being requested to ratify, confirm, and approve the appointment of Grant Thornton as our independent registered public accounting firm to conduct the annual audit of our consolidated financial statements and internal control over financial reporting for the year ending December 31, 2025. If the stockholders do not ratify the appointment of Grant Thornton, the appointment of an independent registered public accounting firm will be reconsidered by the Audit Committee; however, the Audit Committee has no obligation to change its appointment based on stockholder ratification. If the appointment of Grant Thornton is ratified, the Audit Committee will continue to conduct an ongoing review of Grant Thornton’s scope of engagement, pricing and work quality, among other factors, and will retain the right to replace Grant Thornton at any time. This proposal will be approved if the number of votes cast “for” the proposal exceed the number of votes cast “against” the proposal. Abstentions are not considered votes vast for the foregoing purpose, and will have no effect on the outcome of this proposal. Shares represented by validly-executed proxies on proxy cards will be voted, if specific instructions are not otherwise given, for the ratification of Grant Thornton as our independent registered public accounting firm.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Board recommends a vote “FOR” the ratification of Grant Thornton as our independent registered public accounting firm.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Auditor Fees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represents aggregate fees paid to Grant Thornton pertaining to fiscal years 2024 and 2023, by category as described in the notes to the table. All fees were pre-approved by the Audit Committee.</w:t>
      </w:r>
      <w:r>
        <w:rPr>
          <w:rFonts w:ascii="Arial;Helvetica;sans-serif" w:hAnsi="Arial;Helvetica;sans-serif"/>
          <w:b w:val="false"/>
          <w:i w:val="false"/>
          <w:caps w:val="false"/>
          <w:smallCaps w:val="false"/>
          <w:color w:val="000000"/>
          <w:spacing w:val="4"/>
          <w:sz w:val="20"/>
        </w:rPr>
        <w:t xml:space="preserve"> </w:t>
      </w:r>
    </w:p>
    <w:tbl>
      <w:tblPr>
        <w:tblW w:w="5576" w:type="dxa"/>
        <w:jc w:val="left"/>
        <w:tblInd w:w="1393" w:type="dxa"/>
        <w:tblLayout w:type="fixed"/>
        <w:tblCellMar>
          <w:top w:w="0" w:type="dxa"/>
          <w:left w:w="0" w:type="dxa"/>
          <w:bottom w:w="28" w:type="dxa"/>
          <w:right w:w="0" w:type="dxa"/>
        </w:tblCellMar>
      </w:tblPr>
      <w:tblGrid>
        <w:gridCol w:w="2146"/>
        <w:gridCol w:w="109"/>
        <w:gridCol w:w="109"/>
        <w:gridCol w:w="109"/>
        <w:gridCol w:w="226"/>
        <w:gridCol w:w="1066"/>
        <w:gridCol w:w="109"/>
        <w:gridCol w:w="109"/>
        <w:gridCol w:w="109"/>
        <w:gridCol w:w="109"/>
        <w:gridCol w:w="226"/>
        <w:gridCol w:w="886"/>
        <w:gridCol w:w="109"/>
        <w:gridCol w:w="154"/>
      </w:tblGrid>
      <w:tr>
        <w:trPr/>
        <w:tc>
          <w:tcPr>
            <w:tcW w:w="21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pPr>
            <w:r>
              <w:rPr>
                <w:spacing w:val="-2"/>
              </w:rPr>
              <w:t>Audit Fees</w:t>
            </w:r>
            <w:r>
              <w:rPr>
                <w:spacing w:val="-1"/>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610,488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578,173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tcMar>
              <w:bottom w:w="0" w:type="dxa"/>
            </w:tcMar>
            <w:vAlign w:val="center"/>
          </w:tcPr>
          <w:p>
            <w:pPr>
              <w:pStyle w:val="TableContents"/>
              <w:bidi w:val="0"/>
              <w:spacing w:before="0" w:after="0"/>
              <w:jc w:val="left"/>
              <w:rPr/>
            </w:pPr>
            <w:r>
              <w:rPr>
                <w:spacing w:val="-2"/>
              </w:rPr>
              <w:t>Audit-Related Fees</w:t>
            </w:r>
            <w:r>
              <w:rPr>
                <w:spacing w:val="-1"/>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323,400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141,750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pPr>
            <w:r>
              <w:rPr>
                <w:spacing w:val="-2"/>
              </w:rPr>
              <w:t>Tax Fees</w:t>
            </w:r>
            <w:r>
              <w:rPr>
                <w:spacing w:val="-1"/>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178,421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205,108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1,112,309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925,031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Aggregate fees incurred for professional services rendered by Grant Thornton for the audit of our annual consolidated financial statements, review of interim consolidated financial statements included in our Quarterly Reports on Form 10-Q and other services normally provided in connection with our statutory and regulatory filings or engagements by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8"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44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audit-related fees incurred in 2024 and 2023 included fees related to property acquisitions and equity offerings.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254000" cy="350520"/>
                <wp:effectExtent l="0" t="0" r="0" b="0"/>
                <wp:wrapSquare wrapText="right"/>
                <wp:docPr id="229"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Aggregate fees incurred for professional services rendered by Grant Thornton for tax compliance, tax advice, and tax planning, including preparation of tax forms, including federal and state income tax returns, and income tax consulting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0"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Pre-approval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has adopted a Pre-Approval Policy (the “Pre-Approval Policy”) governing the pre-approval of all audit and non-audit services performed by the independent auditor in order to ensure that the performance of such services does not impair the auditor’s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According to the Pre-Approval Policy, the Audit Committee will annually review and pre-approve the audit services that may be provided by the independent auditor and the fees to be paid for those services during the following year, and may from time-to-time review and pre-approve audit-related services, tax services and all other services to be provided by the independent auditor. The term of any pre-approval is twelve months from the date of pre-approval, unless the Audit Committee specifically provides for a different period. For pre-approval, the Audit Committee will consider whether the service is consistent with the SEC’s rules on auditor independence, as well as whether the independent auditor is in the best position to provide the service for reasons such as its familiarity with our business, people, culture, accounting system, risk profile and other factors. All such factors will be considered as a whole, with no single factor being determinative.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fiscal years ended December 31, 2024 and 2023, the Audit Committee pre-approved 100% of services described above in the captions Audit Related Fees, Tax Fees and All Other Fees. For the fiscal year ended December 31, 2024, less than 50% of the hours expended on Grant Thornton’s engagement to audit our financial statements were attributed to work performed by persons other than full-time, permanent employees of Grant Thornton.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may delegate pre-approval authority to one or more of its members. The member or members to whom such authority is delegated will report any pre-approval decisions to the Audit Committee at its next scheduled meeting. The Audit Committee does not delegate its responsibilities to pre-approve services performed by the independent auditor to management.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Pre-approval fee levels or budgeted amounts for all services to be provided by the independent auditor will be established periodically by the Audit Committee. Any proposed services exceeding these levels will require separate pre-approval by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Requests or applications to provide services that require pre-approval by the Audit Committee will be submitted to the Audit Committee by both the independent auditor and the Company’s CFO and must include (1) a joint statement as to whether, in their view, the request or application is consistent with the SEC’s rules on auditor independence, and (2) with respect to each proposed pre-approved service, detailed back-up documentation regarding the specific service to be provided. Requests or applications for services to be provided by the independent auditor that do not require separate approval by the Audit Committee will be submitted to the Company’s CFO and will include a description of the services to be rendered. The Company’s CFO will determine whether such services are included within the list of services that have previously received the pre-approval of the Audit Committee. The Audit Committee will be informed on a timely basis of any such services rendered by the independent auditor.</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3AV"/>
      <w:bookmarkEnd w:id="22"/>
      <w:r>
        <w:rPr>
          <w:rFonts w:ascii="calibri;arial;sans-serif" w:hAnsi="calibri;arial;sans-serif"/>
          <w:b w:val="false"/>
          <w:i w:val="false"/>
          <w:caps w:val="false"/>
          <w:smallCaps w:val="false"/>
          <w:color w:val="000000"/>
          <w:sz w:val="16"/>
        </w:rPr>
        <w:t>​</w:t>
      </w:r>
      <w:bookmarkStart w:id="23" w:name="tOTMA"/>
      <w:bookmarkEnd w:id="23"/>
      <w:r>
        <w:rPr>
          <w:rFonts w:ascii="calibri;arial;sans-serif" w:hAnsi="calibri;arial;sans-serif"/>
          <w:b w:val="false"/>
          <w:i w:val="false"/>
          <w:caps w:val="false"/>
          <w:smallCaps w:val="false"/>
          <w:color w:val="000000"/>
          <w:sz w:val="16"/>
        </w:rPr>
        <w:t>​</w:t>
      </w:r>
      <w:bookmarkStart w:id="24" w:name="tDS1R"/>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3: ADVISORY VOTE TO APPROVE EXECUTIVE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OUR BOARD RECOMMENDS THAT YOU VOTE “FOR” THIS PROPOSAL. IF NOT OTHERWISE SPECIFIED, PROXIES WILL BE VOTED “FOR” APPROVAL OF THIS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Section 14A of the Exchange Act, we are providing our stockholders with an opportunity to vote, on a non-binding advisory basis, to approve the compensation of our NEOs as disclosed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described in detail under the heading “Compensation Discussion and Analysis,” our executive compensation programs are designed to attract and retain our NEOs, motivate them to perform to their fullest potential, and align their interests with the interests of our stockholders. Under these programs, our NEOs are rewarded for the achievement of specific annual, long-term and strategic and corporate goals. Please read the Compensation Discussion and Analysis for additional details about our executive compensation programs and policies, including information about the fiscal 2024 compensation of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continually reviews the compensation programs for our NEOs to ensure they achieve the desired goals of aligning our executive compensation structure with our stockholders’ interests and current market practices. We are asking our stockholders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will ask our stockholders to vote for the following resolution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RESOLVED, that the Company’s stockholders approve, on an advisory basis, the compensation of the named executive officers, as disclosed in the Company’s Proxy Statement for the 2025 Annual Meeting of Stockholders pursuant to the rules and regulations of the Securities and Exchange Commission, including the Compensation Discussion and Analysis, the Summary Compensation Table and the related tables and disclosure.”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While this vote is advisory, and therefore binding on neither the Company, the Compensation Committee nor our Board, we value the opinions of our stockholders and will consider those opinions and the vote outcome when making future compensation decisions for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Board recommends a vote “FOR” the approval of our executive compensation program.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of Directors does not intend to bring any other matters before the Annual Meeting and is not aware of any other matters that will or may be properly presented at the Annual Meeting by others. Unless the date of the Annual Meeting is postponed by more than 30 days from the prior year’s annual meeting of stockholders, the deadline under our Bylaws for any stockholder proposal not discussed in this proxy statement to be properly presented at the Annual Meeting has passed. If any other matters are properly brought before the Annual Meeting, however, the persons named in the accompanying proxy card will vote on such other matters in their best judgment with respect to the shares for which we have received proxies.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DELINQUENT SECTION 16(a) REPORTS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Section 16(a) of the Exchange Act requires directors, executive officers, and persons who beneficially own more than 10% of our common stock to file with the SEC and NYSE initial reports of beneficial ownership and reports of changes in beneficial ownership of our common stock. Directors, executive officers, and beneficial owners of more than 10% of our common stock are required by SEC rules to furnish us with copies of all such reports. To our knowledge, based solely upon a review of the copies of such reports furnished to us and written representations from directors and executive officers that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PAD"/>
      <w:bookmarkEnd w:id="25"/>
      <w:r>
        <w:rPr>
          <w:rFonts w:ascii="calibri;arial;sans-serif" w:hAnsi="calibri;arial;sans-serif"/>
          <w:b w:val="false"/>
          <w:i w:val="false"/>
          <w:caps w:val="false"/>
          <w:smallCaps w:val="false"/>
          <w:color w:val="000000"/>
          <w:sz w:val="16"/>
        </w:rPr>
        <w:t>​</w:t>
      </w:r>
      <w:bookmarkStart w:id="26" w:name="tANRE"/>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60"/>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reports were required, we believe that all reports required under Section 16(a) were timely filed during the fiscal year ended December 31, 2024, with the exception of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Form 4 filed on January 12, 2024, pertaining to Mr. Haga’s receipt on January 2, 2024, of 903 shares of common stock in lieu of his 4</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quarter 2023 board retainer fee of $10,000 and committee retainer fees of $5,625 pursuant to the Company’s Non-Employee Director Compensation Policy.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PROPOSALS AND DIRECTOR CANDIDATE NOMINATIONS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Inclusion of Proposals in our Proxy Statement and Proxy Card under the SEC Rules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are hereby notified that if they wish a proposal to be included in our proxy statement and form of proxy relating to the 2026 annual meeting of stockholders, a written copy of their proposal must be received at our principal executive offices no later than December 29, 2025. Proposals must comply with Regulation 14A under the Exchange Act relating to stockholder proposals in order to be included in our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Advance Notice Requirements for Stockholder Submission of Nominations and Proposals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Required Timing.</w:t>
      </w:r>
      <w:r>
        <w:rPr>
          <w:rFonts w:ascii="Arial;Helvetica;sans-serif" w:hAnsi="Arial;Helvetica;sans-serif"/>
          <w:b w:val="false"/>
          <w:i w:val="false"/>
          <w:caps w:val="false"/>
          <w:smallCaps w:val="false"/>
          <w:color w:val="000000"/>
          <w:spacing w:val="-2"/>
          <w:sz w:val="20"/>
        </w:rPr>
        <w:t>   In addition, our Bylaws provide that, for any stockholder proposal or director nomination to be properly presented at the 2026 annual meeting of stockholders, whether or not also submitted for inclusion in our proxy statement, we must receive written notice of the matter not less than 150 days nor more than 210 days prior to the first anniversary of the date of the Annual Meeting. Thus, to be timely, the written notice of a stockholder’s intent to make a nomination for election as a director or to bring any other matter before the 2026 annual meeting of stockholders must be received by our Corporate Secretary at 369 N. New York Avenue, Suite 201, Winter Park, Florida 32789 no earlier than November 20, 2025, and no later than January 19, 2026. Such notice must comply with the advance notice provisions and other requirements of Section 11 of Article II of our Third Amended and Restated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Bylaws. Further, any proxy granted with respect to the 2026 annual meeting of stockholders will confer on management discretionary authority to vote with respect to a stockholder proposal or director nomination if notice of such proposal or nomination is not received by our Corporate Secretary within the timeframe provided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copy of our Third Amended and Restated Bylaws is available as an exhibit to a current report on Form 8-K we filed with the SEC on February 17, 2023. A nomination or proposal that does not supply adequate information about the nominee or proposal, and the stockholder making the nomination or proposal, will be disregarded.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comply with the universal proxy rules, stockholders who intend to solicit proxies in support of director nominees other than Company nominees must provide notice that sets forth the information required by Rule 14a-19 under the Exchange Act no later than April 19,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ANNUAL REPORT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Our Annual Report to Stockholders for the fiscal year ended December 31, 2024, together with this proxy statement, have been made available to the Company’s stockholders at www.edocumentview.com/CTO. </w:t>
      </w:r>
      <w:r>
        <w:rPr>
          <w:rFonts w:ascii="Arial;Helvetica;sans-serif" w:hAnsi="Arial;Helvetica;sans-serif"/>
          <w:b/>
          <w:i w:val="false"/>
          <w:caps w:val="false"/>
          <w:smallCaps w:val="false"/>
          <w:color w:val="000000"/>
          <w:spacing w:val="0"/>
          <w:sz w:val="20"/>
        </w:rPr>
        <w:t>Paper copies may be obtained free of charge upon written request to our Corporate Secretary at 369 N. New York Avenue, Suite 201, Winter Park, Florida 32789</w:t>
      </w:r>
      <w:r>
        <w:rPr>
          <w:rFonts w:ascii="Arial;Helvetica;sans-serif" w:hAnsi="Arial;Helvetica;sans-serif"/>
          <w:b w:val="false"/>
          <w:i w:val="false"/>
          <w:caps w:val="false"/>
          <w:smallCaps w:val="false"/>
          <w:color w:val="000000"/>
          <w:spacing w:val="-2"/>
          <w:sz w:val="20"/>
        </w:rPr>
        <w:t>. Our 2024 Annual Report and proxy statement are also available on our website at www.ctoreit.com.</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AP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46"/>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u w:val="single"/>
        </w:rPr>
        <w:t>APPENDIX 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Non-GAAP Reconciliation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includes certain financial performance measures not defined by generally accepted accounting principles in the United States (“GAAP”). Reconciliations of these non-GAAP financial measures to the most directly comparable GAAP measures are included in this Appendix A. We believe these non-GAAP financial measures are useful to investors because they are widely accepted industry measures used by analysts and investors to compare the operating performance of REITs. Our definitions and calculations of these non-GAAP measures may not be comparable to similarly titled measures employed by other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These non-GAAP financial measures do not represent cash generated from operating activities and are not necessarily indicative of cash available to fund cash requirements; accordingly, they should not be considered alternatives to net income as a performance measure or cash flows from operating activities as a liquidity measure and should be considered in addition to, and not in lieu of, GAAP financial measures.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SAME PROPERTY NOI</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derive same-property net operating income (“Same-Property NOI”),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implementation of current expected credit losses on commercial loans and investments at the time of origination, including the pro rata share of such adjustments of unconsolidated subsidiaries, non-cash revenues and expenses such as straight-line rental revenue, amortization of deferred financing costs, above- and below-market lease related intangibles, non-cash compensation, other non-recurring items such as termination fees, forfeitures of tenant security deposits, and certain adjustments to reconciliation estimates related to reimbursable revenue for recently acquired properties, and other non-cash income or expense. Interest expense, general and administrative expenses, investment and other income or loss, income tax benefit or expense, real estate operations revenues and direct cost of revenues, management fee income, and interest income from commercial loans and investments are also excluded from Same-Property NOI. GAAP net income or loss is further adjusted to remove the impact of properties that were not owned for the full current and prior year reporting periods presented. Cash rental income received under the leases pertaining to the Company’s assets that are presented as commercial loans and investments in accordance with GAAP is also used in lieu of the interest income equivalent.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use Same-Property NOI to compare the operating performance of our assets between periods. It is an accepted and important measurement used by management, investors and analysts because it includes all property-level revenues from the Company’s properties, less operating and maintenance expenses, real estate taxes and other property-specific expenses (“Net Operating Income” or “NOI”) of properties that have been owned and stabilized for the entire current and prior year reporting periods. Same-Property NOI attempts to eliminate differences due to the acquisition or disposition of properties during the particular period presented, and therefore provides a more comparable and consistent performance measure for the comparison of the Company’s properties. Same-Property NOI may not be comparable to similarly titled measures employed by other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CTO Realty Growth, Inc. </w:t>
        <w:br/>
        <w:t xml:space="preserve">Non-GAAP Financial Measures </w:t>
        <w:br/>
        <w:t>Same-Property NOI Reconciliation</w:t>
      </w:r>
      <w:r>
        <w:rPr>
          <w:rFonts w:ascii="Arial;Helvetica;sans-serif" w:hAnsi="Arial;Helvetica;sans-serif"/>
          <w:b/>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 xml:space="preserve">(Unaudited) </w:t>
        <w:br/>
        <w:t>(In thousands)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52"/>
        <w:gridCol w:w="109"/>
        <w:gridCol w:w="109"/>
        <w:gridCol w:w="125"/>
        <w:gridCol w:w="260"/>
        <w:gridCol w:w="972"/>
        <w:gridCol w:w="126"/>
        <w:gridCol w:w="109"/>
        <w:gridCol w:w="109"/>
        <w:gridCol w:w="132"/>
        <w:gridCol w:w="277"/>
        <w:gridCol w:w="939"/>
        <w:gridCol w:w="134"/>
        <w:gridCol w:w="159"/>
      </w:tblGrid>
      <w:tr>
        <w:trPr/>
        <w:tc>
          <w:tcPr>
            <w:tcW w:w="52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3"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Year Ended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2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December 31,</w:t>
            </w:r>
            <w:r>
              <w:rPr/>
              <w:t xml:space="preserve"> </w:t>
              <w:br/>
            </w: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2"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December 31,</w:t>
            </w:r>
            <w:r>
              <w:rPr/>
              <w:t xml:space="preserve"> </w:t>
              <w:br/>
            </w:r>
            <w:r>
              <w:rPr>
                <w:spacing w:val="-2"/>
              </w:rPr>
              <w:t xml:space="preserve">2023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jc w:val="left"/>
              <w:rPr>
                <w:spacing w:val="-2"/>
              </w:rPr>
            </w:pPr>
            <w:r>
              <w:rPr>
                <w:spacing w:val="-2"/>
              </w:rPr>
              <w:t xml:space="preserve">Net Income (Loss) Attributable to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(1,965)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5,530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Gain on Disposition of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(8,308)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(7,543)</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Provision for Impairment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676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1,556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65,049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44,173</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Amortization of Intangibles to Lease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254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(2,303)</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Straight-Line Rent Adjustment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1,681</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1,159</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COVID-19 Rent Repayments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Accretion of Tenant Contribution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52</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128</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22,521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22,359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16,269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14,249</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Investment and 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(2,606)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(1,987)</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(339)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604</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Real Estate Operations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(1,981)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(3,984)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Real Estate Operations Direct Cost of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1,437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1,723</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Management Fee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(4,590)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(4,388)</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from Commercial Loans and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972" w:type="dxa"/>
            <w:tcBorders/>
            <w:tcMar>
              <w:bottom w:w="0" w:type="dxa"/>
            </w:tcMar>
            <w:vAlign w:val="center"/>
          </w:tcPr>
          <w:p>
            <w:pPr>
              <w:pStyle w:val="TableContents"/>
              <w:bidi w:val="0"/>
              <w:spacing w:before="0" w:after="283"/>
              <w:jc w:val="right"/>
              <w:rPr/>
            </w:pPr>
            <w:r>
              <w:rPr/>
              <w:t>(7,357)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(4,084)</w:t>
            </w:r>
          </w:p>
        </w:tc>
        <w:tc>
          <w:tcPr>
            <w:tcW w:w="13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ind w:left="200" w:right="0" w:hanging="0"/>
              <w:jc w:val="left"/>
              <w:rPr/>
            </w:pPr>
            <w:r>
              <w:rPr>
                <w:spacing w:val="-2"/>
              </w:rPr>
              <w:t>Other Non-Recurring Items</w:t>
            </w:r>
            <w:r>
              <w:rPr>
                <w:spacing w:val="-1"/>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972" w:type="dxa"/>
            <w:tcBorders/>
            <w:shd w:fill="CCEEFF" w:val="clear"/>
            <w:tcMar>
              <w:bottom w:w="0" w:type="dxa"/>
            </w:tcMar>
            <w:vAlign w:val="center"/>
          </w:tcPr>
          <w:p>
            <w:pPr>
              <w:pStyle w:val="TableContents"/>
              <w:bidi w:val="0"/>
              <w:spacing w:before="0" w:after="283"/>
              <w:jc w:val="right"/>
              <w:rPr/>
            </w:pPr>
            <w:r>
              <w:rPr/>
              <w:t>(1,507)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252"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Less: Impact of Properties Not Owned for the Full Reporting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260" w:type="dxa"/>
            <w:tcBorders>
              <w:bottom w:val="single" w:sz="2" w:space="0" w:color="000000"/>
            </w:tcBorders>
            <w:tcMar>
              <w:bottom w:w="50" w:type="dxa"/>
            </w:tcMar>
            <w:vAlign w:val="center"/>
          </w:tcPr>
          <w:p>
            <w:pPr>
              <w:pStyle w:val="TableContents"/>
              <w:bidi w:val="0"/>
              <w:spacing w:before="0" w:after="283"/>
              <w:jc w:val="right"/>
              <w:rPr/>
            </w:pPr>
            <w:r>
              <w:rPr/>
              <w:t>​</w:t>
            </w:r>
          </w:p>
        </w:tc>
        <w:tc>
          <w:tcPr>
            <w:tcW w:w="972" w:type="dxa"/>
            <w:tcBorders>
              <w:bottom w:val="single" w:sz="2" w:space="0" w:color="000000"/>
            </w:tcBorders>
            <w:tcMar>
              <w:bottom w:w="50" w:type="dxa"/>
            </w:tcMar>
            <w:vAlign w:val="center"/>
          </w:tcPr>
          <w:p>
            <w:pPr>
              <w:pStyle w:val="TableContents"/>
              <w:bidi w:val="0"/>
              <w:spacing w:before="0" w:after="283"/>
              <w:jc w:val="right"/>
              <w:rPr/>
            </w:pPr>
            <w:r>
              <w:rPr/>
              <w:t>(18,845)</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277" w:type="dxa"/>
            <w:tcBorders>
              <w:bottom w:val="single" w:sz="2" w:space="0" w:color="000000"/>
            </w:tcBorders>
            <w:tcMar>
              <w:bottom w:w="50" w:type="dxa"/>
            </w:tcMar>
            <w:vAlign w:val="center"/>
          </w:tcPr>
          <w:p>
            <w:pPr>
              <w:pStyle w:val="TableContents"/>
              <w:bidi w:val="0"/>
              <w:spacing w:before="0" w:after="283"/>
              <w:jc w:val="right"/>
              <w:rPr/>
            </w:pPr>
            <w:r>
              <w:rPr/>
              <w:t>​</w:t>
            </w:r>
          </w:p>
        </w:tc>
        <w:tc>
          <w:tcPr>
            <w:tcW w:w="939" w:type="dxa"/>
            <w:tcBorders>
              <w:bottom w:val="single" w:sz="2" w:space="0" w:color="000000"/>
            </w:tcBorders>
            <w:tcMar>
              <w:bottom w:w="50" w:type="dxa"/>
            </w:tcMar>
            <w:vAlign w:val="center"/>
          </w:tcPr>
          <w:p>
            <w:pPr>
              <w:pStyle w:val="TableContents"/>
              <w:bidi w:val="0"/>
              <w:spacing w:before="0" w:after="283"/>
              <w:jc w:val="right"/>
              <w:rPr/>
            </w:pPr>
            <w:r>
              <w:rPr/>
              <w:t>(9,023)</w:t>
            </w:r>
          </w:p>
        </w:tc>
        <w:tc>
          <w:tcPr>
            <w:tcW w:w="134"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252" w:type="dxa"/>
            <w:tcBorders/>
            <w:shd w:fill="CCEEFF" w:val="clear"/>
            <w:tcMar>
              <w:bottom w:w="0" w:type="dxa"/>
            </w:tcMar>
            <w:vAlign w:val="center"/>
          </w:tcPr>
          <w:p>
            <w:pPr>
              <w:pStyle w:val="TableContents"/>
              <w:bidi w:val="0"/>
              <w:spacing w:before="0" w:after="0"/>
              <w:jc w:val="left"/>
              <w:rPr>
                <w:spacing w:val="-2"/>
              </w:rPr>
            </w:pPr>
            <w:r>
              <w:rPr>
                <w:spacing w:val="-2"/>
              </w:rPr>
              <w:t xml:space="preserve">Same-Property NOI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72" w:type="dxa"/>
            <w:tcBorders>
              <w:bottom w:val="double" w:sz="8" w:space="0" w:color="000000"/>
            </w:tcBorders>
            <w:shd w:fill="CCEEFF" w:val="clear"/>
            <w:tcMar>
              <w:bottom w:w="50" w:type="dxa"/>
            </w:tcMar>
            <w:vAlign w:val="center"/>
          </w:tcPr>
          <w:p>
            <w:pPr>
              <w:pStyle w:val="TableContents"/>
              <w:bidi w:val="0"/>
              <w:spacing w:before="0" w:after="283"/>
              <w:jc w:val="right"/>
              <w:rPr/>
            </w:pPr>
            <w:r>
              <w:rPr/>
              <w:t>60,441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39" w:type="dxa"/>
            <w:tcBorders>
              <w:bottom w:val="double" w:sz="8" w:space="0" w:color="000000"/>
            </w:tcBorders>
            <w:shd w:fill="CCEEFF" w:val="clear"/>
            <w:tcMar>
              <w:bottom w:w="50" w:type="dxa"/>
            </w:tcMar>
            <w:vAlign w:val="center"/>
          </w:tcPr>
          <w:p>
            <w:pPr>
              <w:pStyle w:val="TableContents"/>
              <w:bidi w:val="0"/>
              <w:spacing w:before="0" w:after="283"/>
              <w:jc w:val="right"/>
              <w:rPr/>
            </w:pPr>
            <w:r>
              <w:rPr/>
              <w:t>58,123</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2"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non-recurring items including termination fee, forfeitures of tenant security deposits, and certain adjustments to estimates related to recently acquired property CAM reconciliations.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922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2"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 FORMA ADJUSTED EBITDA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derive Pro Forma Adjusted Earnings Before Interest, Taxes, Depreciation and Amortization (“Pro Forma Adjusted EBITDA”),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implementation of current expected credit losses on commercial loans and investments at the time of origination, including the pro rata share of such adjustments of unconsolidated subsidiaries, non-cash revenues and expenses such as straight-line rental revenue, amortization of deferred financing costs, above- and below-market lease related intangibles, non-cash compensation, other non-recurring items such as termination fees, forfeitures of tenant security deposits, and certain adjustments to reconciliation estimates related to reimbursable revenue for recently acquired properties, and other non-cash income or expense.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Cash interest expense is also excluded from Pro Forma Adjusted EBITDA, and GAAP net income or loss is adjusted for the annualized impact of acquisitions, dispositions and other similar activities.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that Pro Forma Adjusted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Pro Forma Adjusted EBITDA may not be comparable to similarly titled measures employed by other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CTO Realty Growth, Inc. </w:t>
        <w:br/>
        <w:t xml:space="preserve">Non-GAAP Financial Measures </w:t>
        <w:br/>
        <w:t>Reconciliation of Net Debt Plus Preferred to Pro Forma Adjusted EBITDA</w:t>
      </w:r>
      <w:r>
        <w:rPr>
          <w:rFonts w:ascii="Arial;Helvetica;sans-serif" w:hAnsi="Arial;Helvetica;sans-serif"/>
          <w:b/>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 xml:space="preserve">(Unaudited) </w:t>
        <w:br/>
        <w:t>(In thousands)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953"/>
        <w:gridCol w:w="109"/>
        <w:gridCol w:w="109"/>
        <w:gridCol w:w="121"/>
        <w:gridCol w:w="251"/>
        <w:gridCol w:w="989"/>
        <w:gridCol w:w="123"/>
        <w:gridCol w:w="157"/>
      </w:tblGrid>
      <w:tr>
        <w:trPr/>
        <w:tc>
          <w:tcPr>
            <w:tcW w:w="6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Three Months </w:t>
              <w:br/>
              <w:t xml:space="preserve">Ended </w:t>
              <w:br/>
              <w:t>December 31,</w:t>
            </w:r>
            <w:r>
              <w:rPr/>
              <w:t xml:space="preserve"> </w:t>
              <w:br/>
            </w:r>
            <w:r>
              <w:rPr>
                <w:spacing w:val="-2"/>
              </w:rPr>
              <w:t xml:space="preserve">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jc w:val="left"/>
              <w:rPr>
                <w:spacing w:val="-2"/>
              </w:rPr>
            </w:pPr>
            <w:r>
              <w:rPr>
                <w:spacing w:val="-2"/>
              </w:rPr>
              <w:t xml:space="preserve">Net Loss Attributable to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(15,217)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and Amortization of Real Estate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29,331</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Gain on Disposition of Other Assets, Net 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(354)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Provision for Impairment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23</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Unrealized Gain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3,331</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Distributions to Preferred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(1,878)</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Amortization of Intangibles to Lease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(1,084)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Straight-Line Rent Adjustment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(169)</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Other 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(3)</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Amortization of Loan Costs &amp; Discount on Convertible Debt &amp; Capitalized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203</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Non-Cash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750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pPr>
            <w:r>
              <w:rPr>
                <w:spacing w:val="-2"/>
              </w:rPr>
              <w:t>Other Non-Recurring Items</w:t>
            </w:r>
            <w:r>
              <w:rPr>
                <w:spacing w:val="-1"/>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(255)</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Interest Expense, Net of Amortization of Loan Costs and Discount on Convertible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89" w:type="dxa"/>
            <w:tcBorders>
              <w:bottom w:val="single" w:sz="2" w:space="0" w:color="000000"/>
            </w:tcBorders>
            <w:shd w:fill="CCEEFF" w:val="clear"/>
            <w:tcMar>
              <w:bottom w:w="37" w:type="dxa"/>
            </w:tcMar>
            <w:vAlign w:val="center"/>
          </w:tcPr>
          <w:p>
            <w:pPr>
              <w:pStyle w:val="TableContents"/>
              <w:bidi w:val="0"/>
              <w:spacing w:before="0" w:after="283"/>
              <w:jc w:val="right"/>
              <w:rPr/>
            </w:pPr>
            <w:r>
              <w:rPr/>
              <w:t>5,440</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jc w:val="left"/>
              <w:rPr>
                <w:spacing w:val="-2"/>
              </w:rPr>
            </w:pPr>
            <w:r>
              <w:rPr>
                <w:spacing w:val="-2"/>
              </w:rPr>
              <w:t xml:space="preserve">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989" w:type="dxa"/>
            <w:tcBorders>
              <w:bottom w:val="double" w:sz="8" w:space="0" w:color="000000"/>
            </w:tcBorders>
            <w:tcMar>
              <w:bottom w:w="50" w:type="dxa"/>
            </w:tcMar>
            <w:vAlign w:val="center"/>
          </w:tcPr>
          <w:p>
            <w:pPr>
              <w:pStyle w:val="TableContents"/>
              <w:bidi w:val="0"/>
              <w:spacing w:before="0" w:after="283"/>
              <w:jc w:val="right"/>
              <w:rPr/>
            </w:pPr>
            <w:r>
              <w:rPr/>
              <w:t>20,118</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jc w:val="left"/>
              <w:rPr>
                <w:spacing w:val="-2"/>
              </w:rPr>
            </w:pPr>
            <w:r>
              <w:rPr>
                <w:spacing w:val="-2"/>
              </w:rPr>
              <w:t xml:space="preserve">Annualized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80,472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400" w:right="0" w:hanging="200"/>
              <w:jc w:val="left"/>
              <w:rPr/>
            </w:pPr>
            <w:r>
              <w:rPr>
                <w:spacing w:val="-2"/>
              </w:rPr>
              <w:t xml:space="preserve">Pro Forma Annualized Impact of Current Quarter Investments and Dispositions, </w:t>
              <w:br/>
              <w:t>Net</w:t>
            </w:r>
            <w:r>
              <w:rPr>
                <w:spacing w:val="-1"/>
                <w:szCs w:val="13"/>
              </w:rPr>
              <w:t>﻿</w:t>
            </w:r>
            <w:r>
              <w:rPr>
                <w:spacing w:val="-1"/>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1,009</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Annualized Preferred Dividends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9" w:type="dxa"/>
            <w:tcBorders>
              <w:bottom w:val="single" w:sz="2" w:space="0" w:color="000000"/>
            </w:tcBorders>
            <w:shd w:fill="CCEEFF" w:val="clear"/>
            <w:tcMar>
              <w:bottom w:w="50" w:type="dxa"/>
            </w:tcMar>
            <w:vAlign w:val="center"/>
          </w:tcPr>
          <w:p>
            <w:pPr>
              <w:pStyle w:val="TableContents"/>
              <w:bidi w:val="0"/>
              <w:spacing w:before="0" w:after="283"/>
              <w:jc w:val="right"/>
              <w:rPr/>
            </w:pPr>
            <w:r>
              <w:rPr/>
              <w:t>7,512</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jc w:val="left"/>
              <w:rPr>
                <w:spacing w:val="-2"/>
              </w:rPr>
            </w:pPr>
            <w:r>
              <w:rPr>
                <w:spacing w:val="-2"/>
              </w:rPr>
              <w:t xml:space="preserve">Pro Forma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989" w:type="dxa"/>
            <w:tcBorders>
              <w:bottom w:val="double" w:sz="8" w:space="0" w:color="000000"/>
            </w:tcBorders>
            <w:tcMar>
              <w:bottom w:w="50" w:type="dxa"/>
            </w:tcMar>
            <w:vAlign w:val="center"/>
          </w:tcPr>
          <w:p>
            <w:pPr>
              <w:pStyle w:val="TableContents"/>
              <w:bidi w:val="0"/>
              <w:spacing w:before="0" w:after="283"/>
              <w:jc w:val="right"/>
              <w:rPr/>
            </w:pPr>
            <w:r>
              <w:rPr/>
              <w:t>88,993</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jc w:val="left"/>
              <w:rPr>
                <w:spacing w:val="-2"/>
              </w:rPr>
            </w:pPr>
            <w:r>
              <w:rPr>
                <w:spacing w:val="-2"/>
              </w:rPr>
              <w:t xml:space="preserve">Total 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518,993</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Financing Costs, Net of Accumulated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1,796</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Unamortized Convertible Debt Discount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ind w:left="200" w:right="0" w:hanging="0"/>
              <w:jc w:val="left"/>
              <w:rPr>
                <w:spacing w:val="-2"/>
              </w:rPr>
            </w:pPr>
            <w:r>
              <w:rPr>
                <w:spacing w:val="-2"/>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(9,017)</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Preferred Outstanding (at par value)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9" w:type="dxa"/>
            <w:tcBorders>
              <w:bottom w:val="single" w:sz="2" w:space="0" w:color="000000"/>
            </w:tcBorders>
            <w:shd w:fill="CCEEFF" w:val="clear"/>
            <w:tcMar>
              <w:bottom w:w="50" w:type="dxa"/>
            </w:tcMar>
            <w:vAlign w:val="center"/>
          </w:tcPr>
          <w:p>
            <w:pPr>
              <w:pStyle w:val="TableContents"/>
              <w:bidi w:val="0"/>
              <w:spacing w:before="0" w:after="283"/>
              <w:jc w:val="right"/>
              <w:rPr/>
            </w:pPr>
            <w:r>
              <w:rPr/>
              <w:t>117,827</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953" w:type="dxa"/>
            <w:tcBorders/>
            <w:tcMar>
              <w:bottom w:w="0" w:type="dxa"/>
            </w:tcMar>
            <w:vAlign w:val="center"/>
          </w:tcPr>
          <w:p>
            <w:pPr>
              <w:pStyle w:val="TableContents"/>
              <w:bidi w:val="0"/>
              <w:spacing w:before="0" w:after="0"/>
              <w:jc w:val="left"/>
              <w:rPr>
                <w:spacing w:val="-2"/>
              </w:rPr>
            </w:pPr>
            <w:r>
              <w:rPr>
                <w:spacing w:val="-2"/>
              </w:rPr>
              <w:t xml:space="preserve">Net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989" w:type="dxa"/>
            <w:tcBorders>
              <w:bottom w:val="double" w:sz="8" w:space="0" w:color="000000"/>
            </w:tcBorders>
            <w:tcMar>
              <w:bottom w:w="50" w:type="dxa"/>
            </w:tcMar>
            <w:vAlign w:val="center"/>
          </w:tcPr>
          <w:p>
            <w:pPr>
              <w:pStyle w:val="TableContents"/>
              <w:bidi w:val="0"/>
              <w:spacing w:before="0" w:after="283"/>
              <w:jc w:val="right"/>
              <w:rPr/>
            </w:pPr>
            <w:r>
              <w:rPr/>
              <w:t>629,644</w:t>
            </w:r>
          </w:p>
        </w:tc>
        <w:tc>
          <w:tcPr>
            <w:tcW w:w="123"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953" w:type="dxa"/>
            <w:tcBorders/>
            <w:shd w:fill="CCEEFF" w:val="clear"/>
            <w:tcMar>
              <w:bottom w:w="0" w:type="dxa"/>
            </w:tcMar>
            <w:vAlign w:val="center"/>
          </w:tcPr>
          <w:p>
            <w:pPr>
              <w:pStyle w:val="TableContents"/>
              <w:bidi w:val="0"/>
              <w:spacing w:before="0" w:after="0"/>
              <w:jc w:val="left"/>
              <w:rPr>
                <w:spacing w:val="-2"/>
              </w:rPr>
            </w:pPr>
            <w:r>
              <w:rPr>
                <w:spacing w:val="-2"/>
              </w:rPr>
              <w:t xml:space="preserve">Net Debt to Pro Forma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9" w:type="dxa"/>
            <w:tcBorders>
              <w:bottom w:val="double" w:sz="8" w:space="0" w:color="000000"/>
            </w:tcBorders>
            <w:shd w:fill="CCEEFF" w:val="clear"/>
            <w:tcMar>
              <w:bottom w:w="50" w:type="dxa"/>
            </w:tcMar>
            <w:vAlign w:val="center"/>
          </w:tcPr>
          <w:p>
            <w:pPr>
              <w:pStyle w:val="TableContents"/>
              <w:bidi w:val="0"/>
              <w:spacing w:before="0" w:after="283"/>
              <w:jc w:val="right"/>
              <w:rPr/>
            </w:pPr>
            <w:r>
              <w:rPr/>
              <w:t>7.1x</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Includes non-recurring items including termination fees, forfeitures of tenant security deposits, and certain adjustments to estimates related to recently acquired property CAM reconciliations.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3"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Reflects the pro forma annualized impact on Annualized Adjusted EBITDA of the Company’s investments and disposition activity during the three months ended December 31, 2024.</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4"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458075" cy="9658350"/>
            <wp:effectExtent l="0" t="0" r="0" b="0"/>
            <wp:docPr id="2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 descr=""/>
                    <pic:cNvPicPr>
                      <a:picLocks noChangeAspect="1" noChangeArrowheads="1"/>
                    </pic:cNvPicPr>
                  </pic:nvPicPr>
                  <pic:blipFill>
                    <a:blip r:embed="rId19"/>
                    <a:stretch>
                      <a:fillRect/>
                    </a:stretch>
                  </pic:blipFill>
                  <pic:spPr bwMode="auto">
                    <a:xfrm>
                      <a:off x="0" y="0"/>
                      <a:ext cx="7458075" cy="96583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0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MMMMMMMMMMMM ENDORSEMENT_LINE SACKPACK 000000000.000000 ext000000000.000000 ext000000000.000000 ext C123456789000000000.000000 ext000000000.000000 ext000000000.000000 ext MR A SAMPLE DESIGNATION (IF ANY) ADD 1ADD 2ADD 3ADD 4ADD 5ADD 6Using a black ink pen, mark your votes with an X as shown in this example. Please do not write outside the designated areas. Your vote matters – here’s how to vote!You may vote online or by phone instead of mailing this card.OnlineGo to www.investorvote.com/CTO or scan the QR code — login details are located in the shaded bar below.PhoneCall toll free 1-800-652-VOTE (8683) within the USA, US territories and CanadaSave paper, time and money! Sign up for electronic delivery at www.investorvote.com/CTO T IF VOTING BY MAIL, SIGN, DETACH AND RETURN THE BOTTOM PORTION IN THE ENCLOSED ENVELOPE.T1.Election of Directors:ForAgainst AbstainForAgainst AbstainForAgainst Abstain 01- Mr. John P. Albright 04 - Ms. Laura M. Franklin 02- Mr. George R. Brokaw 05 - Mr. R. Blakeslee Gable 03- Mr. Christopher J. Drew 06 - Mr. Christopher W. Haga 2.Ratify the appointment of Grant Thornton LLP as our independent registered public accounting firm for fiscal year 2025. ForAgainst AbstainForAgainst Abstain3.Hold an advisory vote to approve executive compensation. 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 MMMMMMM C 1234567890J N T6 2 B M6 5 1 1 7 0 MR A SAMPLE (THIS AREA IS SET UP TO ACCOMMODATE 140 CHARACTERS) MR A SAMPLE AND MR A SAMPLE AND MR A SAMPLE AND MR A SAMPLE AND MR A SAMPLE AND MR A SAMPLE AND MR A SAMPLE AND MR A SAMPLE AND</w:t>
      </w:r>
      <w:r>
        <w:rPr>
          <w:rFonts w:ascii="Arial;Helvetica;sans-serif" w:hAnsi="Arial;Helvetica;sans-serif"/>
          <w:b w:val="false"/>
          <w:i w:val="false"/>
          <w:caps w:val="false"/>
          <w:smallCaps w:val="false"/>
          <w:color w:val="000000"/>
          <w:sz w:val="2"/>
        </w:rPr>
        <w:t>​</w:t>
      </w:r>
      <w:r>
        <w:rPr>
          <w:rFonts w:ascii="Arial;Helvetica;sans-serif" w:hAnsi="Arial;Helvetica;sans-serif"/>
          <w:b w:val="false"/>
          <w:i w:val="false"/>
          <w:caps w:val="false"/>
          <w:smallCaps w:val="false"/>
          <w:color w:val="000000"/>
          <w:spacing w:val="-2"/>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458075" cy="9658350"/>
            <wp:effectExtent l="0" t="0" r="0" b="0"/>
            <wp:docPr id="2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9" descr=""/>
                    <pic:cNvPicPr>
                      <a:picLocks noChangeAspect="1" noChangeArrowheads="1"/>
                    </pic:cNvPicPr>
                  </pic:nvPicPr>
                  <pic:blipFill>
                    <a:blip r:embed="rId20"/>
                    <a:stretch>
                      <a:fillRect/>
                    </a:stretch>
                  </pic:blipFill>
                  <pic:spPr bwMode="auto">
                    <a:xfrm>
                      <a:off x="0" y="0"/>
                      <a:ext cx="7458075" cy="96583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0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2025 Annual Meeting Admission TicketThe 2025 Annual Meeting of Stockholders of CTO Realty Growth, Inc. will be held onJune 18, 2025 at 3:00 p.m. Eastern Time, virtually via the Internet at https://meetnow.global/MQGUDXC.Important notice regarding availability on the Internet of proxy materials for the 2025 Annual Meeting of Stockholders.The materials are available at: www.edocumentview.com/CTOT IF VOTING BY MAIL, SIGN, DETACH AND RETURN THE BOTTOM PORTION IN THE ENCLOSED ENVELOPE.TNotice of Annual Meeting of StockholdersProxy Solicited by Board of Directors for Annual Meeting — June 18, 2025John P. Albright and Laura M. Franklin (the “Proxies”), or each or either of them, with full power of substitution, are hereby authorized to represent and vote the shares of the undersigned, with all the powers which the undersigned would possess if personally present, at the Annual Meeting of Stockholders of CTO Realty Growth, Inc. to be held on June 18, 2025 or at any postponement or adjournment thereof.Shares represented by this proxy will be voted as directed by the stockholder. If no such directions are indicated, the Proxies will have authority to vote FOR the election of the six director nominees and FOR items 2 and 3.In their discretion, the Proxies are authorized to vote upon such other business as may properly come before the meeting.(Items to be voted appear on reverse side)Change of Address — Please print new address below.Comments — Please print your comments below.</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7.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33283</Words>
  <Characters>182139</Characters>
  <CharactersWithSpaces>220808</CharactersWithSpaces>
  <Paragraphs>7350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