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4"/>
          <w:szCs w:val="24"/>
          <w:color w:val="auto"/>
        </w:rPr>
      </w:pPr>
    </w:p>
    <w:p>
      <w:pPr>
        <w:spacing w:after="0" w:line="291" w:lineRule="exact"/>
        <w:rPr>
          <w:sz w:val="24"/>
          <w:szCs w:val="24"/>
          <w:color w:val="auto"/>
        </w:rPr>
      </w:pPr>
    </w:p>
    <w:p>
      <w:pPr>
        <w:jc w:val="center"/>
        <w:ind w:right="-800"/>
        <w:spacing w:after="0"/>
        <w:rPr>
          <w:sz w:val="20"/>
          <w:szCs w:val="20"/>
          <w:color w:val="auto"/>
        </w:rPr>
      </w:pPr>
      <w:r>
        <w:rPr>
          <w:rFonts w:ascii="Arial" w:cs="Arial" w:eastAsia="Arial" w:hAnsi="Arial"/>
          <w:sz w:val="22"/>
          <w:szCs w:val="22"/>
          <w:b w:val="1"/>
          <w:bCs w:val="1"/>
          <w:color w:val="auto"/>
        </w:rPr>
        <w:t>UNITED STATES</w:t>
      </w:r>
    </w:p>
    <w:p>
      <w:pPr>
        <w:spacing w:after="0" w:line="12" w:lineRule="exact"/>
        <w:rPr>
          <w:sz w:val="24"/>
          <w:szCs w:val="24"/>
          <w:color w:val="auto"/>
        </w:rPr>
      </w:pPr>
    </w:p>
    <w:p>
      <w:pPr>
        <w:jc w:val="center"/>
        <w:ind w:right="-840"/>
        <w:spacing w:after="0"/>
        <w:rPr>
          <w:sz w:val="20"/>
          <w:szCs w:val="20"/>
          <w:color w:val="auto"/>
        </w:rPr>
      </w:pPr>
      <w:r>
        <w:rPr>
          <w:rFonts w:ascii="Arial" w:cs="Arial" w:eastAsia="Arial" w:hAnsi="Arial"/>
          <w:sz w:val="22"/>
          <w:szCs w:val="22"/>
          <w:b w:val="1"/>
          <w:bCs w:val="1"/>
          <w:color w:val="auto"/>
        </w:rPr>
        <w:t>SECURITIES AND EXCHANGE COMMISSION</w:t>
      </w:r>
    </w:p>
    <w:p>
      <w:pPr>
        <w:spacing w:after="0" w:line="32" w:lineRule="exact"/>
        <w:rPr>
          <w:sz w:val="24"/>
          <w:szCs w:val="24"/>
          <w:color w:val="auto"/>
        </w:rPr>
      </w:pPr>
    </w:p>
    <w:p>
      <w:pPr>
        <w:ind w:left="436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111760</wp:posOffset>
            </wp:positionV>
            <wp:extent cx="12344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30" w:lineRule="exact"/>
        <w:rPr>
          <w:sz w:val="24"/>
          <w:szCs w:val="24"/>
          <w:color w:val="auto"/>
        </w:rPr>
      </w:pPr>
    </w:p>
    <w:p>
      <w:pPr>
        <w:ind w:left="3800"/>
        <w:spacing w:after="0"/>
        <w:rPr>
          <w:sz w:val="20"/>
          <w:szCs w:val="20"/>
          <w:color w:val="auto"/>
        </w:rPr>
      </w:pPr>
      <w:r>
        <w:rPr>
          <w:rFonts w:ascii="Arial" w:cs="Arial" w:eastAsia="Arial" w:hAnsi="Arial"/>
          <w:sz w:val="22"/>
          <w:szCs w:val="22"/>
          <w:b w:val="1"/>
          <w:bCs w:val="1"/>
          <w:color w:val="auto"/>
        </w:rPr>
        <w:t>SCHEDULE 14A INFORMATION</w:t>
      </w:r>
    </w:p>
    <w:p>
      <w:pPr>
        <w:spacing w:after="0" w:line="216" w:lineRule="exact"/>
        <w:rPr>
          <w:sz w:val="24"/>
          <w:szCs w:val="24"/>
          <w:color w:val="auto"/>
        </w:rPr>
      </w:pPr>
    </w:p>
    <w:p>
      <w:pPr>
        <w:ind w:left="3420"/>
        <w:spacing w:after="0"/>
        <w:rPr>
          <w:sz w:val="20"/>
          <w:szCs w:val="20"/>
          <w:color w:val="auto"/>
        </w:rPr>
      </w:pPr>
      <w:r>
        <w:rPr>
          <w:rFonts w:ascii="Arial" w:cs="Arial" w:eastAsia="Arial" w:hAnsi="Arial"/>
          <w:sz w:val="18"/>
          <w:szCs w:val="18"/>
          <w:b w:val="1"/>
          <w:bCs w:val="1"/>
          <w:color w:val="auto"/>
        </w:rPr>
        <w:t>Proxy Statement Pursuant to Section 14(a) of</w:t>
      </w:r>
    </w:p>
    <w:p>
      <w:pPr>
        <w:spacing w:after="0" w:line="27" w:lineRule="exact"/>
        <w:rPr>
          <w:sz w:val="24"/>
          <w:szCs w:val="24"/>
          <w:color w:val="auto"/>
        </w:rPr>
      </w:pPr>
    </w:p>
    <w:p>
      <w:pPr>
        <w:ind w:left="3820"/>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109220</wp:posOffset>
            </wp:positionV>
            <wp:extent cx="12344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82" w:lineRule="exact"/>
        <w:rPr>
          <w:sz w:val="24"/>
          <w:szCs w:val="24"/>
          <w:color w:val="auto"/>
        </w:rPr>
      </w:pPr>
    </w:p>
    <w:p>
      <w:pPr>
        <w:ind w:left="126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58" w:lineRule="exact"/>
        <w:rPr>
          <w:sz w:val="24"/>
          <w:szCs w:val="24"/>
          <w:color w:val="auto"/>
        </w:rPr>
      </w:pPr>
    </w:p>
    <w:p>
      <w:pPr>
        <w:ind w:left="1260"/>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98" w:lineRule="exact"/>
        <w:rPr>
          <w:sz w:val="24"/>
          <w:szCs w:val="24"/>
          <w:color w:val="auto"/>
        </w:rPr>
      </w:pPr>
    </w:p>
    <w:p>
      <w:pPr>
        <w:ind w:left="1260"/>
        <w:spacing w:after="0"/>
        <w:rPr>
          <w:sz w:val="20"/>
          <w:szCs w:val="20"/>
          <w:color w:val="auto"/>
        </w:rPr>
      </w:pPr>
      <w:r>
        <w:rPr>
          <w:rFonts w:ascii="Arial" w:cs="Arial" w:eastAsia="Arial" w:hAnsi="Arial"/>
          <w:sz w:val="18"/>
          <w:szCs w:val="18"/>
          <w:color w:val="auto"/>
        </w:rPr>
        <w:t>Check the appropriate box:</w:t>
      </w:r>
    </w:p>
    <w:p>
      <w:pPr>
        <w:spacing w:after="0" w:line="144" w:lineRule="exact"/>
        <w:rPr>
          <w:sz w:val="24"/>
          <w:szCs w:val="24"/>
          <w:color w:val="auto"/>
        </w:rPr>
      </w:pPr>
    </w:p>
    <w:p>
      <w:pPr>
        <w:ind w:left="1620" w:hanging="360"/>
        <w:spacing w:after="0"/>
        <w:tabs>
          <w:tab w:leader="none" w:pos="1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57" w:lineRule="exact"/>
        <w:rPr>
          <w:rFonts w:ascii="MS PGothic" w:cs="MS PGothic" w:eastAsia="MS PGothic" w:hAnsi="MS PGothic"/>
          <w:sz w:val="18"/>
          <w:szCs w:val="18"/>
          <w:color w:val="auto"/>
        </w:rPr>
      </w:pPr>
    </w:p>
    <w:p>
      <w:pPr>
        <w:ind w:left="1620" w:hanging="360"/>
        <w:spacing w:after="0"/>
        <w:tabs>
          <w:tab w:leader="none" w:pos="16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58" w:lineRule="exact"/>
        <w:rPr>
          <w:sz w:val="24"/>
          <w:szCs w:val="24"/>
          <w:color w:val="auto"/>
        </w:rPr>
      </w:pPr>
    </w:p>
    <w:p>
      <w:pPr>
        <w:ind w:left="1620" w:hanging="360"/>
        <w:spacing w:after="0"/>
        <w:tabs>
          <w:tab w:leader="none" w:pos="16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44" w:lineRule="exact"/>
        <w:rPr>
          <w:sz w:val="24"/>
          <w:szCs w:val="24"/>
          <w:color w:val="auto"/>
        </w:rPr>
      </w:pPr>
    </w:p>
    <w:p>
      <w:pPr>
        <w:ind w:left="1620" w:hanging="360"/>
        <w:spacing w:after="0"/>
        <w:tabs>
          <w:tab w:leader="none" w:pos="16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57" w:lineRule="exact"/>
        <w:rPr>
          <w:rFonts w:ascii="MS PGothic" w:cs="MS PGothic" w:eastAsia="MS PGothic" w:hAnsi="MS PGothic"/>
          <w:sz w:val="18"/>
          <w:szCs w:val="18"/>
          <w:color w:val="auto"/>
        </w:rPr>
      </w:pPr>
    </w:p>
    <w:p>
      <w:pPr>
        <w:ind w:left="1620" w:hanging="360"/>
        <w:spacing w:after="0"/>
        <w:tabs>
          <w:tab w:leader="none" w:pos="16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Rule 14a-12</w:t>
      </w:r>
    </w:p>
    <w:p>
      <w:pPr>
        <w:spacing w:after="0" w:line="200" w:lineRule="exact"/>
        <w:rPr>
          <w:sz w:val="24"/>
          <w:szCs w:val="24"/>
          <w:color w:val="auto"/>
        </w:rPr>
      </w:pPr>
    </w:p>
    <w:p>
      <w:pPr>
        <w:spacing w:after="0" w:line="226" w:lineRule="exact"/>
        <w:rPr>
          <w:sz w:val="24"/>
          <w:szCs w:val="24"/>
          <w:color w:val="auto"/>
        </w:rPr>
      </w:pPr>
    </w:p>
    <w:p>
      <w:pPr>
        <w:jc w:val="center"/>
        <w:ind w:right="-840"/>
        <w:spacing w:after="0"/>
        <w:rPr>
          <w:sz w:val="20"/>
          <w:szCs w:val="20"/>
          <w:color w:val="auto"/>
        </w:rPr>
      </w:pPr>
      <w:r>
        <w:rPr>
          <w:rFonts w:ascii="Arial" w:cs="Arial" w:eastAsia="Arial" w:hAnsi="Arial"/>
          <w:sz w:val="29"/>
          <w:szCs w:val="29"/>
          <w:b w:val="1"/>
          <w:bCs w:val="1"/>
          <w:color w:val="auto"/>
        </w:rPr>
        <w:t>CTO REALTY GROWTH,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58420</wp:posOffset>
            </wp:positionV>
            <wp:extent cx="5212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157" w:lineRule="exact"/>
        <w:rPr>
          <w:sz w:val="24"/>
          <w:szCs w:val="24"/>
          <w:color w:val="auto"/>
        </w:rPr>
      </w:pPr>
    </w:p>
    <w:p>
      <w:pPr>
        <w:ind w:left="3880"/>
        <w:spacing w:after="0"/>
        <w:rPr>
          <w:sz w:val="20"/>
          <w:szCs w:val="20"/>
          <w:color w:val="auto"/>
        </w:rPr>
      </w:pPr>
      <w:r>
        <w:rPr>
          <w:rFonts w:ascii="Arial" w:cs="Arial" w:eastAsia="Arial" w:hAnsi="Arial"/>
          <w:sz w:val="14"/>
          <w:szCs w:val="14"/>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323850</wp:posOffset>
            </wp:positionV>
            <wp:extent cx="5212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4"/>
          <w:szCs w:val="24"/>
          <w:color w:val="auto"/>
        </w:rPr>
      </w:pPr>
    </w:p>
    <w:p>
      <w:pPr>
        <w:spacing w:after="0" w:line="389" w:lineRule="exact"/>
        <w:rPr>
          <w:sz w:val="24"/>
          <w:szCs w:val="24"/>
          <w:color w:val="auto"/>
        </w:rPr>
      </w:pPr>
    </w:p>
    <w:p>
      <w:pPr>
        <w:ind w:left="3120"/>
        <w:spacing w:after="0"/>
        <w:rPr>
          <w:sz w:val="20"/>
          <w:szCs w:val="20"/>
          <w:color w:val="auto"/>
        </w:rPr>
      </w:pPr>
      <w:r>
        <w:rPr>
          <w:rFonts w:ascii="Arial" w:cs="Arial" w:eastAsia="Arial" w:hAnsi="Arial"/>
          <w:sz w:val="14"/>
          <w:szCs w:val="14"/>
          <w:color w:val="auto"/>
        </w:rPr>
        <w:t>(Name of Person(s) Filing Proxy Statement, if other than the Registrant)</w:t>
      </w:r>
    </w:p>
    <w:p>
      <w:pPr>
        <w:spacing w:after="0" w:line="153" w:lineRule="exact"/>
        <w:rPr>
          <w:sz w:val="24"/>
          <w:szCs w:val="24"/>
          <w:color w:val="auto"/>
        </w:rPr>
      </w:pPr>
    </w:p>
    <w:p>
      <w:pPr>
        <w:ind w:left="1260"/>
        <w:spacing w:after="0"/>
        <w:rPr>
          <w:sz w:val="20"/>
          <w:szCs w:val="20"/>
          <w:color w:val="auto"/>
        </w:rPr>
      </w:pPr>
      <w:r>
        <w:rPr>
          <w:rFonts w:ascii="Arial" w:cs="Arial" w:eastAsia="Arial" w:hAnsi="Arial"/>
          <w:sz w:val="18"/>
          <w:szCs w:val="18"/>
          <w:color w:val="auto"/>
        </w:rPr>
        <w:t>Payment of Filing Fee (Check the appropriate box):</w:t>
      </w:r>
    </w:p>
    <w:p>
      <w:pPr>
        <w:spacing w:after="0" w:line="144" w:lineRule="exact"/>
        <w:rPr>
          <w:sz w:val="24"/>
          <w:szCs w:val="24"/>
          <w:color w:val="auto"/>
        </w:rPr>
      </w:pPr>
    </w:p>
    <w:p>
      <w:pPr>
        <w:ind w:left="1620" w:hanging="360"/>
        <w:spacing w:after="0"/>
        <w:tabs>
          <w:tab w:leader="none" w:pos="162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58" w:lineRule="exact"/>
        <w:rPr>
          <w:sz w:val="24"/>
          <w:szCs w:val="24"/>
          <w:color w:val="auto"/>
        </w:rPr>
      </w:pPr>
    </w:p>
    <w:p>
      <w:pPr>
        <w:ind w:left="1620" w:hanging="360"/>
        <w:spacing w:after="0"/>
        <w:tabs>
          <w:tab w:leader="none" w:pos="162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57" w:lineRule="exact"/>
        <w:rPr>
          <w:rFonts w:ascii="MS PGothic" w:cs="MS PGothic" w:eastAsia="MS PGothic" w:hAnsi="MS PGothic"/>
          <w:sz w:val="18"/>
          <w:szCs w:val="18"/>
          <w:color w:val="auto"/>
        </w:rPr>
      </w:pPr>
    </w:p>
    <w:p>
      <w:pPr>
        <w:ind w:left="1620" w:right="419" w:hanging="360"/>
        <w:spacing w:after="0" w:line="287" w:lineRule="auto"/>
        <w:tabs>
          <w:tab w:leader="none" w:pos="162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2616835</wp:posOffset>
            </wp:positionV>
            <wp:extent cx="683196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-81280</wp:posOffset>
            </wp:positionV>
            <wp:extent cx="6831965" cy="87477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31965" cy="874776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6660"/>
        <w:spacing w:after="0"/>
        <w:rPr>
          <w:sz w:val="20"/>
          <w:szCs w:val="20"/>
          <w:color w:val="auto"/>
        </w:rPr>
      </w:pPr>
      <w:r>
        <w:rPr>
          <w:rFonts w:ascii="Arial" w:cs="Arial" w:eastAsia="Arial" w:hAnsi="Arial"/>
          <w:sz w:val="18"/>
          <w:szCs w:val="18"/>
          <w:b w:val="1"/>
          <w:bCs w:val="1"/>
          <w:color w:val="auto"/>
        </w:rPr>
        <w:t>CTO REALTY GROWTH,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-118745</wp:posOffset>
            </wp:positionV>
            <wp:extent cx="685800" cy="4972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0" cy="497205"/>
                    </a:xfrm>
                    <a:prstGeom prst="rect">
                      <a:avLst/>
                    </a:prstGeom>
                    <a:noFill/>
                  </pic:spPr>
                </pic:pic>
              </a:graphicData>
            </a:graphic>
          </wp:anchor>
        </w:drawing>
      </w:r>
    </w:p>
    <w:p>
      <w:pPr>
        <w:spacing w:after="0" w:line="7" w:lineRule="exact"/>
        <w:rPr>
          <w:sz w:val="20"/>
          <w:szCs w:val="20"/>
          <w:color w:val="auto"/>
        </w:rPr>
      </w:pPr>
    </w:p>
    <w:p>
      <w:pPr>
        <w:ind w:left="6660"/>
        <w:spacing w:after="0"/>
        <w:rPr>
          <w:sz w:val="20"/>
          <w:szCs w:val="20"/>
          <w:color w:val="auto"/>
        </w:rPr>
      </w:pPr>
      <w:r>
        <w:rPr>
          <w:rFonts w:ascii="Arial" w:cs="Arial" w:eastAsia="Arial" w:hAnsi="Arial"/>
          <w:sz w:val="18"/>
          <w:szCs w:val="18"/>
          <w:b w:val="1"/>
          <w:bCs w:val="1"/>
          <w:color w:val="auto"/>
        </w:rPr>
        <w:t>369 N. New York Ave, Suite 201</w:t>
      </w:r>
    </w:p>
    <w:p>
      <w:pPr>
        <w:spacing w:after="0" w:line="9" w:lineRule="exact"/>
        <w:rPr>
          <w:sz w:val="20"/>
          <w:szCs w:val="20"/>
          <w:color w:val="auto"/>
        </w:rPr>
      </w:pPr>
    </w:p>
    <w:p>
      <w:pPr>
        <w:ind w:left="6660"/>
        <w:spacing w:after="0"/>
        <w:rPr>
          <w:sz w:val="20"/>
          <w:szCs w:val="20"/>
          <w:color w:val="auto"/>
        </w:rPr>
      </w:pPr>
      <w:r>
        <w:rPr>
          <w:rFonts w:ascii="Arial" w:cs="Arial" w:eastAsia="Arial" w:hAnsi="Arial"/>
          <w:sz w:val="18"/>
          <w:szCs w:val="18"/>
          <w:b w:val="1"/>
          <w:bCs w:val="1"/>
          <w:color w:val="auto"/>
        </w:rPr>
        <w:t>Winter Park, FL 32789</w:t>
      </w:r>
    </w:p>
    <w:p>
      <w:pPr>
        <w:spacing w:after="0" w:line="200" w:lineRule="exact"/>
        <w:rPr>
          <w:sz w:val="20"/>
          <w:szCs w:val="20"/>
          <w:color w:val="auto"/>
        </w:rPr>
      </w:pPr>
    </w:p>
    <w:p>
      <w:pPr>
        <w:spacing w:after="0" w:line="277"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 xml:space="preserve">Annual Meeting Date: </w:t>
      </w:r>
      <w:r>
        <w:rPr>
          <w:rFonts w:ascii="Arial" w:cs="Arial" w:eastAsia="Arial" w:hAnsi="Arial"/>
          <w:sz w:val="18"/>
          <w:szCs w:val="18"/>
          <w:color w:val="auto"/>
        </w:rPr>
        <w:t>June 17, 2026</w:t>
      </w:r>
    </w:p>
    <w:p>
      <w:pPr>
        <w:spacing w:after="0" w:line="2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 xml:space="preserve">Time: </w:t>
      </w:r>
      <w:r>
        <w:rPr>
          <w:rFonts w:ascii="Arial" w:cs="Arial" w:eastAsia="Arial" w:hAnsi="Arial"/>
          <w:sz w:val="18"/>
          <w:szCs w:val="18"/>
          <w:color w:val="auto"/>
        </w:rPr>
        <w:t>11:00 a.m. eastern time</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 xml:space="preserve">Location: </w:t>
      </w:r>
      <w:r>
        <w:rPr>
          <w:rFonts w:ascii="Arial" w:cs="Arial" w:eastAsia="Arial" w:hAnsi="Arial"/>
          <w:sz w:val="18"/>
          <w:szCs w:val="18"/>
          <w:color w:val="auto"/>
        </w:rPr>
        <w:t>Online Meeting Only — No Physical Location</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AGENDA:</w:t>
      </w:r>
    </w:p>
    <w:p>
      <w:pPr>
        <w:spacing w:after="0" w:line="158" w:lineRule="exact"/>
        <w:rPr>
          <w:sz w:val="20"/>
          <w:szCs w:val="20"/>
          <w:color w:val="auto"/>
        </w:rPr>
      </w:pPr>
    </w:p>
    <w:p>
      <w:pPr>
        <w:ind w:left="1980" w:right="419" w:hanging="360"/>
        <w:spacing w:after="0" w:line="287" w:lineRule="auto"/>
        <w:tabs>
          <w:tab w:leader="none" w:pos="1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Election of the six director nominees listed in the proxy statement for one-year terms expiring at the 2027 annual meeting of stockholders;</w:t>
      </w:r>
    </w:p>
    <w:p>
      <w:pPr>
        <w:spacing w:after="0" w:line="71" w:lineRule="exact"/>
        <w:rPr>
          <w:rFonts w:ascii="Arial" w:cs="Arial" w:eastAsia="Arial" w:hAnsi="Arial"/>
          <w:sz w:val="18"/>
          <w:szCs w:val="18"/>
          <w:color w:val="auto"/>
        </w:rPr>
      </w:pPr>
    </w:p>
    <w:p>
      <w:pPr>
        <w:ind w:left="1980" w:right="419" w:hanging="360"/>
        <w:spacing w:after="0" w:line="287" w:lineRule="auto"/>
        <w:tabs>
          <w:tab w:leader="none" w:pos="1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Ratify the appointment of Grant Thornton LLP as our independent registered public accounting firm for fiscal year 2026;</w:t>
      </w:r>
    </w:p>
    <w:p>
      <w:pPr>
        <w:spacing w:after="0" w:line="85" w:lineRule="exact"/>
        <w:rPr>
          <w:rFonts w:ascii="Arial" w:cs="Arial" w:eastAsia="Arial" w:hAnsi="Arial"/>
          <w:sz w:val="18"/>
          <w:szCs w:val="18"/>
          <w:color w:val="auto"/>
        </w:rPr>
      </w:pPr>
    </w:p>
    <w:p>
      <w:pPr>
        <w:ind w:left="1980" w:hanging="360"/>
        <w:spacing w:after="0"/>
        <w:tabs>
          <w:tab w:leader="none" w:pos="1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Hold an advisory vote to approve executive compensation; and</w:t>
      </w:r>
    </w:p>
    <w:p>
      <w:pPr>
        <w:spacing w:after="0" w:line="157" w:lineRule="exact"/>
        <w:rPr>
          <w:rFonts w:ascii="Arial" w:cs="Arial" w:eastAsia="Arial" w:hAnsi="Arial"/>
          <w:sz w:val="18"/>
          <w:szCs w:val="18"/>
          <w:color w:val="auto"/>
        </w:rPr>
      </w:pPr>
    </w:p>
    <w:p>
      <w:pPr>
        <w:ind w:left="1980" w:right="419" w:hanging="360"/>
        <w:spacing w:after="0" w:line="287" w:lineRule="auto"/>
        <w:tabs>
          <w:tab w:leader="none" w:pos="1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Approve the CTO Realty Growth, Inc. Sixth Amended and Restated 2010 Equity Incentive Plan, replacing the Company’s Fifth Amended and Restated 2010 Equity Incentive Plan;</w:t>
      </w:r>
    </w:p>
    <w:p>
      <w:pPr>
        <w:spacing w:after="0" w:line="71" w:lineRule="exact"/>
        <w:rPr>
          <w:rFonts w:ascii="Arial" w:cs="Arial" w:eastAsia="Arial" w:hAnsi="Arial"/>
          <w:sz w:val="18"/>
          <w:szCs w:val="18"/>
          <w:color w:val="auto"/>
        </w:rPr>
      </w:pPr>
    </w:p>
    <w:p>
      <w:pPr>
        <w:ind w:left="1980" w:right="419" w:hanging="360"/>
        <w:spacing w:after="0" w:line="287" w:lineRule="auto"/>
        <w:tabs>
          <w:tab w:leader="none" w:pos="1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Transact such other business as may properly come before the meeting or any adjournments or postponements thereof.</w:t>
      </w:r>
    </w:p>
    <w:p>
      <w:pPr>
        <w:spacing w:after="0" w:line="85" w:lineRule="exact"/>
        <w:rPr>
          <w:sz w:val="20"/>
          <w:szCs w:val="20"/>
          <w:color w:val="auto"/>
        </w:rPr>
      </w:pPr>
    </w:p>
    <w:p>
      <w:pPr>
        <w:jc w:val="both"/>
        <w:ind w:left="1260" w:right="419"/>
        <w:spacing w:after="0" w:line="268" w:lineRule="auto"/>
        <w:rPr>
          <w:sz w:val="20"/>
          <w:szCs w:val="20"/>
          <w:color w:val="auto"/>
        </w:rPr>
      </w:pPr>
      <w:r>
        <w:rPr>
          <w:rFonts w:ascii="Arial" w:cs="Arial" w:eastAsia="Arial" w:hAnsi="Arial"/>
          <w:sz w:val="18"/>
          <w:szCs w:val="18"/>
          <w:color w:val="auto"/>
        </w:rPr>
        <w:t>Stockholders of record at the close of business on April 16, 2026, are entitled to notice of, and to participate in and vote at, the 2026 annual meeting of stockholders (including any adjournments or postponements thereof, the “Annual Meeting”).</w:t>
      </w:r>
    </w:p>
    <w:p>
      <w:pPr>
        <w:spacing w:after="0" w:line="103" w:lineRule="exact"/>
        <w:rPr>
          <w:sz w:val="20"/>
          <w:szCs w:val="20"/>
          <w:color w:val="auto"/>
        </w:rPr>
      </w:pPr>
    </w:p>
    <w:p>
      <w:pPr>
        <w:jc w:val="both"/>
        <w:ind w:left="1260" w:right="419"/>
        <w:spacing w:after="0" w:line="268" w:lineRule="auto"/>
        <w:rPr>
          <w:sz w:val="20"/>
          <w:szCs w:val="20"/>
          <w:color w:val="auto"/>
        </w:rPr>
      </w:pPr>
      <w:r>
        <w:rPr>
          <w:rFonts w:ascii="Arial" w:cs="Arial" w:eastAsia="Arial" w:hAnsi="Arial"/>
          <w:sz w:val="17"/>
          <w:szCs w:val="17"/>
          <w:color w:val="auto"/>
        </w:rPr>
        <w:t>We hope you will be able to participate in the Annual Meeting. However, whether or not you plan to participate live in the Annual Meeting, you are urged to vote by telephone or online as instructed in the Notice of Internet Availability of Proxy Materials, in order to ensure your representation and the presence of a quorum at the Annual Meeting. You may also request a printed proxy card to submit your vote by mail. You will not receive a printed copy of the proxy materials unless you request them as instructed in the Notice of Internet Availability of Proxy Materials. If you submit your proxy (whether via Internet, telephone or return of paper proxy card by mail) and then decide to either (i) revoke your proxy or</w:t>
      </w:r>
    </w:p>
    <w:p>
      <w:pPr>
        <w:spacing w:after="0" w:line="2" w:lineRule="exact"/>
        <w:rPr>
          <w:sz w:val="20"/>
          <w:szCs w:val="20"/>
          <w:color w:val="auto"/>
        </w:rPr>
      </w:pPr>
    </w:p>
    <w:p>
      <w:pPr>
        <w:ind w:left="1260" w:right="419"/>
        <w:spacing w:after="0" w:line="266" w:lineRule="auto"/>
        <w:tabs>
          <w:tab w:leader="none" w:pos="1505" w:val="left"/>
        </w:tabs>
        <w:numPr>
          <w:ilvl w:val="0"/>
          <w:numId w:val="7"/>
        </w:numPr>
        <w:rPr>
          <w:rFonts w:ascii="Arial" w:cs="Arial" w:eastAsia="Arial" w:hAnsi="Arial"/>
          <w:sz w:val="18"/>
          <w:szCs w:val="18"/>
          <w:color w:val="auto"/>
        </w:rPr>
      </w:pPr>
      <w:r>
        <w:rPr>
          <w:rFonts w:ascii="Arial" w:cs="Arial" w:eastAsia="Arial" w:hAnsi="Arial"/>
          <w:sz w:val="18"/>
          <w:szCs w:val="18"/>
          <w:color w:val="auto"/>
        </w:rPr>
        <w:t>participate live in the Annual Meeting and to vote your shares during the Annual Meeting, you may do so in accordance with the procedures set forth in the accompanying proxy statement.</w:t>
      </w:r>
    </w:p>
    <w:p>
      <w:pPr>
        <w:spacing w:after="0" w:line="90"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3774440</wp:posOffset>
            </wp:positionH>
            <wp:positionV relativeFrom="paragraph">
              <wp:posOffset>137795</wp:posOffset>
            </wp:positionV>
            <wp:extent cx="1183005" cy="4114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8300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Daniel E. Smith</w:t>
      </w:r>
    </w:p>
    <w:p>
      <w:pPr>
        <w:spacing w:after="0" w:line="27"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Senior Vice President,</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General Counsel &amp; Corporate Secretary</w:t>
      </w:r>
    </w:p>
    <w:p>
      <w:pPr>
        <w:spacing w:after="0" w:line="14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Winter Park, Florida</w:t>
      </w:r>
    </w:p>
    <w:p>
      <w:pPr>
        <w:spacing w:after="0" w:line="2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April 28, 2026</w:t>
      </w:r>
    </w:p>
    <w:p>
      <w:pPr>
        <w:spacing w:after="0" w:line="140" w:lineRule="exact"/>
        <w:rPr>
          <w:sz w:val="20"/>
          <w:szCs w:val="20"/>
          <w:color w:val="auto"/>
        </w:rPr>
      </w:pPr>
    </w:p>
    <w:p>
      <w:pPr>
        <w:jc w:val="both"/>
        <w:ind w:left="1260" w:right="419"/>
        <w:spacing w:after="0" w:line="262" w:lineRule="auto"/>
        <w:rPr>
          <w:sz w:val="20"/>
          <w:szCs w:val="20"/>
          <w:color w:val="auto"/>
        </w:rPr>
      </w:pPr>
      <w:r>
        <w:rPr>
          <w:rFonts w:ascii="Arial" w:cs="Arial" w:eastAsia="Arial" w:hAnsi="Arial"/>
          <w:sz w:val="18"/>
          <w:szCs w:val="18"/>
          <w:b w:val="1"/>
          <w:bCs w:val="1"/>
          <w:color w:val="auto"/>
        </w:rPr>
        <w:t>Important Notice Regarding the Availability of Proxy Materials for the Annual Meeting of Stockholders to be Held on June 17, 2026: CTO Realty Growth, Inc.’s proxy statement in connection with the Annual Meeting and its Annual Report on Form 10-K for the year ended December 31, 2025 as filed with the Securities and Exchange Commission are available at: www.edocumentview.com/CTO.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567690</wp:posOffset>
            </wp:positionV>
            <wp:extent cx="68319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CTO REALTY GROWTH, INC.</w:t>
      </w:r>
    </w:p>
    <w:p>
      <w:pPr>
        <w:spacing w:after="0" w:line="27"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PROXY STATEMENT</w:t>
      </w:r>
    </w:p>
    <w:p>
      <w:pPr>
        <w:spacing w:after="0" w:line="207"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TABLE OF CONTENTS</w:t>
      </w:r>
    </w:p>
    <w:p>
      <w:pPr>
        <w:spacing w:after="0" w:line="194" w:lineRule="exact"/>
        <w:rPr>
          <w:sz w:val="20"/>
          <w:szCs w:val="20"/>
          <w:color w:val="auto"/>
        </w:rPr>
      </w:pPr>
    </w:p>
    <w:tbl>
      <w:tblPr>
        <w:tblLayout w:type="fixed"/>
        <w:tblInd w:w="1260" w:type="dxa"/>
        <w:tblCellMar>
          <w:top w:w="0" w:type="dxa"/>
          <w:left w:w="0" w:type="dxa"/>
          <w:bottom w:w="0" w:type="dxa"/>
          <w:right w:w="0" w:type="dxa"/>
        </w:tblCellMar>
      </w:tblPr>
      <w:tr>
        <w:trPr>
          <w:trHeight w:val="205"/>
        </w:trPr>
        <w:tc>
          <w:tcPr>
            <w:tcW w:w="180" w:type="dxa"/>
            <w:vAlign w:val="bottom"/>
            <w:tcBorders>
              <w:bottom w:val="single" w:sz="8" w:color="CCEEFF"/>
            </w:tcBorders>
          </w:tcPr>
          <w:p>
            <w:pPr>
              <w:spacing w:after="0"/>
              <w:rPr>
                <w:sz w:val="17"/>
                <w:szCs w:val="17"/>
                <w:color w:val="auto"/>
              </w:rPr>
            </w:pPr>
          </w:p>
        </w:tc>
        <w:tc>
          <w:tcPr>
            <w:tcW w:w="400" w:type="dxa"/>
            <w:vAlign w:val="bottom"/>
            <w:tcBorders>
              <w:bottom w:val="single" w:sz="8" w:color="CCEEFF"/>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1240" w:type="dxa"/>
            <w:vAlign w:val="bottom"/>
            <w:tcBorders>
              <w:bottom w:val="single" w:sz="8" w:color="CCEEFF"/>
            </w:tcBorders>
          </w:tcPr>
          <w:p>
            <w:pPr>
              <w:spacing w:after="0"/>
              <w:rPr>
                <w:sz w:val="17"/>
                <w:szCs w:val="17"/>
                <w:color w:val="auto"/>
              </w:rPr>
            </w:pPr>
          </w:p>
        </w:tc>
        <w:tc>
          <w:tcPr>
            <w:tcW w:w="4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4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560" w:type="dxa"/>
            <w:vAlign w:val="bottom"/>
            <w:tcBorders>
              <w:bottom w:val="single" w:sz="8" w:color="CCEEFF"/>
            </w:tcBorders>
          </w:tcPr>
          <w:p>
            <w:pPr>
              <w:spacing w:after="0"/>
              <w:rPr>
                <w:sz w:val="17"/>
                <w:szCs w:val="17"/>
                <w:color w:val="auto"/>
              </w:rPr>
            </w:pPr>
          </w:p>
        </w:tc>
        <w:tc>
          <w:tcPr>
            <w:tcW w:w="360" w:type="dxa"/>
            <w:vAlign w:val="bottom"/>
            <w:tcBorders>
              <w:bottom w:val="single" w:sz="8" w:color="CCEEFF"/>
            </w:tcBorders>
          </w:tcPr>
          <w:p>
            <w:pPr>
              <w:spacing w:after="0"/>
              <w:rPr>
                <w:sz w:val="17"/>
                <w:szCs w:val="17"/>
                <w:color w:val="auto"/>
              </w:rPr>
            </w:pPr>
          </w:p>
        </w:tc>
        <w:tc>
          <w:tcPr>
            <w:tcW w:w="520" w:type="dxa"/>
            <w:vAlign w:val="bottom"/>
            <w:tcBorders>
              <w:bottom w:val="single" w:sz="8" w:color="CCEEFF"/>
            </w:tcBorders>
          </w:tcPr>
          <w:p>
            <w:pPr>
              <w:spacing w:after="0"/>
              <w:rPr>
                <w:sz w:val="17"/>
                <w:szCs w:val="17"/>
                <w:color w:val="auto"/>
              </w:rPr>
            </w:pPr>
          </w:p>
        </w:tc>
        <w:tc>
          <w:tcPr>
            <w:tcW w:w="560" w:type="dxa"/>
            <w:vAlign w:val="bottom"/>
            <w:tcBorders>
              <w:bottom w:val="single" w:sz="8" w:color="CCEEFF"/>
            </w:tcBorders>
          </w:tcPr>
          <w:p>
            <w:pPr>
              <w:spacing w:after="0"/>
              <w:rPr>
                <w:sz w:val="17"/>
                <w:szCs w:val="17"/>
                <w:color w:val="auto"/>
              </w:rPr>
            </w:pPr>
          </w:p>
        </w:tc>
        <w:tc>
          <w:tcPr>
            <w:tcW w:w="54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36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w w:val="95"/>
              </w:rPr>
              <w:t>Page</w:t>
            </w:r>
          </w:p>
        </w:tc>
        <w:tc>
          <w:tcPr>
            <w:tcW w:w="60" w:type="dxa"/>
            <w:vAlign w:val="bottom"/>
          </w:tcPr>
          <w:p>
            <w:pPr>
              <w:spacing w:after="0"/>
              <w:rPr>
                <w:sz w:val="17"/>
                <w:szCs w:val="17"/>
                <w:color w:val="auto"/>
              </w:rPr>
            </w:pPr>
          </w:p>
        </w:tc>
      </w:tr>
      <w:tr>
        <w:trPr>
          <w:trHeight w:val="242"/>
        </w:trPr>
        <w:tc>
          <w:tcPr>
            <w:tcW w:w="2660" w:type="dxa"/>
            <w:vAlign w:val="bottom"/>
            <w:tcBorders>
              <w:bottom w:val="single" w:sz="8" w:color="0000EE"/>
            </w:tcBorders>
            <w:gridSpan w:val="6"/>
            <w:shd w:val="clear" w:color="auto" w:fill="CCEEFF"/>
          </w:tcPr>
          <w:p>
            <w:pPr>
              <w:spacing w:after="0" w:line="196" w:lineRule="exact"/>
              <w:rPr>
                <w:sz w:val="20"/>
                <w:szCs w:val="20"/>
                <w:color w:val="auto"/>
              </w:rPr>
            </w:pPr>
            <w:r>
              <w:rPr>
                <w:rFonts w:ascii="Arial" w:cs="Arial" w:eastAsia="Arial" w:hAnsi="Arial"/>
                <w:sz w:val="18"/>
                <w:szCs w:val="18"/>
                <w:color w:val="0000EE"/>
                <w:w w:val="98"/>
              </w:rPr>
              <w:t>LETTER FROM THE CHAIRMAN</w:t>
            </w:r>
          </w:p>
        </w:tc>
        <w:tc>
          <w:tcPr>
            <w:tcW w:w="4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0000EE"/>
              <w:right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0000EE"/>
                <w:w w:val="79"/>
              </w:rPr>
              <w:t>1</w:t>
            </w: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2140" w:type="dxa"/>
            <w:vAlign w:val="bottom"/>
            <w:tcBorders>
              <w:top w:val="single" w:sz="8" w:color="CCEEFF"/>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7"/>
              </w:rPr>
              <w:t>GENERAL INFORMATION</w:t>
            </w:r>
          </w:p>
        </w:tc>
        <w:tc>
          <w:tcPr>
            <w:tcW w:w="400" w:type="dxa"/>
            <w:vAlign w:val="bottom"/>
            <w:tcBorders>
              <w:top w:val="single" w:sz="8" w:color="CCEEFF"/>
              <w:bottom w:val="single" w:sz="8" w:color="CCEEFF"/>
            </w:tcBorders>
          </w:tcPr>
          <w:p>
            <w:pPr>
              <w:spacing w:after="0"/>
              <w:rPr>
                <w:sz w:val="18"/>
                <w:szCs w:val="18"/>
                <w:color w:val="auto"/>
              </w:rPr>
            </w:pPr>
          </w:p>
        </w:tc>
        <w:tc>
          <w:tcPr>
            <w:tcW w:w="600" w:type="dxa"/>
            <w:vAlign w:val="bottom"/>
            <w:tcBorders>
              <w:top w:val="single" w:sz="8" w:color="CCEEFF"/>
              <w:bottom w:val="single" w:sz="8" w:color="CCEEFF"/>
            </w:tcBorders>
            <w:gridSpan w:val="2"/>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6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CCEEFF"/>
              <w:bottom w:val="single" w:sz="8" w:color="CCEEFF"/>
            </w:tcBorders>
          </w:tcPr>
          <w:p>
            <w:pPr>
              <w:spacing w:after="0"/>
              <w:rPr>
                <w:sz w:val="18"/>
                <w:szCs w:val="18"/>
                <w:color w:val="auto"/>
              </w:rPr>
            </w:pPr>
          </w:p>
        </w:tc>
        <w:tc>
          <w:tcPr>
            <w:tcW w:w="40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40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CCEEFF"/>
              <w:bottom w:val="single" w:sz="8" w:color="CCEEFF"/>
            </w:tcBorders>
          </w:tcPr>
          <w:p>
            <w:pPr>
              <w:spacing w:after="0"/>
              <w:rPr>
                <w:sz w:val="18"/>
                <w:szCs w:val="18"/>
                <w:color w:val="auto"/>
              </w:rPr>
            </w:pPr>
          </w:p>
        </w:tc>
        <w:tc>
          <w:tcPr>
            <w:tcW w:w="560" w:type="dxa"/>
            <w:vAlign w:val="bottom"/>
            <w:tcBorders>
              <w:top w:val="single" w:sz="8" w:color="CCEEFF"/>
              <w:bottom w:val="single" w:sz="8" w:color="CCEEFF"/>
            </w:tcBorders>
          </w:tcPr>
          <w:p>
            <w:pPr>
              <w:spacing w:after="0"/>
              <w:rPr>
                <w:sz w:val="18"/>
                <w:szCs w:val="18"/>
                <w:color w:val="auto"/>
              </w:rPr>
            </w:pPr>
          </w:p>
        </w:tc>
        <w:tc>
          <w:tcPr>
            <w:tcW w:w="360" w:type="dxa"/>
            <w:vAlign w:val="bottom"/>
            <w:tcBorders>
              <w:top w:val="single" w:sz="8" w:color="CCEEFF"/>
              <w:bottom w:val="single" w:sz="8" w:color="CCEEFF"/>
            </w:tcBorders>
          </w:tcPr>
          <w:p>
            <w:pPr>
              <w:spacing w:after="0"/>
              <w:rPr>
                <w:sz w:val="18"/>
                <w:szCs w:val="18"/>
                <w:color w:val="auto"/>
              </w:rPr>
            </w:pPr>
          </w:p>
        </w:tc>
        <w:tc>
          <w:tcPr>
            <w:tcW w:w="520" w:type="dxa"/>
            <w:vAlign w:val="bottom"/>
            <w:tcBorders>
              <w:top w:val="single" w:sz="8" w:color="CCEEFF"/>
              <w:bottom w:val="single" w:sz="8" w:color="CCEEFF"/>
            </w:tcBorders>
          </w:tcPr>
          <w:p>
            <w:pPr>
              <w:spacing w:after="0"/>
              <w:rPr>
                <w:sz w:val="18"/>
                <w:szCs w:val="18"/>
                <w:color w:val="auto"/>
              </w:rPr>
            </w:pPr>
          </w:p>
        </w:tc>
        <w:tc>
          <w:tcPr>
            <w:tcW w:w="560" w:type="dxa"/>
            <w:vAlign w:val="bottom"/>
            <w:tcBorders>
              <w:top w:val="single" w:sz="8" w:color="CCEEFF"/>
              <w:bottom w:val="single" w:sz="8" w:color="CCEEFF"/>
            </w:tcBorders>
          </w:tcPr>
          <w:p>
            <w:pPr>
              <w:spacing w:after="0"/>
              <w:rPr>
                <w:sz w:val="18"/>
                <w:szCs w:val="18"/>
                <w:color w:val="auto"/>
              </w:rPr>
            </w:pPr>
          </w:p>
        </w:tc>
        <w:tc>
          <w:tcPr>
            <w:tcW w:w="540" w:type="dxa"/>
            <w:vAlign w:val="bottom"/>
            <w:tcBorders>
              <w:top w:val="single" w:sz="8" w:color="CCEEFF"/>
              <w:bottom w:val="single" w:sz="8" w:color="CCEEFF"/>
            </w:tcBorders>
          </w:tcPr>
          <w:p>
            <w:pPr>
              <w:spacing w:after="0"/>
              <w:rPr>
                <w:sz w:val="18"/>
                <w:szCs w:val="18"/>
                <w:color w:val="auto"/>
              </w:rPr>
            </w:pPr>
          </w:p>
        </w:tc>
        <w:tc>
          <w:tcPr>
            <w:tcW w:w="260" w:type="dxa"/>
            <w:vAlign w:val="bottom"/>
            <w:tcBorders>
              <w:top w:val="single" w:sz="8" w:color="CCEEFF"/>
              <w:bottom w:val="single" w:sz="8" w:color="CCEEFF"/>
            </w:tcBorders>
          </w:tcPr>
          <w:p>
            <w:pPr>
              <w:spacing w:after="0"/>
              <w:rPr>
                <w:sz w:val="18"/>
                <w:szCs w:val="18"/>
                <w:color w:val="auto"/>
              </w:rPr>
            </w:pPr>
          </w:p>
        </w:tc>
        <w:tc>
          <w:tcPr>
            <w:tcW w:w="36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ind w:left="4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0000EE"/>
            </w:tcBorders>
            <w:gridSpan w:val="2"/>
          </w:tcPr>
          <w:p>
            <w:pPr>
              <w:jc w:val="right"/>
              <w:spacing w:after="0" w:line="196" w:lineRule="exact"/>
              <w:rPr>
                <w:sz w:val="20"/>
                <w:szCs w:val="20"/>
                <w:color w:val="auto"/>
              </w:rPr>
            </w:pPr>
            <w:r>
              <w:rPr>
                <w:rFonts w:ascii="Arial" w:cs="Arial" w:eastAsia="Arial" w:hAnsi="Arial"/>
                <w:sz w:val="18"/>
                <w:szCs w:val="18"/>
                <w:color w:val="0000EE"/>
                <w:w w:val="79"/>
              </w:rPr>
              <w:t>3</w:t>
            </w: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1"/>
        </w:trPr>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2"/>
        </w:trPr>
        <w:tc>
          <w:tcPr>
            <w:tcW w:w="3520" w:type="dxa"/>
            <w:vAlign w:val="bottom"/>
            <w:tcBorders>
              <w:bottom w:val="single" w:sz="8" w:color="0000EE"/>
            </w:tcBorders>
            <w:gridSpan w:val="10"/>
            <w:shd w:val="clear" w:color="auto" w:fill="CCEEFF"/>
          </w:tcPr>
          <w:p>
            <w:pPr>
              <w:spacing w:after="0" w:line="196" w:lineRule="exact"/>
              <w:rPr>
                <w:sz w:val="20"/>
                <w:szCs w:val="20"/>
                <w:color w:val="auto"/>
              </w:rPr>
            </w:pPr>
            <w:r>
              <w:rPr>
                <w:rFonts w:ascii="Arial" w:cs="Arial" w:eastAsia="Arial" w:hAnsi="Arial"/>
                <w:sz w:val="18"/>
                <w:szCs w:val="18"/>
                <w:b w:val="1"/>
                <w:bCs w:val="1"/>
                <w:color w:val="0000EE"/>
                <w:w w:val="97"/>
              </w:rPr>
              <w:t>PROPOSAL 1: ELECTION OF DIRECTORS</w:t>
            </w:r>
          </w:p>
        </w:tc>
        <w:tc>
          <w:tcPr>
            <w:tcW w:w="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gridSpan w:val="2"/>
            <w:shd w:val="clear" w:color="auto" w:fill="CCEEFF"/>
          </w:tcPr>
          <w:p>
            <w:pPr>
              <w:spacing w:after="0"/>
              <w:rPr>
                <w:sz w:val="20"/>
                <w:szCs w:val="20"/>
                <w:color w:val="auto"/>
              </w:rPr>
            </w:pPr>
          </w:p>
        </w:tc>
        <w:tc>
          <w:tcPr>
            <w:tcW w:w="120" w:type="dxa"/>
            <w:vAlign w:val="bottom"/>
            <w:tcBorders>
              <w:bottom w:val="single" w:sz="8" w:color="0000EE"/>
              <w:right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0000EE"/>
                <w:w w:val="71"/>
              </w:rPr>
              <w:t>8</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16"/>
        </w:trPr>
        <w:tc>
          <w:tcPr>
            <w:tcW w:w="3280" w:type="dxa"/>
            <w:vAlign w:val="bottom"/>
            <w:tcBorders>
              <w:top w:val="single" w:sz="8" w:color="CCEEFF"/>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97"/>
              </w:rPr>
              <w:t>DIRECTOR COMPENSATION FOR 2025</w:t>
            </w:r>
          </w:p>
        </w:tc>
        <w:tc>
          <w:tcPr>
            <w:tcW w:w="60" w:type="dxa"/>
            <w:vAlign w:val="bottom"/>
            <w:tcBorders>
              <w:top w:val="single" w:sz="8" w:color="CCEEFF"/>
              <w:bottom w:val="single" w:sz="8" w:color="CCEEFF"/>
            </w:tcBorders>
          </w:tcPr>
          <w:p>
            <w:pPr>
              <w:spacing w:after="0"/>
              <w:rPr>
                <w:sz w:val="18"/>
                <w:szCs w:val="18"/>
                <w:color w:val="auto"/>
              </w:rPr>
            </w:pPr>
          </w:p>
        </w:tc>
        <w:tc>
          <w:tcPr>
            <w:tcW w:w="580" w:type="dxa"/>
            <w:vAlign w:val="bottom"/>
            <w:tcBorders>
              <w:top w:val="single" w:sz="8" w:color="CCEEFF"/>
              <w:bottom w:val="single" w:sz="8" w:color="CCEEFF"/>
            </w:tcBorders>
            <w:gridSpan w:val="2"/>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40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CCEEFF"/>
              <w:bottom w:val="single" w:sz="8" w:color="CCEEFF"/>
            </w:tcBorders>
          </w:tcPr>
          <w:p>
            <w:pPr>
              <w:spacing w:after="0"/>
              <w:rPr>
                <w:sz w:val="18"/>
                <w:szCs w:val="18"/>
                <w:color w:val="auto"/>
              </w:rPr>
            </w:pPr>
          </w:p>
        </w:tc>
        <w:tc>
          <w:tcPr>
            <w:tcW w:w="560" w:type="dxa"/>
            <w:vAlign w:val="bottom"/>
            <w:tcBorders>
              <w:top w:val="single" w:sz="8" w:color="CCEEFF"/>
              <w:bottom w:val="single" w:sz="8" w:color="CCEEFF"/>
            </w:tcBorders>
          </w:tcPr>
          <w:p>
            <w:pPr>
              <w:spacing w:after="0"/>
              <w:rPr>
                <w:sz w:val="18"/>
                <w:szCs w:val="18"/>
                <w:color w:val="auto"/>
              </w:rPr>
            </w:pPr>
          </w:p>
        </w:tc>
        <w:tc>
          <w:tcPr>
            <w:tcW w:w="360" w:type="dxa"/>
            <w:vAlign w:val="bottom"/>
            <w:tcBorders>
              <w:top w:val="single" w:sz="8" w:color="CCEEFF"/>
              <w:bottom w:val="single" w:sz="8" w:color="CCEEFF"/>
            </w:tcBorders>
          </w:tcPr>
          <w:p>
            <w:pPr>
              <w:spacing w:after="0"/>
              <w:rPr>
                <w:sz w:val="18"/>
                <w:szCs w:val="18"/>
                <w:color w:val="auto"/>
              </w:rPr>
            </w:pPr>
          </w:p>
        </w:tc>
        <w:tc>
          <w:tcPr>
            <w:tcW w:w="520" w:type="dxa"/>
            <w:vAlign w:val="bottom"/>
            <w:tcBorders>
              <w:top w:val="single" w:sz="8" w:color="CCEEFF"/>
              <w:bottom w:val="single" w:sz="8" w:color="CCEEFF"/>
            </w:tcBorders>
          </w:tcPr>
          <w:p>
            <w:pPr>
              <w:spacing w:after="0"/>
              <w:rPr>
                <w:sz w:val="18"/>
                <w:szCs w:val="18"/>
                <w:color w:val="auto"/>
              </w:rPr>
            </w:pPr>
          </w:p>
        </w:tc>
        <w:tc>
          <w:tcPr>
            <w:tcW w:w="560" w:type="dxa"/>
            <w:vAlign w:val="bottom"/>
            <w:tcBorders>
              <w:top w:val="single" w:sz="8" w:color="CCEEFF"/>
              <w:bottom w:val="single" w:sz="8" w:color="CCEEFF"/>
            </w:tcBorders>
          </w:tcPr>
          <w:p>
            <w:pPr>
              <w:spacing w:after="0"/>
              <w:rPr>
                <w:sz w:val="18"/>
                <w:szCs w:val="18"/>
                <w:color w:val="auto"/>
              </w:rPr>
            </w:pPr>
          </w:p>
        </w:tc>
        <w:tc>
          <w:tcPr>
            <w:tcW w:w="540" w:type="dxa"/>
            <w:vAlign w:val="bottom"/>
            <w:tcBorders>
              <w:top w:val="single" w:sz="8" w:color="CCEEFF"/>
              <w:bottom w:val="single" w:sz="8" w:color="CCEEFF"/>
            </w:tcBorders>
          </w:tcPr>
          <w:p>
            <w:pPr>
              <w:spacing w:after="0"/>
              <w:rPr>
                <w:sz w:val="18"/>
                <w:szCs w:val="18"/>
                <w:color w:val="auto"/>
              </w:rPr>
            </w:pPr>
          </w:p>
        </w:tc>
        <w:tc>
          <w:tcPr>
            <w:tcW w:w="260" w:type="dxa"/>
            <w:vAlign w:val="bottom"/>
            <w:tcBorders>
              <w:top w:val="single" w:sz="8" w:color="CCEEFF"/>
              <w:bottom w:val="single" w:sz="8" w:color="CCEEFF"/>
            </w:tcBorders>
          </w:tcPr>
          <w:p>
            <w:pPr>
              <w:spacing w:after="0"/>
              <w:rPr>
                <w:sz w:val="18"/>
                <w:szCs w:val="18"/>
                <w:color w:val="auto"/>
              </w:rPr>
            </w:pPr>
          </w:p>
        </w:tc>
        <w:tc>
          <w:tcPr>
            <w:tcW w:w="36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ind w:left="4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CCEEFF"/>
              <w:bottom w:val="single" w:sz="8" w:color="0000EE"/>
            </w:tcBorders>
            <w:gridSpan w:val="3"/>
          </w:tcPr>
          <w:p>
            <w:pPr>
              <w:jc w:val="right"/>
              <w:spacing w:after="0" w:line="196" w:lineRule="exact"/>
              <w:rPr>
                <w:sz w:val="20"/>
                <w:szCs w:val="20"/>
                <w:color w:val="auto"/>
              </w:rPr>
            </w:pPr>
            <w:r>
              <w:rPr>
                <w:rFonts w:ascii="Arial" w:cs="Arial" w:eastAsia="Arial" w:hAnsi="Arial"/>
                <w:sz w:val="18"/>
                <w:szCs w:val="18"/>
                <w:color w:val="0000EE"/>
                <w:w w:val="79"/>
              </w:rPr>
              <w:t>13</w:t>
            </w: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0"/>
        </w:trPr>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5"/>
        </w:trPr>
        <w:tc>
          <w:tcPr>
            <w:tcW w:w="5200" w:type="dxa"/>
            <w:vAlign w:val="bottom"/>
            <w:tcBorders>
              <w:bottom w:val="single" w:sz="8" w:color="0000EE"/>
            </w:tcBorders>
            <w:gridSpan w:val="15"/>
            <w:shd w:val="clear" w:color="auto" w:fill="CCEEFF"/>
          </w:tcPr>
          <w:p>
            <w:pPr>
              <w:spacing w:after="0"/>
              <w:rPr>
                <w:sz w:val="20"/>
                <w:szCs w:val="20"/>
                <w:color w:val="auto"/>
              </w:rPr>
            </w:pPr>
            <w:r>
              <w:rPr>
                <w:rFonts w:ascii="Arial" w:cs="Arial" w:eastAsia="Arial" w:hAnsi="Arial"/>
                <w:sz w:val="18"/>
                <w:szCs w:val="18"/>
                <w:color w:val="0000EE"/>
                <w:w w:val="98"/>
              </w:rPr>
              <w:t>CORPORATE GOVERNANCE — HIGHLIGHTS AND OVERVIEW</w:t>
            </w:r>
          </w:p>
        </w:tc>
        <w:tc>
          <w:tcPr>
            <w:tcW w:w="3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0000EE"/>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0000EE"/>
                <w:w w:val="79"/>
              </w:rPr>
              <w:t>15</w:t>
            </w: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30"/>
        </w:trPr>
        <w:tc>
          <w:tcPr>
            <w:tcW w:w="6640" w:type="dxa"/>
            <w:vAlign w:val="bottom"/>
            <w:tcBorders>
              <w:top w:val="single" w:sz="8" w:color="CCEEFF"/>
              <w:bottom w:val="single" w:sz="8" w:color="0000EE"/>
            </w:tcBorders>
            <w:gridSpan w:val="18"/>
          </w:tcPr>
          <w:p>
            <w:pPr>
              <w:spacing w:after="0"/>
              <w:rPr>
                <w:sz w:val="20"/>
                <w:szCs w:val="20"/>
                <w:color w:val="auto"/>
              </w:rPr>
            </w:pPr>
            <w:r>
              <w:rPr>
                <w:rFonts w:ascii="Arial" w:cs="Arial" w:eastAsia="Arial" w:hAnsi="Arial"/>
                <w:sz w:val="18"/>
                <w:szCs w:val="18"/>
                <w:color w:val="0000EE"/>
                <w:w w:val="98"/>
              </w:rPr>
              <w:t>CORPORATE GOVERNANCE — COMMITTEES OF THE BOARD OF DIRECTORS</w:t>
            </w:r>
          </w:p>
        </w:tc>
        <w:tc>
          <w:tcPr>
            <w:tcW w:w="540" w:type="dxa"/>
            <w:vAlign w:val="bottom"/>
            <w:tcBorders>
              <w:top w:val="single" w:sz="8" w:color="CCEEFF"/>
              <w:bottom w:val="single" w:sz="8" w:color="CCEEFF"/>
            </w:tcBorders>
          </w:tcPr>
          <w:p>
            <w:pPr>
              <w:spacing w:after="0"/>
              <w:rPr>
                <w:sz w:val="19"/>
                <w:szCs w:val="19"/>
                <w:color w:val="auto"/>
              </w:rPr>
            </w:pPr>
          </w:p>
        </w:tc>
        <w:tc>
          <w:tcPr>
            <w:tcW w:w="260" w:type="dxa"/>
            <w:vAlign w:val="bottom"/>
            <w:tcBorders>
              <w:top w:val="single" w:sz="8" w:color="CCEEFF"/>
              <w:bottom w:val="single" w:sz="8" w:color="CCEEFF"/>
            </w:tcBorders>
          </w:tcPr>
          <w:p>
            <w:pPr>
              <w:spacing w:after="0"/>
              <w:rPr>
                <w:sz w:val="19"/>
                <w:szCs w:val="19"/>
                <w:color w:val="auto"/>
              </w:rPr>
            </w:pPr>
          </w:p>
        </w:tc>
        <w:tc>
          <w:tcPr>
            <w:tcW w:w="360" w:type="dxa"/>
            <w:vAlign w:val="bottom"/>
            <w:tcBorders>
              <w:top w:val="single" w:sz="8" w:color="CCEEFF"/>
              <w:bottom w:val="single" w:sz="8" w:color="CCEEFF"/>
            </w:tcBorders>
          </w:tcPr>
          <w:p>
            <w:pPr>
              <w:spacing w:after="0"/>
              <w:rPr>
                <w:sz w:val="19"/>
                <w:szCs w:val="19"/>
                <w:color w:val="auto"/>
              </w:rPr>
            </w:pPr>
          </w:p>
        </w:tc>
        <w:tc>
          <w:tcPr>
            <w:tcW w:w="120" w:type="dxa"/>
            <w:vAlign w:val="bottom"/>
            <w:tcBorders>
              <w:top w:val="single" w:sz="8" w:color="CCEEFF"/>
              <w:bottom w:val="single" w:sz="8" w:color="CCEEFF"/>
            </w:tcBorders>
          </w:tcPr>
          <w:p>
            <w:pPr>
              <w:ind w:left="4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bottom w:val="single" w:sz="8" w:color="CCEEFF"/>
            </w:tcBorders>
          </w:tcPr>
          <w:p>
            <w:pPr>
              <w:spacing w:after="0"/>
              <w:rPr>
                <w:sz w:val="19"/>
                <w:szCs w:val="19"/>
                <w:color w:val="auto"/>
              </w:rPr>
            </w:pPr>
          </w:p>
        </w:tc>
        <w:tc>
          <w:tcPr>
            <w:tcW w:w="220" w:type="dxa"/>
            <w:vAlign w:val="bottom"/>
            <w:tcBorders>
              <w:top w:val="single" w:sz="8" w:color="CCEEFF"/>
              <w:bottom w:val="single" w:sz="8" w:color="0000EE"/>
            </w:tcBorders>
            <w:gridSpan w:val="3"/>
          </w:tcPr>
          <w:p>
            <w:pPr>
              <w:jc w:val="right"/>
              <w:spacing w:after="0"/>
              <w:rPr>
                <w:sz w:val="20"/>
                <w:szCs w:val="20"/>
                <w:color w:val="auto"/>
              </w:rPr>
            </w:pPr>
            <w:r>
              <w:rPr>
                <w:rFonts w:ascii="Arial" w:cs="Arial" w:eastAsia="Arial" w:hAnsi="Arial"/>
                <w:sz w:val="18"/>
                <w:szCs w:val="18"/>
                <w:color w:val="0000EE"/>
                <w:w w:val="79"/>
              </w:rPr>
              <w:t>21</w:t>
            </w: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0"/>
        </w:trPr>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5"/>
        </w:trPr>
        <w:tc>
          <w:tcPr>
            <w:tcW w:w="4640" w:type="dxa"/>
            <w:vAlign w:val="bottom"/>
            <w:tcBorders>
              <w:bottom w:val="single" w:sz="8" w:color="0000EE"/>
            </w:tcBorders>
            <w:gridSpan w:val="14"/>
            <w:shd w:val="clear" w:color="auto" w:fill="CCEEFF"/>
          </w:tcPr>
          <w:p>
            <w:pPr>
              <w:spacing w:after="0"/>
              <w:rPr>
                <w:sz w:val="20"/>
                <w:szCs w:val="20"/>
                <w:color w:val="auto"/>
              </w:rPr>
            </w:pPr>
            <w:r>
              <w:rPr>
                <w:rFonts w:ascii="Arial" w:cs="Arial" w:eastAsia="Arial" w:hAnsi="Arial"/>
                <w:sz w:val="18"/>
                <w:szCs w:val="18"/>
                <w:color w:val="0000EE"/>
                <w:w w:val="98"/>
              </w:rPr>
              <w:t>CORPORATE GOVERNANCE — EXECUTIVE OFFICERS</w:t>
            </w:r>
          </w:p>
        </w:tc>
        <w:tc>
          <w:tcPr>
            <w:tcW w:w="920" w:type="dxa"/>
            <w:vAlign w:val="bottom"/>
            <w:tcBorders>
              <w:bottom w:val="single" w:sz="8" w:color="CCEEFF"/>
            </w:tcBorders>
            <w:gridSpan w:val="2"/>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0000EE"/>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0000EE"/>
                <w:w w:val="79"/>
              </w:rPr>
              <w:t>25</w:t>
            </w: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30"/>
        </w:trPr>
        <w:tc>
          <w:tcPr>
            <w:tcW w:w="4020" w:type="dxa"/>
            <w:vAlign w:val="bottom"/>
            <w:tcBorders>
              <w:top w:val="single" w:sz="8" w:color="CCEEFF"/>
              <w:bottom w:val="single" w:sz="8" w:color="0000EE"/>
            </w:tcBorders>
            <w:gridSpan w:val="12"/>
          </w:tcPr>
          <w:p>
            <w:pPr>
              <w:spacing w:after="0"/>
              <w:rPr>
                <w:sz w:val="20"/>
                <w:szCs w:val="20"/>
                <w:color w:val="auto"/>
              </w:rPr>
            </w:pPr>
            <w:r>
              <w:rPr>
                <w:rFonts w:ascii="Arial" w:cs="Arial" w:eastAsia="Arial" w:hAnsi="Arial"/>
                <w:sz w:val="18"/>
                <w:szCs w:val="18"/>
                <w:color w:val="0000EE"/>
                <w:w w:val="98"/>
              </w:rPr>
              <w:t>BENEFICIAL OWNERSHIP OF COMMON STOCK</w:t>
            </w:r>
          </w:p>
        </w:tc>
        <w:tc>
          <w:tcPr>
            <w:tcW w:w="400" w:type="dxa"/>
            <w:vAlign w:val="bottom"/>
            <w:tcBorders>
              <w:top w:val="single" w:sz="8" w:color="CCEEFF"/>
              <w:bottom w:val="single" w:sz="8" w:color="CCEEFF"/>
            </w:tcBorders>
          </w:tcPr>
          <w:p>
            <w:pPr>
              <w:spacing w:after="0"/>
              <w:rPr>
                <w:sz w:val="19"/>
                <w:szCs w:val="19"/>
                <w:color w:val="auto"/>
              </w:rPr>
            </w:pPr>
          </w:p>
        </w:tc>
        <w:tc>
          <w:tcPr>
            <w:tcW w:w="1140" w:type="dxa"/>
            <w:vAlign w:val="bottom"/>
            <w:tcBorders>
              <w:top w:val="single" w:sz="8" w:color="CCEEFF"/>
              <w:bottom w:val="single" w:sz="8" w:color="CCEEFF"/>
            </w:tcBorders>
            <w:gridSpan w:val="3"/>
          </w:tcPr>
          <w:p>
            <w:pPr>
              <w:spacing w:after="0"/>
              <w:rPr>
                <w:sz w:val="19"/>
                <w:szCs w:val="19"/>
                <w:color w:val="auto"/>
              </w:rPr>
            </w:pPr>
          </w:p>
        </w:tc>
        <w:tc>
          <w:tcPr>
            <w:tcW w:w="520" w:type="dxa"/>
            <w:vAlign w:val="bottom"/>
            <w:tcBorders>
              <w:top w:val="single" w:sz="8" w:color="CCEEFF"/>
              <w:bottom w:val="single" w:sz="8" w:color="CCEEFF"/>
            </w:tcBorders>
          </w:tcPr>
          <w:p>
            <w:pPr>
              <w:spacing w:after="0"/>
              <w:rPr>
                <w:sz w:val="19"/>
                <w:szCs w:val="19"/>
                <w:color w:val="auto"/>
              </w:rPr>
            </w:pPr>
          </w:p>
        </w:tc>
        <w:tc>
          <w:tcPr>
            <w:tcW w:w="1100" w:type="dxa"/>
            <w:vAlign w:val="bottom"/>
            <w:tcBorders>
              <w:top w:val="single" w:sz="8" w:color="CCEEFF"/>
              <w:bottom w:val="single" w:sz="8" w:color="CCEEFF"/>
            </w:tcBorders>
            <w:gridSpan w:val="2"/>
          </w:tcPr>
          <w:p>
            <w:pPr>
              <w:spacing w:after="0"/>
              <w:rPr>
                <w:sz w:val="19"/>
                <w:szCs w:val="19"/>
                <w:color w:val="auto"/>
              </w:rPr>
            </w:pPr>
          </w:p>
        </w:tc>
        <w:tc>
          <w:tcPr>
            <w:tcW w:w="260" w:type="dxa"/>
            <w:vAlign w:val="bottom"/>
            <w:tcBorders>
              <w:top w:val="single" w:sz="8" w:color="CCEEFF"/>
              <w:bottom w:val="single" w:sz="8" w:color="CCEEFF"/>
            </w:tcBorders>
          </w:tcPr>
          <w:p>
            <w:pPr>
              <w:spacing w:after="0"/>
              <w:rPr>
                <w:sz w:val="19"/>
                <w:szCs w:val="19"/>
                <w:color w:val="auto"/>
              </w:rPr>
            </w:pPr>
          </w:p>
        </w:tc>
        <w:tc>
          <w:tcPr>
            <w:tcW w:w="360" w:type="dxa"/>
            <w:vAlign w:val="bottom"/>
            <w:tcBorders>
              <w:top w:val="single" w:sz="8" w:color="CCEEFF"/>
              <w:bottom w:val="single" w:sz="8" w:color="CCEEFF"/>
            </w:tcBorders>
          </w:tcPr>
          <w:p>
            <w:pPr>
              <w:spacing w:after="0"/>
              <w:rPr>
                <w:sz w:val="19"/>
                <w:szCs w:val="19"/>
                <w:color w:val="auto"/>
              </w:rPr>
            </w:pPr>
          </w:p>
        </w:tc>
        <w:tc>
          <w:tcPr>
            <w:tcW w:w="120" w:type="dxa"/>
            <w:vAlign w:val="bottom"/>
            <w:tcBorders>
              <w:top w:val="single" w:sz="8" w:color="CCEEFF"/>
              <w:bottom w:val="single" w:sz="8" w:color="CCEEFF"/>
            </w:tcBorders>
          </w:tcPr>
          <w:p>
            <w:pPr>
              <w:ind w:left="4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bottom w:val="single" w:sz="8" w:color="CCEEFF"/>
            </w:tcBorders>
          </w:tcPr>
          <w:p>
            <w:pPr>
              <w:spacing w:after="0"/>
              <w:rPr>
                <w:sz w:val="19"/>
                <w:szCs w:val="19"/>
                <w:color w:val="auto"/>
              </w:rPr>
            </w:pPr>
          </w:p>
        </w:tc>
        <w:tc>
          <w:tcPr>
            <w:tcW w:w="220" w:type="dxa"/>
            <w:vAlign w:val="bottom"/>
            <w:tcBorders>
              <w:top w:val="single" w:sz="8" w:color="CCEEFF"/>
              <w:bottom w:val="single" w:sz="8" w:color="0000EE"/>
            </w:tcBorders>
            <w:gridSpan w:val="3"/>
          </w:tcPr>
          <w:p>
            <w:pPr>
              <w:jc w:val="right"/>
              <w:spacing w:after="0"/>
              <w:rPr>
                <w:sz w:val="20"/>
                <w:szCs w:val="20"/>
                <w:color w:val="auto"/>
              </w:rPr>
            </w:pPr>
            <w:r>
              <w:rPr>
                <w:rFonts w:ascii="Arial" w:cs="Arial" w:eastAsia="Arial" w:hAnsi="Arial"/>
                <w:sz w:val="18"/>
                <w:szCs w:val="18"/>
                <w:color w:val="0000EE"/>
                <w:w w:val="79"/>
              </w:rPr>
              <w:t>27</w:t>
            </w: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0"/>
        </w:trPr>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5"/>
        </w:trPr>
        <w:tc>
          <w:tcPr>
            <w:tcW w:w="3920" w:type="dxa"/>
            <w:vAlign w:val="bottom"/>
            <w:tcBorders>
              <w:bottom w:val="single" w:sz="8" w:color="0000EE"/>
            </w:tcBorders>
            <w:gridSpan w:val="11"/>
            <w:shd w:val="clear" w:color="auto" w:fill="CCEEFF"/>
          </w:tcPr>
          <w:p>
            <w:pPr>
              <w:spacing w:after="0"/>
              <w:rPr>
                <w:sz w:val="20"/>
                <w:szCs w:val="20"/>
                <w:color w:val="auto"/>
              </w:rPr>
            </w:pPr>
            <w:r>
              <w:rPr>
                <w:rFonts w:ascii="Arial" w:cs="Arial" w:eastAsia="Arial" w:hAnsi="Arial"/>
                <w:sz w:val="18"/>
                <w:szCs w:val="18"/>
                <w:color w:val="0000EE"/>
                <w:w w:val="97"/>
              </w:rPr>
              <w:t>COMPENSATION DISCUSSION AND ANALYSIS</w:t>
            </w:r>
          </w:p>
        </w:tc>
        <w:tc>
          <w:tcPr>
            <w:tcW w:w="500" w:type="dxa"/>
            <w:vAlign w:val="bottom"/>
            <w:tcBorders>
              <w:bottom w:val="single" w:sz="8" w:color="CCEEFF"/>
            </w:tcBorders>
            <w:gridSpan w:val="2"/>
            <w:shd w:val="clear" w:color="auto" w:fill="CCEEFF"/>
          </w:tcPr>
          <w:p>
            <w:pPr>
              <w:spacing w:after="0"/>
              <w:rPr>
                <w:sz w:val="21"/>
                <w:szCs w:val="21"/>
                <w:color w:val="auto"/>
              </w:rPr>
            </w:pPr>
          </w:p>
        </w:tc>
        <w:tc>
          <w:tcPr>
            <w:tcW w:w="1140" w:type="dxa"/>
            <w:vAlign w:val="bottom"/>
            <w:tcBorders>
              <w:bottom w:val="single" w:sz="8" w:color="CCEEFF"/>
            </w:tcBorders>
            <w:gridSpan w:val="3"/>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0000EE"/>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0000EE"/>
                <w:w w:val="79"/>
              </w:rPr>
              <w:t>29</w:t>
            </w: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30"/>
        </w:trPr>
        <w:tc>
          <w:tcPr>
            <w:tcW w:w="3340" w:type="dxa"/>
            <w:vAlign w:val="bottom"/>
            <w:tcBorders>
              <w:top w:val="single" w:sz="8" w:color="CCEEFF"/>
              <w:bottom w:val="single" w:sz="8" w:color="0000EE"/>
            </w:tcBorders>
            <w:gridSpan w:val="9"/>
          </w:tcPr>
          <w:p>
            <w:pPr>
              <w:spacing w:after="0"/>
              <w:rPr>
                <w:sz w:val="20"/>
                <w:szCs w:val="20"/>
                <w:color w:val="auto"/>
              </w:rPr>
            </w:pPr>
            <w:r>
              <w:rPr>
                <w:rFonts w:ascii="Arial" w:cs="Arial" w:eastAsia="Arial" w:hAnsi="Arial"/>
                <w:sz w:val="18"/>
                <w:szCs w:val="18"/>
                <w:color w:val="0000EE"/>
                <w:w w:val="97"/>
              </w:rPr>
              <w:t>COMPENSATION COMMITTEE REPORT</w:t>
            </w:r>
          </w:p>
        </w:tc>
        <w:tc>
          <w:tcPr>
            <w:tcW w:w="1080" w:type="dxa"/>
            <w:vAlign w:val="bottom"/>
            <w:tcBorders>
              <w:top w:val="single" w:sz="8" w:color="CCEEFF"/>
              <w:bottom w:val="single" w:sz="8" w:color="CCEEFF"/>
            </w:tcBorders>
            <w:gridSpan w:val="4"/>
          </w:tcPr>
          <w:p>
            <w:pPr>
              <w:spacing w:after="0"/>
              <w:rPr>
                <w:sz w:val="19"/>
                <w:szCs w:val="19"/>
                <w:color w:val="auto"/>
              </w:rPr>
            </w:pPr>
          </w:p>
        </w:tc>
        <w:tc>
          <w:tcPr>
            <w:tcW w:w="1140" w:type="dxa"/>
            <w:vAlign w:val="bottom"/>
            <w:tcBorders>
              <w:top w:val="single" w:sz="8" w:color="CCEEFF"/>
              <w:bottom w:val="single" w:sz="8" w:color="CCEEFF"/>
            </w:tcBorders>
            <w:gridSpan w:val="3"/>
          </w:tcPr>
          <w:p>
            <w:pPr>
              <w:spacing w:after="0"/>
              <w:rPr>
                <w:sz w:val="19"/>
                <w:szCs w:val="19"/>
                <w:color w:val="auto"/>
              </w:rPr>
            </w:pPr>
          </w:p>
        </w:tc>
        <w:tc>
          <w:tcPr>
            <w:tcW w:w="520" w:type="dxa"/>
            <w:vAlign w:val="bottom"/>
            <w:tcBorders>
              <w:top w:val="single" w:sz="8" w:color="CCEEFF"/>
              <w:bottom w:val="single" w:sz="8" w:color="CCEEFF"/>
            </w:tcBorders>
          </w:tcPr>
          <w:p>
            <w:pPr>
              <w:spacing w:after="0"/>
              <w:rPr>
                <w:sz w:val="19"/>
                <w:szCs w:val="19"/>
                <w:color w:val="auto"/>
              </w:rPr>
            </w:pPr>
          </w:p>
        </w:tc>
        <w:tc>
          <w:tcPr>
            <w:tcW w:w="1100" w:type="dxa"/>
            <w:vAlign w:val="bottom"/>
            <w:tcBorders>
              <w:top w:val="single" w:sz="8" w:color="CCEEFF"/>
              <w:bottom w:val="single" w:sz="8" w:color="CCEEFF"/>
            </w:tcBorders>
            <w:gridSpan w:val="2"/>
          </w:tcPr>
          <w:p>
            <w:pPr>
              <w:spacing w:after="0"/>
              <w:rPr>
                <w:sz w:val="19"/>
                <w:szCs w:val="19"/>
                <w:color w:val="auto"/>
              </w:rPr>
            </w:pPr>
          </w:p>
        </w:tc>
        <w:tc>
          <w:tcPr>
            <w:tcW w:w="260" w:type="dxa"/>
            <w:vAlign w:val="bottom"/>
            <w:tcBorders>
              <w:top w:val="single" w:sz="8" w:color="CCEEFF"/>
              <w:bottom w:val="single" w:sz="8" w:color="CCEEFF"/>
            </w:tcBorders>
          </w:tcPr>
          <w:p>
            <w:pPr>
              <w:spacing w:after="0"/>
              <w:rPr>
                <w:sz w:val="19"/>
                <w:szCs w:val="19"/>
                <w:color w:val="auto"/>
              </w:rPr>
            </w:pPr>
          </w:p>
        </w:tc>
        <w:tc>
          <w:tcPr>
            <w:tcW w:w="360" w:type="dxa"/>
            <w:vAlign w:val="bottom"/>
            <w:tcBorders>
              <w:top w:val="single" w:sz="8" w:color="CCEEFF"/>
              <w:bottom w:val="single" w:sz="8" w:color="CCEEFF"/>
            </w:tcBorders>
          </w:tcPr>
          <w:p>
            <w:pPr>
              <w:spacing w:after="0"/>
              <w:rPr>
                <w:sz w:val="19"/>
                <w:szCs w:val="19"/>
                <w:color w:val="auto"/>
              </w:rPr>
            </w:pPr>
          </w:p>
        </w:tc>
        <w:tc>
          <w:tcPr>
            <w:tcW w:w="120" w:type="dxa"/>
            <w:vAlign w:val="bottom"/>
            <w:tcBorders>
              <w:top w:val="single" w:sz="8" w:color="CCEEFF"/>
              <w:bottom w:val="single" w:sz="8" w:color="CCEEFF"/>
            </w:tcBorders>
          </w:tcPr>
          <w:p>
            <w:pPr>
              <w:ind w:left="4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bottom w:val="single" w:sz="8" w:color="CCEEFF"/>
            </w:tcBorders>
          </w:tcPr>
          <w:p>
            <w:pPr>
              <w:spacing w:after="0"/>
              <w:rPr>
                <w:sz w:val="19"/>
                <w:szCs w:val="19"/>
                <w:color w:val="auto"/>
              </w:rPr>
            </w:pPr>
          </w:p>
        </w:tc>
        <w:tc>
          <w:tcPr>
            <w:tcW w:w="220" w:type="dxa"/>
            <w:vAlign w:val="bottom"/>
            <w:tcBorders>
              <w:top w:val="single" w:sz="8" w:color="CCEEFF"/>
              <w:bottom w:val="single" w:sz="8" w:color="0000EE"/>
            </w:tcBorders>
            <w:gridSpan w:val="3"/>
          </w:tcPr>
          <w:p>
            <w:pPr>
              <w:jc w:val="right"/>
              <w:spacing w:after="0"/>
              <w:rPr>
                <w:sz w:val="20"/>
                <w:szCs w:val="20"/>
                <w:color w:val="auto"/>
              </w:rPr>
            </w:pPr>
            <w:r>
              <w:rPr>
                <w:rFonts w:ascii="Arial" w:cs="Arial" w:eastAsia="Arial" w:hAnsi="Arial"/>
                <w:sz w:val="18"/>
                <w:szCs w:val="18"/>
                <w:color w:val="0000EE"/>
                <w:w w:val="79"/>
              </w:rPr>
              <w:t>42</w:t>
            </w: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0"/>
        </w:trPr>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5"/>
        </w:trPr>
        <w:tc>
          <w:tcPr>
            <w:tcW w:w="4420" w:type="dxa"/>
            <w:vAlign w:val="bottom"/>
            <w:tcBorders>
              <w:bottom w:val="single" w:sz="8" w:color="0000EE"/>
            </w:tcBorders>
            <w:gridSpan w:val="13"/>
            <w:shd w:val="clear" w:color="auto" w:fill="CCEEFF"/>
          </w:tcPr>
          <w:p>
            <w:pPr>
              <w:spacing w:after="0"/>
              <w:rPr>
                <w:sz w:val="20"/>
                <w:szCs w:val="20"/>
                <w:color w:val="auto"/>
              </w:rPr>
            </w:pPr>
            <w:r>
              <w:rPr>
                <w:rFonts w:ascii="Arial" w:cs="Arial" w:eastAsia="Arial" w:hAnsi="Arial"/>
                <w:sz w:val="18"/>
                <w:szCs w:val="18"/>
                <w:color w:val="0000EE"/>
                <w:w w:val="97"/>
              </w:rPr>
              <w:t>SUMMARY COMPENSATION TABLE FOR 2023 – 2025</w:t>
            </w:r>
          </w:p>
        </w:tc>
        <w:tc>
          <w:tcPr>
            <w:tcW w:w="1140" w:type="dxa"/>
            <w:vAlign w:val="bottom"/>
            <w:tcBorders>
              <w:bottom w:val="single" w:sz="8" w:color="CCEEFF"/>
            </w:tcBorders>
            <w:gridSpan w:val="3"/>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0000EE"/>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0000EE"/>
                <w:w w:val="79"/>
              </w:rPr>
              <w:t>43</w:t>
            </w: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30"/>
        </w:trPr>
        <w:tc>
          <w:tcPr>
            <w:tcW w:w="7180" w:type="dxa"/>
            <w:vAlign w:val="bottom"/>
            <w:tcBorders>
              <w:top w:val="single" w:sz="8" w:color="CCEEFF"/>
              <w:bottom w:val="single" w:sz="8" w:color="0000EE"/>
            </w:tcBorders>
            <w:gridSpan w:val="19"/>
          </w:tcPr>
          <w:p>
            <w:pPr>
              <w:spacing w:after="0"/>
              <w:rPr>
                <w:sz w:val="20"/>
                <w:szCs w:val="20"/>
                <w:color w:val="auto"/>
              </w:rPr>
            </w:pPr>
            <w:r>
              <w:rPr>
                <w:rFonts w:ascii="Arial" w:cs="Arial" w:eastAsia="Arial" w:hAnsi="Arial"/>
                <w:sz w:val="18"/>
                <w:szCs w:val="18"/>
                <w:color w:val="0000EE"/>
                <w:w w:val="98"/>
              </w:rPr>
              <w:t>GRANTS OF PLAN-BASED AWARDS DURING THE YEAR ENDED DECEMBER 31, 2025</w:t>
            </w:r>
          </w:p>
        </w:tc>
        <w:tc>
          <w:tcPr>
            <w:tcW w:w="260" w:type="dxa"/>
            <w:vAlign w:val="bottom"/>
            <w:tcBorders>
              <w:top w:val="single" w:sz="8" w:color="CCEEFF"/>
              <w:bottom w:val="single" w:sz="8" w:color="CCEEFF"/>
            </w:tcBorders>
          </w:tcPr>
          <w:p>
            <w:pPr>
              <w:spacing w:after="0"/>
              <w:rPr>
                <w:sz w:val="19"/>
                <w:szCs w:val="19"/>
                <w:color w:val="auto"/>
              </w:rPr>
            </w:pPr>
          </w:p>
        </w:tc>
        <w:tc>
          <w:tcPr>
            <w:tcW w:w="360" w:type="dxa"/>
            <w:vAlign w:val="bottom"/>
            <w:tcBorders>
              <w:top w:val="single" w:sz="8" w:color="CCEEFF"/>
              <w:bottom w:val="single" w:sz="8" w:color="CCEEFF"/>
            </w:tcBorders>
          </w:tcPr>
          <w:p>
            <w:pPr>
              <w:spacing w:after="0"/>
              <w:rPr>
                <w:sz w:val="19"/>
                <w:szCs w:val="19"/>
                <w:color w:val="auto"/>
              </w:rPr>
            </w:pPr>
          </w:p>
        </w:tc>
        <w:tc>
          <w:tcPr>
            <w:tcW w:w="120" w:type="dxa"/>
            <w:vAlign w:val="bottom"/>
            <w:tcBorders>
              <w:top w:val="single" w:sz="8" w:color="CCEEFF"/>
              <w:bottom w:val="single" w:sz="8" w:color="CCEEFF"/>
            </w:tcBorders>
          </w:tcPr>
          <w:p>
            <w:pPr>
              <w:ind w:left="4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bottom w:val="single" w:sz="8" w:color="CCEEFF"/>
            </w:tcBorders>
          </w:tcPr>
          <w:p>
            <w:pPr>
              <w:spacing w:after="0"/>
              <w:rPr>
                <w:sz w:val="19"/>
                <w:szCs w:val="19"/>
                <w:color w:val="auto"/>
              </w:rPr>
            </w:pPr>
          </w:p>
        </w:tc>
        <w:tc>
          <w:tcPr>
            <w:tcW w:w="220" w:type="dxa"/>
            <w:vAlign w:val="bottom"/>
            <w:tcBorders>
              <w:top w:val="single" w:sz="8" w:color="CCEEFF"/>
              <w:bottom w:val="single" w:sz="8" w:color="0000EE"/>
            </w:tcBorders>
            <w:gridSpan w:val="3"/>
          </w:tcPr>
          <w:p>
            <w:pPr>
              <w:jc w:val="right"/>
              <w:spacing w:after="0"/>
              <w:rPr>
                <w:sz w:val="20"/>
                <w:szCs w:val="20"/>
                <w:color w:val="auto"/>
              </w:rPr>
            </w:pPr>
            <w:r>
              <w:rPr>
                <w:rFonts w:ascii="Arial" w:cs="Arial" w:eastAsia="Arial" w:hAnsi="Arial"/>
                <w:sz w:val="18"/>
                <w:szCs w:val="18"/>
                <w:color w:val="0000EE"/>
                <w:w w:val="79"/>
              </w:rPr>
              <w:t>45</w:t>
            </w: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0"/>
        </w:trPr>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5"/>
        </w:trPr>
        <w:tc>
          <w:tcPr>
            <w:tcW w:w="5560" w:type="dxa"/>
            <w:vAlign w:val="bottom"/>
            <w:tcBorders>
              <w:bottom w:val="single" w:sz="8" w:color="0000EE"/>
            </w:tcBorders>
            <w:gridSpan w:val="16"/>
            <w:shd w:val="clear" w:color="auto" w:fill="CCEEFF"/>
          </w:tcPr>
          <w:p>
            <w:pPr>
              <w:spacing w:after="0"/>
              <w:rPr>
                <w:sz w:val="20"/>
                <w:szCs w:val="20"/>
                <w:color w:val="auto"/>
              </w:rPr>
            </w:pPr>
            <w:r>
              <w:rPr>
                <w:rFonts w:ascii="Arial" w:cs="Arial" w:eastAsia="Arial" w:hAnsi="Arial"/>
                <w:sz w:val="18"/>
                <w:szCs w:val="18"/>
                <w:color w:val="0000EE"/>
                <w:w w:val="97"/>
              </w:rPr>
              <w:t>OUTSTANDING EQUITY AWARDS AT FISCAL YEAR END FOR 2025</w:t>
            </w:r>
          </w:p>
        </w:tc>
        <w:tc>
          <w:tcPr>
            <w:tcW w:w="5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3"/>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0000EE"/>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0000EE"/>
                <w:w w:val="79"/>
              </w:rPr>
              <w:t>46</w:t>
            </w: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7800" w:type="dxa"/>
            <w:vAlign w:val="bottom"/>
            <w:tcBorders>
              <w:top w:val="single" w:sz="8" w:color="CCEEFF"/>
            </w:tcBorders>
            <w:gridSpan w:val="21"/>
          </w:tcPr>
          <w:p>
            <w:pPr>
              <w:spacing w:after="0"/>
              <w:rPr>
                <w:sz w:val="20"/>
                <w:szCs w:val="20"/>
                <w:color w:val="auto"/>
              </w:rPr>
            </w:pPr>
            <w:r>
              <w:rPr>
                <w:rFonts w:ascii="Arial" w:cs="Arial" w:eastAsia="Arial" w:hAnsi="Arial"/>
                <w:sz w:val="18"/>
                <w:szCs w:val="18"/>
                <w:color w:val="0000EE"/>
              </w:rPr>
              <w:t>OPTIONS EXERCISED AND STOCK VESTED DURING THE YEAR ENDED DECEMBER 31,</w:t>
            </w: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Pr>
          <w:p>
            <w:pPr>
              <w:spacing w:after="0"/>
              <w:rPr>
                <w:sz w:val="18"/>
                <w:szCs w:val="18"/>
                <w:color w:val="auto"/>
              </w:rPr>
            </w:pPr>
          </w:p>
        </w:tc>
      </w:tr>
      <w:tr>
        <w:trPr>
          <w:trHeight w:val="196"/>
        </w:trPr>
        <w:tc>
          <w:tcPr>
            <w:tcW w:w="900" w:type="dxa"/>
            <w:vAlign w:val="bottom"/>
            <w:tcBorders>
              <w:top w:val="single" w:sz="8" w:color="0000EE"/>
            </w:tcBorders>
            <w:gridSpan w:val="3"/>
          </w:tcPr>
          <w:p>
            <w:pPr>
              <w:ind w:left="180"/>
              <w:spacing w:after="0" w:line="182" w:lineRule="exact"/>
              <w:rPr>
                <w:sz w:val="20"/>
                <w:szCs w:val="20"/>
                <w:color w:val="auto"/>
              </w:rPr>
            </w:pPr>
            <w:r>
              <w:rPr>
                <w:rFonts w:ascii="Arial" w:cs="Arial" w:eastAsia="Arial" w:hAnsi="Arial"/>
                <w:sz w:val="18"/>
                <w:szCs w:val="18"/>
                <w:color w:val="0000EE"/>
              </w:rPr>
              <w:t>2025</w:t>
            </w:r>
          </w:p>
        </w:tc>
        <w:tc>
          <w:tcPr>
            <w:tcW w:w="124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ind w:left="40"/>
              <w:spacing w:after="0" w:line="182" w:lineRule="exact"/>
              <w:rPr>
                <w:sz w:val="20"/>
                <w:szCs w:val="20"/>
                <w:color w:val="auto"/>
              </w:rPr>
            </w:pPr>
            <w:r>
              <w:rPr>
                <w:rFonts w:ascii="Arial" w:cs="Arial" w:eastAsia="Arial" w:hAnsi="Arial"/>
                <w:sz w:val="18"/>
                <w:szCs w:val="18"/>
                <w:color w:val="auto"/>
              </w:rPr>
              <w:t>​</w:t>
            </w:r>
          </w:p>
        </w:tc>
        <w:tc>
          <w:tcPr>
            <w:tcW w:w="280" w:type="dxa"/>
            <w:vAlign w:val="bottom"/>
            <w:gridSpan w:val="4"/>
          </w:tcPr>
          <w:p>
            <w:pPr>
              <w:jc w:val="right"/>
              <w:spacing w:after="0" w:line="182" w:lineRule="exact"/>
              <w:rPr>
                <w:sz w:val="20"/>
                <w:szCs w:val="20"/>
                <w:color w:val="auto"/>
              </w:rPr>
            </w:pPr>
            <w:r>
              <w:rPr>
                <w:rFonts w:ascii="Arial" w:cs="Arial" w:eastAsia="Arial" w:hAnsi="Arial"/>
                <w:sz w:val="18"/>
                <w:szCs w:val="18"/>
                <w:color w:val="0000EE"/>
              </w:rPr>
              <w:t>48</w:t>
            </w:r>
          </w:p>
        </w:tc>
        <w:tc>
          <w:tcPr>
            <w:tcW w:w="60" w:type="dxa"/>
            <w:vAlign w:val="bottom"/>
          </w:tcPr>
          <w:p>
            <w:pPr>
              <w:spacing w:after="0" w:line="182" w:lineRule="exact"/>
              <w:rPr>
                <w:sz w:val="20"/>
                <w:szCs w:val="20"/>
                <w:color w:val="auto"/>
              </w:rPr>
            </w:pPr>
            <w:r>
              <w:rPr>
                <w:rFonts w:ascii="Arial" w:cs="Arial" w:eastAsia="Arial" w:hAnsi="Arial"/>
                <w:sz w:val="18"/>
                <w:szCs w:val="18"/>
                <w:color w:val="auto"/>
              </w:rPr>
              <w:t>​</w:t>
            </w:r>
          </w:p>
        </w:tc>
      </w:tr>
      <w:tr>
        <w:trPr>
          <w:trHeight w:val="34"/>
        </w:trPr>
        <w:tc>
          <w:tcPr>
            <w:tcW w:w="180" w:type="dxa"/>
            <w:vAlign w:val="bottom"/>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255"/>
        </w:trPr>
        <w:tc>
          <w:tcPr>
            <w:tcW w:w="6080" w:type="dxa"/>
            <w:vAlign w:val="bottom"/>
            <w:tcBorders>
              <w:bottom w:val="single" w:sz="8" w:color="0000EE"/>
            </w:tcBorders>
            <w:gridSpan w:val="17"/>
            <w:shd w:val="clear" w:color="auto" w:fill="CCEEFF"/>
          </w:tcPr>
          <w:p>
            <w:pPr>
              <w:spacing w:after="0"/>
              <w:rPr>
                <w:sz w:val="20"/>
                <w:szCs w:val="20"/>
                <w:color w:val="auto"/>
              </w:rPr>
            </w:pPr>
            <w:r>
              <w:rPr>
                <w:rFonts w:ascii="Arial" w:cs="Arial" w:eastAsia="Arial" w:hAnsi="Arial"/>
                <w:sz w:val="18"/>
                <w:szCs w:val="18"/>
                <w:color w:val="0000EE"/>
                <w:w w:val="97"/>
              </w:rPr>
              <w:t>POTENTIAL PAYMENTS UPON TERMINATION OR CHANGE IN CONTROL</w:t>
            </w:r>
          </w:p>
        </w:tc>
        <w:tc>
          <w:tcPr>
            <w:tcW w:w="1720" w:type="dxa"/>
            <w:vAlign w:val="bottom"/>
            <w:tcBorders>
              <w:bottom w:val="single" w:sz="8" w:color="CCEEFF"/>
            </w:tcBorders>
            <w:gridSpan w:val="4"/>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0000EE"/>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0000EE"/>
                <w:w w:val="79"/>
              </w:rPr>
              <w:t>49</w:t>
            </w: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30"/>
        </w:trPr>
        <w:tc>
          <w:tcPr>
            <w:tcW w:w="900" w:type="dxa"/>
            <w:vAlign w:val="bottom"/>
            <w:tcBorders>
              <w:top w:val="single" w:sz="8" w:color="CCEEFF"/>
              <w:bottom w:val="single" w:sz="8" w:color="0000EE"/>
            </w:tcBorders>
            <w:gridSpan w:val="3"/>
          </w:tcPr>
          <w:p>
            <w:pPr>
              <w:spacing w:after="0"/>
              <w:rPr>
                <w:sz w:val="20"/>
                <w:szCs w:val="20"/>
                <w:color w:val="auto"/>
              </w:rPr>
            </w:pPr>
            <w:r>
              <w:rPr>
                <w:rFonts w:ascii="Arial" w:cs="Arial" w:eastAsia="Arial" w:hAnsi="Arial"/>
                <w:sz w:val="18"/>
                <w:szCs w:val="18"/>
                <w:color w:val="0000EE"/>
                <w:w w:val="91"/>
              </w:rPr>
              <w:t>PAY RATIO</w:t>
            </w:r>
          </w:p>
        </w:tc>
        <w:tc>
          <w:tcPr>
            <w:tcW w:w="1640" w:type="dxa"/>
            <w:vAlign w:val="bottom"/>
            <w:tcBorders>
              <w:top w:val="single" w:sz="8" w:color="CCEEFF"/>
              <w:bottom w:val="single" w:sz="8" w:color="CCEEFF"/>
            </w:tcBorders>
            <w:gridSpan w:val="2"/>
          </w:tcPr>
          <w:p>
            <w:pPr>
              <w:spacing w:after="0"/>
              <w:rPr>
                <w:sz w:val="19"/>
                <w:szCs w:val="19"/>
                <w:color w:val="auto"/>
              </w:rPr>
            </w:pPr>
          </w:p>
        </w:tc>
        <w:tc>
          <w:tcPr>
            <w:tcW w:w="600" w:type="dxa"/>
            <w:vAlign w:val="bottom"/>
            <w:tcBorders>
              <w:top w:val="single" w:sz="8" w:color="CCEEFF"/>
              <w:bottom w:val="single" w:sz="8" w:color="CCEEFF"/>
            </w:tcBorders>
            <w:gridSpan w:val="2"/>
          </w:tcPr>
          <w:p>
            <w:pPr>
              <w:spacing w:after="0"/>
              <w:rPr>
                <w:sz w:val="19"/>
                <w:szCs w:val="19"/>
                <w:color w:val="auto"/>
              </w:rPr>
            </w:pPr>
          </w:p>
        </w:tc>
        <w:tc>
          <w:tcPr>
            <w:tcW w:w="4660" w:type="dxa"/>
            <w:vAlign w:val="bottom"/>
            <w:tcBorders>
              <w:top w:val="single" w:sz="8" w:color="CCEEFF"/>
              <w:bottom w:val="single" w:sz="8" w:color="CCEEFF"/>
            </w:tcBorders>
            <w:gridSpan w:val="14"/>
          </w:tcPr>
          <w:p>
            <w:pPr>
              <w:spacing w:after="0"/>
              <w:rPr>
                <w:sz w:val="19"/>
                <w:szCs w:val="19"/>
                <w:color w:val="auto"/>
              </w:rPr>
            </w:pPr>
          </w:p>
        </w:tc>
        <w:tc>
          <w:tcPr>
            <w:tcW w:w="120" w:type="dxa"/>
            <w:vAlign w:val="bottom"/>
            <w:tcBorders>
              <w:top w:val="single" w:sz="8" w:color="CCEEFF"/>
              <w:bottom w:val="single" w:sz="8" w:color="CCEEFF"/>
            </w:tcBorders>
          </w:tcPr>
          <w:p>
            <w:pPr>
              <w:ind w:left="4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bottom w:val="single" w:sz="8" w:color="CCEEFF"/>
            </w:tcBorders>
          </w:tcPr>
          <w:p>
            <w:pPr>
              <w:spacing w:after="0"/>
              <w:rPr>
                <w:sz w:val="19"/>
                <w:szCs w:val="19"/>
                <w:color w:val="auto"/>
              </w:rPr>
            </w:pPr>
          </w:p>
        </w:tc>
        <w:tc>
          <w:tcPr>
            <w:tcW w:w="220" w:type="dxa"/>
            <w:vAlign w:val="bottom"/>
            <w:tcBorders>
              <w:top w:val="single" w:sz="8" w:color="CCEEFF"/>
              <w:bottom w:val="single" w:sz="8" w:color="0000EE"/>
            </w:tcBorders>
            <w:gridSpan w:val="3"/>
          </w:tcPr>
          <w:p>
            <w:pPr>
              <w:jc w:val="right"/>
              <w:spacing w:after="0"/>
              <w:rPr>
                <w:sz w:val="20"/>
                <w:szCs w:val="20"/>
                <w:color w:val="auto"/>
              </w:rPr>
            </w:pPr>
            <w:r>
              <w:rPr>
                <w:rFonts w:ascii="Arial" w:cs="Arial" w:eastAsia="Arial" w:hAnsi="Arial"/>
                <w:sz w:val="18"/>
                <w:szCs w:val="18"/>
                <w:color w:val="0000EE"/>
                <w:w w:val="79"/>
              </w:rPr>
              <w:t>53</w:t>
            </w: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0"/>
        </w:trPr>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5"/>
        </w:trPr>
        <w:tc>
          <w:tcPr>
            <w:tcW w:w="2540" w:type="dxa"/>
            <w:vAlign w:val="bottom"/>
            <w:tcBorders>
              <w:bottom w:val="single" w:sz="8" w:color="0000EE"/>
            </w:tcBorders>
            <w:gridSpan w:val="5"/>
            <w:shd w:val="clear" w:color="auto" w:fill="CCEEFF"/>
          </w:tcPr>
          <w:p>
            <w:pPr>
              <w:spacing w:after="0"/>
              <w:rPr>
                <w:sz w:val="20"/>
                <w:szCs w:val="20"/>
                <w:color w:val="auto"/>
              </w:rPr>
            </w:pPr>
            <w:r>
              <w:rPr>
                <w:rFonts w:ascii="Arial" w:cs="Arial" w:eastAsia="Arial" w:hAnsi="Arial"/>
                <w:sz w:val="18"/>
                <w:szCs w:val="18"/>
                <w:color w:val="0000EE"/>
                <w:w w:val="96"/>
              </w:rPr>
              <w:t>PAY VERSUS PERFORMANCE</w:t>
            </w:r>
          </w:p>
        </w:tc>
        <w:tc>
          <w:tcPr>
            <w:tcW w:w="600" w:type="dxa"/>
            <w:vAlign w:val="bottom"/>
            <w:tcBorders>
              <w:bottom w:val="single" w:sz="8" w:color="CCEEFF"/>
            </w:tcBorders>
            <w:gridSpan w:val="2"/>
            <w:shd w:val="clear" w:color="auto" w:fill="CCEEFF"/>
          </w:tcPr>
          <w:p>
            <w:pPr>
              <w:spacing w:after="0"/>
              <w:rPr>
                <w:sz w:val="21"/>
                <w:szCs w:val="21"/>
                <w:color w:val="auto"/>
              </w:rPr>
            </w:pPr>
          </w:p>
        </w:tc>
        <w:tc>
          <w:tcPr>
            <w:tcW w:w="4660" w:type="dxa"/>
            <w:vAlign w:val="bottom"/>
            <w:tcBorders>
              <w:bottom w:val="single" w:sz="8" w:color="CCEEFF"/>
            </w:tcBorders>
            <w:gridSpan w:val="14"/>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0000EE"/>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0000EE"/>
                <w:w w:val="79"/>
              </w:rPr>
              <w:t>54</w:t>
            </w: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29"/>
        </w:trPr>
        <w:tc>
          <w:tcPr>
            <w:tcW w:w="3140" w:type="dxa"/>
            <w:vAlign w:val="bottom"/>
            <w:tcBorders>
              <w:top w:val="single" w:sz="8" w:color="CCEEFF"/>
              <w:bottom w:val="single" w:sz="8" w:color="0000EE"/>
            </w:tcBorders>
            <w:gridSpan w:val="7"/>
          </w:tcPr>
          <w:p>
            <w:pPr>
              <w:spacing w:after="0"/>
              <w:rPr>
                <w:sz w:val="20"/>
                <w:szCs w:val="20"/>
                <w:color w:val="auto"/>
              </w:rPr>
            </w:pPr>
            <w:r>
              <w:rPr>
                <w:rFonts w:ascii="Arial" w:cs="Arial" w:eastAsia="Arial" w:hAnsi="Arial"/>
                <w:sz w:val="18"/>
                <w:szCs w:val="18"/>
                <w:color w:val="0000EE"/>
                <w:w w:val="98"/>
              </w:rPr>
              <w:t>REPORT OF THE AUDIT COMMITTEE</w:t>
            </w:r>
          </w:p>
        </w:tc>
        <w:tc>
          <w:tcPr>
            <w:tcW w:w="4660" w:type="dxa"/>
            <w:vAlign w:val="bottom"/>
            <w:tcBorders>
              <w:top w:val="single" w:sz="8" w:color="CCEEFF"/>
              <w:bottom w:val="single" w:sz="8" w:color="CCEEFF"/>
            </w:tcBorders>
            <w:gridSpan w:val="14"/>
          </w:tcPr>
          <w:p>
            <w:pPr>
              <w:spacing w:after="0"/>
              <w:rPr>
                <w:sz w:val="19"/>
                <w:szCs w:val="19"/>
                <w:color w:val="auto"/>
              </w:rPr>
            </w:pPr>
          </w:p>
        </w:tc>
        <w:tc>
          <w:tcPr>
            <w:tcW w:w="120" w:type="dxa"/>
            <w:vAlign w:val="bottom"/>
            <w:tcBorders>
              <w:top w:val="single" w:sz="8" w:color="CCEEFF"/>
              <w:bottom w:val="single" w:sz="8" w:color="CCEEFF"/>
            </w:tcBorders>
          </w:tcPr>
          <w:p>
            <w:pPr>
              <w:ind w:left="4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bottom w:val="single" w:sz="8" w:color="CCEEFF"/>
            </w:tcBorders>
          </w:tcPr>
          <w:p>
            <w:pPr>
              <w:spacing w:after="0"/>
              <w:rPr>
                <w:sz w:val="19"/>
                <w:szCs w:val="19"/>
                <w:color w:val="auto"/>
              </w:rPr>
            </w:pPr>
          </w:p>
        </w:tc>
        <w:tc>
          <w:tcPr>
            <w:tcW w:w="220" w:type="dxa"/>
            <w:vAlign w:val="bottom"/>
            <w:tcBorders>
              <w:top w:val="single" w:sz="8" w:color="CCEEFF"/>
              <w:bottom w:val="single" w:sz="8" w:color="0000EE"/>
            </w:tcBorders>
            <w:gridSpan w:val="3"/>
          </w:tcPr>
          <w:p>
            <w:pPr>
              <w:jc w:val="right"/>
              <w:spacing w:after="0"/>
              <w:rPr>
                <w:sz w:val="20"/>
                <w:szCs w:val="20"/>
                <w:color w:val="auto"/>
              </w:rPr>
            </w:pPr>
            <w:r>
              <w:rPr>
                <w:rFonts w:ascii="Arial" w:cs="Arial" w:eastAsia="Arial" w:hAnsi="Arial"/>
                <w:sz w:val="18"/>
                <w:szCs w:val="18"/>
                <w:color w:val="0000EE"/>
                <w:w w:val="79"/>
              </w:rPr>
              <w:t>58</w:t>
            </w:r>
          </w:p>
        </w:tc>
        <w:tc>
          <w:tcPr>
            <w:tcW w:w="60" w:type="dxa"/>
            <w:vAlign w:val="bottom"/>
          </w:tcPr>
          <w:p>
            <w:pPr>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3086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12080" cy="30861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-3179445</wp:posOffset>
            </wp:positionV>
            <wp:extent cx="495490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954905"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49" w:lineRule="exact"/>
        <w:rPr>
          <w:sz w:val="20"/>
          <w:szCs w:val="20"/>
          <w:color w:val="auto"/>
        </w:rPr>
      </w:pPr>
    </w:p>
    <w:p>
      <w:pPr>
        <w:ind w:left="1440" w:right="40" w:hanging="179"/>
        <w:spacing w:after="0" w:line="289" w:lineRule="auto"/>
        <w:rPr>
          <w:sz w:val="20"/>
          <w:szCs w:val="20"/>
          <w:color w:val="auto"/>
        </w:rPr>
      </w:pPr>
      <w:r>
        <w:rPr>
          <w:rFonts w:ascii="Arial" w:cs="Arial" w:eastAsia="Arial" w:hAnsi="Arial"/>
          <w:sz w:val="18"/>
          <w:szCs w:val="18"/>
          <w:b w:val="1"/>
          <w:bCs w:val="1"/>
          <w:u w:val="single" w:color="auto"/>
          <w:color w:val="0000EE"/>
        </w:rPr>
        <w:t>PROPOSAL 2: RATIFICATION OF SELECTION OF INDEPENDENT REGISTERED PUBLIC ACCOUNTING FIRM</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8"/>
          <w:szCs w:val="18"/>
          <w:b w:val="1"/>
          <w:bCs w:val="1"/>
          <w:u w:val="single" w:color="auto"/>
          <w:color w:val="0000EE"/>
        </w:rPr>
        <w:t>PROPOSAL 3: ADVISORY VOTE TO APPROVE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17780</wp:posOffset>
            </wp:positionV>
            <wp:extent cx="5212080" cy="4457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12080" cy="445770"/>
                    </a:xfrm>
                    <a:prstGeom prst="rect">
                      <a:avLst/>
                    </a:prstGeom>
                    <a:noFill/>
                  </pic:spPr>
                </pic:pic>
              </a:graphicData>
            </a:graphic>
          </wp:anchor>
        </w:drawing>
      </w:r>
    </w:p>
    <w:p>
      <w:pPr>
        <w:spacing w:after="0" w:line="30" w:lineRule="exact"/>
        <w:rPr>
          <w:sz w:val="20"/>
          <w:szCs w:val="20"/>
          <w:color w:val="auto"/>
        </w:rPr>
      </w:pPr>
    </w:p>
    <w:p>
      <w:pPr>
        <w:jc w:val="both"/>
        <w:ind w:left="1440" w:hanging="179"/>
        <w:spacing w:after="0" w:line="273" w:lineRule="auto"/>
        <w:rPr>
          <w:sz w:val="20"/>
          <w:szCs w:val="20"/>
          <w:color w:val="auto"/>
        </w:rPr>
      </w:pPr>
      <w:r>
        <w:rPr>
          <w:rFonts w:ascii="Arial" w:cs="Arial" w:eastAsia="Arial" w:hAnsi="Arial"/>
          <w:sz w:val="18"/>
          <w:szCs w:val="18"/>
          <w:b w:val="1"/>
          <w:bCs w:val="1"/>
          <w:u w:val="single" w:color="auto"/>
          <w:color w:val="0000EE"/>
        </w:rPr>
        <w:t>PROPOSAL 4: APPROVAL OF THE COMPANY’S SIXTH AMENDED AND RESTATED 2010 EQUITY INCENTIVE PLAN TO REPLACE THE FIFTH AMENDED AND RESTATED 2010 EQUITY INCENTIVE PLAN</w:t>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0000EE"/>
        </w:rPr>
        <w:t>59</w:t>
      </w:r>
      <w:r>
        <w:rPr>
          <w:rFonts w:ascii="Arial" w:cs="Arial" w:eastAsia="Arial" w:hAnsi="Arial"/>
          <w:sz w:val="18"/>
          <w:szCs w:val="18"/>
          <w:b w:val="1"/>
          <w:bCs w:val="1"/>
          <w:color w:val="auto"/>
        </w:rPr>
        <w:t xml:space="preserve"> ​</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0000EE"/>
        </w:rPr>
        <w:t>61</w:t>
      </w:r>
      <w:r>
        <w:rPr>
          <w:rFonts w:ascii="Arial" w:cs="Arial" w:eastAsia="Arial" w:hAnsi="Arial"/>
          <w:sz w:val="18"/>
          <w:szCs w:val="18"/>
          <w:b w:val="1"/>
          <w:bCs w:val="1"/>
          <w:color w:val="auto"/>
        </w:rPr>
        <w:t xml:space="preserve"> ​</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0000EE"/>
        </w:rPr>
        <w:t>62</w:t>
      </w:r>
      <w:r>
        <w:rPr>
          <w:rFonts w:ascii="Arial" w:cs="Arial" w:eastAsia="Arial" w:hAnsi="Arial"/>
          <w:sz w:val="18"/>
          <w:szCs w:val="18"/>
          <w:b w:val="1"/>
          <w:bCs w:val="1"/>
          <w:color w:val="auto"/>
        </w:rPr>
        <w:t xml:space="preserve"> ​</w:t>
      </w:r>
    </w:p>
    <w:p>
      <w:pPr>
        <w:spacing w:after="0" w:line="76" w:lineRule="exact"/>
        <w:rPr>
          <w:sz w:val="20"/>
          <w:szCs w:val="20"/>
          <w:color w:val="auto"/>
        </w:rPr>
      </w:pPr>
    </w:p>
    <w:p>
      <w:pPr>
        <w:sectPr>
          <w:pgSz w:w="11900" w:h="16838" w:orient="portrait"/>
          <w:cols w:equalWidth="0" w:num="2">
            <w:col w:w="8620" w:space="480"/>
            <w:col w:w="779"/>
          </w:cols>
          <w:pgMar w:left="580" w:top="97" w:right="1440" w:bottom="1440" w:gutter="0" w:footer="0" w:header="0"/>
          <w:type w:val="continuous"/>
        </w:sectPr>
      </w:pPr>
    </w:p>
    <w:p>
      <w:pPr>
        <w:ind w:left="1260"/>
        <w:spacing w:after="0"/>
        <w:rPr>
          <w:sz w:val="20"/>
          <w:szCs w:val="20"/>
          <w:color w:val="auto"/>
        </w:rPr>
      </w:pPr>
      <w:r>
        <w:rPr>
          <w:rFonts w:ascii="Arial" w:cs="Arial" w:eastAsia="Arial" w:hAnsi="Arial"/>
          <w:sz w:val="18"/>
          <w:szCs w:val="18"/>
          <w:u w:val="single" w:color="auto"/>
          <w:color w:val="0000EE"/>
        </w:rPr>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17780</wp:posOffset>
            </wp:positionV>
            <wp:extent cx="521208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DELINQUENT SECTION 16(a) REPORTS</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7"/>
          <w:szCs w:val="17"/>
          <w:u w:val="single" w:color="auto"/>
          <w:color w:val="0000EE"/>
        </w:rPr>
        <w:t>STOCKHOLDER PROPOSALS AND DIRECTOR CANDIDATE NOMINATIONS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24765</wp:posOffset>
            </wp:positionV>
            <wp:extent cx="521208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55"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ANNUAL REPORT</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17780</wp:posOffset>
            </wp:positionV>
            <wp:extent cx="521208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APPENDIX 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0000EE"/>
        </w:rPr>
        <w:t>68</w:t>
      </w:r>
      <w:r>
        <w:rPr>
          <w:rFonts w:ascii="Arial" w:cs="Arial" w:eastAsia="Arial" w:hAnsi="Arial"/>
          <w:sz w:val="18"/>
          <w:szCs w:val="18"/>
          <w:color w:val="auto"/>
        </w:rPr>
        <w:t xml:space="preserve"> ​</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0000EE"/>
        </w:rPr>
        <w:t>68</w:t>
      </w:r>
      <w:r>
        <w:rPr>
          <w:rFonts w:ascii="Arial" w:cs="Arial" w:eastAsia="Arial" w:hAnsi="Arial"/>
          <w:sz w:val="18"/>
          <w:szCs w:val="18"/>
          <w:color w:val="auto"/>
        </w:rPr>
        <w:t xml:space="preserve"> ​</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0000EE"/>
        </w:rPr>
        <w:t>69</w:t>
      </w:r>
      <w:r>
        <w:rPr>
          <w:rFonts w:ascii="Arial" w:cs="Arial" w:eastAsia="Arial" w:hAnsi="Arial"/>
          <w:sz w:val="18"/>
          <w:szCs w:val="18"/>
          <w:color w:val="auto"/>
        </w:rPr>
        <w:t xml:space="preserve"> ​</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0000EE"/>
        </w:rPr>
        <w:t>69</w:t>
      </w:r>
      <w:r>
        <w:rPr>
          <w:rFonts w:ascii="Arial" w:cs="Arial" w:eastAsia="Arial" w:hAnsi="Arial"/>
          <w:sz w:val="18"/>
          <w:szCs w:val="18"/>
          <w:color w:val="auto"/>
        </w:rPr>
        <w:t xml:space="preserve"> ​</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0000EE"/>
        </w:rPr>
        <w:t>A-1</w:t>
      </w:r>
      <w:r>
        <w:rPr>
          <w:rFonts w:ascii="Arial" w:cs="Arial" w:eastAsia="Arial" w:hAnsi="Arial"/>
          <w:sz w:val="18"/>
          <w:szCs w:val="18"/>
          <w:color w:val="auto"/>
        </w:rPr>
        <w:t xml:space="preserve"> ​</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0000EE"/>
        </w:rPr>
        <w:t>B-1</w:t>
      </w:r>
      <w:r>
        <w:rPr>
          <w:rFonts w:ascii="Arial" w:cs="Arial" w:eastAsia="Arial" w:hAnsi="Arial"/>
          <w:sz w:val="18"/>
          <w:szCs w:val="18"/>
          <w:color w:val="auto"/>
        </w:rPr>
        <w:t xml:space="preserve"> ​</w:t>
      </w:r>
    </w:p>
    <w:p>
      <w:pPr>
        <w:spacing w:after="0" w:line="200" w:lineRule="exact"/>
        <w:rPr>
          <w:sz w:val="20"/>
          <w:szCs w:val="20"/>
          <w:color w:val="auto"/>
        </w:rPr>
      </w:pPr>
    </w:p>
    <w:p>
      <w:pPr>
        <w:sectPr>
          <w:pgSz w:w="11900" w:h="16838" w:orient="portrait"/>
          <w:cols w:equalWidth="0" w:num="2">
            <w:col w:w="8380" w:space="720"/>
            <w:col w:w="77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LETTER FROM THE CHAIRMAN</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Fellow Stockholders:</w:t>
      </w:r>
    </w:p>
    <w:p>
      <w:pPr>
        <w:spacing w:after="0" w:line="158" w:lineRule="exact"/>
        <w:rPr>
          <w:sz w:val="20"/>
          <w:szCs w:val="20"/>
          <w:color w:val="auto"/>
        </w:rPr>
      </w:pPr>
    </w:p>
    <w:p>
      <w:pPr>
        <w:jc w:val="both"/>
        <w:ind w:left="1260" w:right="419"/>
        <w:spacing w:after="0" w:line="274" w:lineRule="auto"/>
        <w:rPr>
          <w:sz w:val="20"/>
          <w:szCs w:val="20"/>
          <w:color w:val="auto"/>
        </w:rPr>
      </w:pPr>
      <w:r>
        <w:rPr>
          <w:rFonts w:ascii="Arial" w:cs="Arial" w:eastAsia="Arial" w:hAnsi="Arial"/>
          <w:sz w:val="17"/>
          <w:szCs w:val="17"/>
          <w:color w:val="auto"/>
        </w:rPr>
        <w:t xml:space="preserve">It is my pleasure to inform you that our 2026 Annual Meeting of Stockholders will be conducted online on Wednesday, June 17, 2026. The virtual nature of the meeting will enable us to increase stockholder accessibility, while improving meeting efficiency and reducing costs. Stockholders will be able to listen, vote and submit questions from their home or any remote location with Internet connectivity. Information on how to participate in this year’s virtual meeting can be found beginning on page </w:t>
      </w:r>
      <w:r>
        <w:rPr>
          <w:rFonts w:ascii="Arial" w:cs="Arial" w:eastAsia="Arial" w:hAnsi="Arial"/>
          <w:sz w:val="17"/>
          <w:szCs w:val="17"/>
          <w:u w:val="single" w:color="auto"/>
          <w:color w:val="0000EE"/>
        </w:rPr>
        <w:t>3</w:t>
      </w:r>
      <w:r>
        <w:rPr>
          <w:rFonts w:ascii="Arial" w:cs="Arial" w:eastAsia="Arial" w:hAnsi="Arial"/>
          <w:sz w:val="17"/>
          <w:szCs w:val="17"/>
          <w:color w:val="auto"/>
        </w:rPr>
        <w:t>. For all of you who participate, whether live or by proxy, we thank you for your investment in the Company and for taking part in the election of directors and voting on the other proposals brought before our stockholders.</w:t>
      </w:r>
    </w:p>
    <w:p>
      <w:pPr>
        <w:spacing w:after="0" w:line="85" w:lineRule="exact"/>
        <w:rPr>
          <w:sz w:val="20"/>
          <w:szCs w:val="20"/>
          <w:color w:val="auto"/>
        </w:rPr>
      </w:pPr>
    </w:p>
    <w:p>
      <w:pPr>
        <w:jc w:val="both"/>
        <w:ind w:left="1260" w:right="419"/>
        <w:spacing w:after="0" w:line="262" w:lineRule="auto"/>
        <w:rPr>
          <w:sz w:val="20"/>
          <w:szCs w:val="20"/>
          <w:color w:val="auto"/>
        </w:rPr>
      </w:pPr>
      <w:r>
        <w:rPr>
          <w:rFonts w:ascii="Arial" w:cs="Arial" w:eastAsia="Arial" w:hAnsi="Arial"/>
          <w:sz w:val="18"/>
          <w:szCs w:val="18"/>
          <w:color w:val="auto"/>
        </w:rPr>
        <w:t>Since the Company does not have a staggered Board of Directors, all of our Board members stand for election every year. In addition to the director election, there are three proposals to be voted on: ratification of the selection our external auditor, an advisory vote on executive compensation, and approval of the Company’s Sixth Amended and Restated 2010 Equity Incentive Plan.</w:t>
      </w:r>
    </w:p>
    <w:p>
      <w:pPr>
        <w:spacing w:after="0" w:line="109" w:lineRule="exact"/>
        <w:rPr>
          <w:sz w:val="20"/>
          <w:szCs w:val="20"/>
          <w:color w:val="auto"/>
        </w:rPr>
      </w:pPr>
    </w:p>
    <w:p>
      <w:pPr>
        <w:jc w:val="both"/>
        <w:ind w:left="1260" w:right="419"/>
        <w:spacing w:after="0" w:line="257" w:lineRule="auto"/>
        <w:rPr>
          <w:sz w:val="20"/>
          <w:szCs w:val="20"/>
          <w:color w:val="auto"/>
        </w:rPr>
      </w:pPr>
      <w:r>
        <w:rPr>
          <w:rFonts w:ascii="Arial" w:cs="Arial" w:eastAsia="Arial" w:hAnsi="Arial"/>
          <w:sz w:val="18"/>
          <w:szCs w:val="18"/>
          <w:color w:val="auto"/>
        </w:rPr>
        <w:t>As discussed in detail in the Compensation Discussion and Analysis section, the Compensation Committee of the Board of Directors, under the direction of the Board, continued to administer and refine our executive compensation program, which was restructured in early 2017, and further refined in 2021 to reflect our conversion in 2020 to a real estate investment trust. We believe that our compensation program effectively links pay with performance, and aligns management’s interests with the interests of the Company’s stockholders.</w:t>
      </w:r>
    </w:p>
    <w:p>
      <w:pPr>
        <w:spacing w:after="0" w:line="115" w:lineRule="exact"/>
        <w:rPr>
          <w:sz w:val="20"/>
          <w:szCs w:val="20"/>
          <w:color w:val="auto"/>
        </w:rPr>
      </w:pPr>
    </w:p>
    <w:p>
      <w:pPr>
        <w:jc w:val="both"/>
        <w:ind w:left="1260" w:right="419"/>
        <w:spacing w:after="0" w:line="270" w:lineRule="auto"/>
        <w:rPr>
          <w:sz w:val="20"/>
          <w:szCs w:val="20"/>
          <w:color w:val="auto"/>
        </w:rPr>
      </w:pPr>
      <w:r>
        <w:rPr>
          <w:rFonts w:ascii="Arial" w:cs="Arial" w:eastAsia="Arial" w:hAnsi="Arial"/>
          <w:sz w:val="17"/>
          <w:szCs w:val="17"/>
          <w:color w:val="auto"/>
        </w:rPr>
        <w:t>Our executive compensation program, similar to many other companies’ compensation programs, consists of a blend of base salary, service-based equity incentive compensation, and performance-based cash and equity incentive compensation. Under the program, the Compensation Committee establishes at the beginning of each year a set of objective, measurable metrics that will be used to evaluate management’s performance, on both an annual and long-term basis. The metrics are weighted to reflect the Company’s progress and priorities in executing our business plan. Rigorous performance goals are also established each year for each metric, with “threshold,” “target” and “outperform/maximum” performance levels set for each metric. The metrics and weighting are reviewed each year and adjusted as necessary based on the Company’s progress in executing our business plan. All of these decisions are made in a manner designed to incentivize management to execute our business plan in a manner that will increase the value of the Company’s assets and maximize returns to our stockholders.</w:t>
      </w:r>
    </w:p>
    <w:p>
      <w:pPr>
        <w:spacing w:after="0" w:line="92" w:lineRule="exact"/>
        <w:rPr>
          <w:sz w:val="20"/>
          <w:szCs w:val="20"/>
          <w:color w:val="auto"/>
        </w:rPr>
      </w:pPr>
    </w:p>
    <w:p>
      <w:pPr>
        <w:jc w:val="both"/>
        <w:ind w:left="1260" w:right="419"/>
        <w:spacing w:after="0" w:line="254" w:lineRule="auto"/>
        <w:rPr>
          <w:sz w:val="20"/>
          <w:szCs w:val="20"/>
          <w:color w:val="auto"/>
        </w:rPr>
      </w:pPr>
      <w:r>
        <w:rPr>
          <w:rFonts w:ascii="Arial" w:cs="Arial" w:eastAsia="Arial" w:hAnsi="Arial"/>
          <w:sz w:val="18"/>
          <w:szCs w:val="18"/>
          <w:color w:val="auto"/>
        </w:rPr>
        <w:t>Our 2025 proved to be a successful year of continued progress towards accomplishing the Company’s long term business objectives — please see our 2025 Annual Report on Form 10-K and letter to stockholders from our President and Chief Executive Officer, John Albright, for additional discussion. Our accomplishments for 2025 included the acquisition of two shopping centers in attractive, high-growth markets for a total of $144.9 million, as well as the origination of structured investment commitments totaling $21.0 million, all at favorable return rates. We also strategically recycled capital, disposing of four properties at a weighted average exit cash cap rate of mid-5%. Finally, we completed over 670,000 square feet of leasing, meaningfully increasing our signed but not open leasing pipeline, which helped drive leased occupancy at year-end to 95.9%, with shopping center same property NOI increasing by 4.4% versus 2024.</w:t>
      </w:r>
    </w:p>
    <w:p>
      <w:pPr>
        <w:spacing w:after="0" w:line="118" w:lineRule="exact"/>
        <w:rPr>
          <w:sz w:val="20"/>
          <w:szCs w:val="20"/>
          <w:color w:val="auto"/>
        </w:rPr>
      </w:pPr>
    </w:p>
    <w:p>
      <w:pPr>
        <w:jc w:val="both"/>
        <w:ind w:left="1260" w:right="419"/>
        <w:spacing w:after="0" w:line="256" w:lineRule="auto"/>
        <w:rPr>
          <w:sz w:val="20"/>
          <w:szCs w:val="20"/>
          <w:color w:val="auto"/>
        </w:rPr>
      </w:pPr>
      <w:r>
        <w:rPr>
          <w:rFonts w:ascii="Arial" w:cs="Arial" w:eastAsia="Arial" w:hAnsi="Arial"/>
          <w:sz w:val="18"/>
          <w:szCs w:val="18"/>
          <w:color w:val="auto"/>
        </w:rPr>
        <w:t xml:space="preserve">2025 was a successful year for the Company. Our executive team achieved the midpoint between the “target” and “outperform/maximum” levels of performance under our annual incentive plan. With respect to long-term performance-based equity incentive compensation, performance shares awarded in February of 2023 vested in early 2026. Based on the Company’s total stockholder return relative to our peer group during the three-year performance period, these performance shares vested at the “outperform/maximum” level of performance. A discussion of our annual and long-term incentive plans can be found beginning on page </w:t>
      </w:r>
      <w:r>
        <w:rPr>
          <w:rFonts w:ascii="Arial" w:cs="Arial" w:eastAsia="Arial" w:hAnsi="Arial"/>
          <w:sz w:val="18"/>
          <w:szCs w:val="18"/>
          <w:u w:val="single" w:color="auto"/>
          <w:color w:val="0000EE"/>
        </w:rPr>
        <w:t>34</w:t>
      </w:r>
      <w:r>
        <w:rPr>
          <w:rFonts w:ascii="Arial" w:cs="Arial" w:eastAsia="Arial" w:hAnsi="Arial"/>
          <w:sz w:val="18"/>
          <w:szCs w:val="18"/>
          <w:color w:val="auto"/>
        </w:rPr>
        <w:t>.</w:t>
      </w:r>
    </w:p>
    <w:p>
      <w:pPr>
        <w:spacing w:after="0" w:line="200" w:lineRule="exact"/>
        <w:rPr>
          <w:sz w:val="20"/>
          <w:szCs w:val="20"/>
          <w:color w:val="auto"/>
        </w:rPr>
      </w:pPr>
    </w:p>
    <w:p>
      <w:pPr>
        <w:spacing w:after="0" w:line="212"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left="1260" w:right="419"/>
        <w:spacing w:after="0" w:line="268" w:lineRule="auto"/>
        <w:rPr>
          <w:sz w:val="20"/>
          <w:szCs w:val="20"/>
          <w:color w:val="auto"/>
        </w:rPr>
      </w:pPr>
      <w:r>
        <w:rPr>
          <w:rFonts w:ascii="Arial" w:cs="Arial" w:eastAsia="Arial" w:hAnsi="Arial"/>
          <w:sz w:val="18"/>
          <w:szCs w:val="18"/>
          <w:color w:val="auto"/>
        </w:rPr>
        <w:t>We are very pleased with the Company’s 2025 results and our management team’s performance, and hope you will enjoy reading the more detailed Compensation Discussion and Analysis section in the pages that follow.</w:t>
      </w:r>
    </w:p>
    <w:p>
      <w:pPr>
        <w:spacing w:after="0" w:line="10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Sincerely,</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Laura M. Franklin</w:t>
      </w:r>
    </w:p>
    <w:p>
      <w:pPr>
        <w:spacing w:after="0" w:line="2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Chairman of the Board</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CTO Realty Growth,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6660"/>
        <w:spacing w:after="0"/>
        <w:rPr>
          <w:sz w:val="20"/>
          <w:szCs w:val="20"/>
          <w:color w:val="auto"/>
        </w:rPr>
      </w:pPr>
      <w:r>
        <w:rPr>
          <w:rFonts w:ascii="Arial" w:cs="Arial" w:eastAsia="Arial" w:hAnsi="Arial"/>
          <w:sz w:val="18"/>
          <w:szCs w:val="18"/>
          <w:b w:val="1"/>
          <w:bCs w:val="1"/>
          <w:color w:val="auto"/>
        </w:rPr>
        <w:t>CTO REALTY GROWTH,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-118745</wp:posOffset>
            </wp:positionV>
            <wp:extent cx="685800" cy="4972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0" cy="497205"/>
                    </a:xfrm>
                    <a:prstGeom prst="rect">
                      <a:avLst/>
                    </a:prstGeom>
                    <a:noFill/>
                  </pic:spPr>
                </pic:pic>
              </a:graphicData>
            </a:graphic>
          </wp:anchor>
        </w:drawing>
      </w:r>
    </w:p>
    <w:p>
      <w:pPr>
        <w:spacing w:after="0" w:line="7" w:lineRule="exact"/>
        <w:rPr>
          <w:sz w:val="20"/>
          <w:szCs w:val="20"/>
          <w:color w:val="auto"/>
        </w:rPr>
      </w:pPr>
    </w:p>
    <w:p>
      <w:pPr>
        <w:ind w:left="6660"/>
        <w:spacing w:after="0"/>
        <w:rPr>
          <w:sz w:val="20"/>
          <w:szCs w:val="20"/>
          <w:color w:val="auto"/>
        </w:rPr>
      </w:pPr>
      <w:r>
        <w:rPr>
          <w:rFonts w:ascii="Arial" w:cs="Arial" w:eastAsia="Arial" w:hAnsi="Arial"/>
          <w:sz w:val="18"/>
          <w:szCs w:val="18"/>
          <w:b w:val="1"/>
          <w:bCs w:val="1"/>
          <w:color w:val="auto"/>
        </w:rPr>
        <w:t>369 N. New York Ave, Suite 201</w:t>
      </w:r>
    </w:p>
    <w:p>
      <w:pPr>
        <w:spacing w:after="0" w:line="9" w:lineRule="exact"/>
        <w:rPr>
          <w:sz w:val="20"/>
          <w:szCs w:val="20"/>
          <w:color w:val="auto"/>
        </w:rPr>
      </w:pPr>
    </w:p>
    <w:p>
      <w:pPr>
        <w:ind w:left="6660"/>
        <w:spacing w:after="0"/>
        <w:rPr>
          <w:sz w:val="20"/>
          <w:szCs w:val="20"/>
          <w:color w:val="auto"/>
        </w:rPr>
      </w:pPr>
      <w:r>
        <w:rPr>
          <w:rFonts w:ascii="Arial" w:cs="Arial" w:eastAsia="Arial" w:hAnsi="Arial"/>
          <w:sz w:val="18"/>
          <w:szCs w:val="18"/>
          <w:b w:val="1"/>
          <w:bCs w:val="1"/>
          <w:color w:val="auto"/>
        </w:rPr>
        <w:t>Winter Park, Florida 32789</w:t>
      </w:r>
    </w:p>
    <w:p>
      <w:pPr>
        <w:spacing w:after="0" w:line="200" w:lineRule="exact"/>
        <w:rPr>
          <w:sz w:val="20"/>
          <w:szCs w:val="20"/>
          <w:color w:val="auto"/>
        </w:rPr>
      </w:pPr>
    </w:p>
    <w:p>
      <w:pPr>
        <w:spacing w:after="0" w:line="2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GENERAL INFORMATION</w:t>
      </w:r>
    </w:p>
    <w:p>
      <w:pPr>
        <w:spacing w:after="0" w:line="144" w:lineRule="exact"/>
        <w:rPr>
          <w:sz w:val="20"/>
          <w:szCs w:val="20"/>
          <w:color w:val="auto"/>
        </w:rPr>
      </w:pPr>
    </w:p>
    <w:p>
      <w:pPr>
        <w:jc w:val="both"/>
        <w:ind w:left="1260" w:right="419"/>
        <w:spacing w:after="0" w:line="259" w:lineRule="auto"/>
        <w:rPr>
          <w:sz w:val="20"/>
          <w:szCs w:val="20"/>
          <w:color w:val="auto"/>
        </w:rPr>
      </w:pPr>
      <w:r>
        <w:rPr>
          <w:rFonts w:ascii="Arial" w:cs="Arial" w:eastAsia="Arial" w:hAnsi="Arial"/>
          <w:sz w:val="18"/>
          <w:szCs w:val="18"/>
          <w:b w:val="1"/>
          <w:bCs w:val="1"/>
          <w:color w:val="auto"/>
        </w:rPr>
        <w:t xml:space="preserve">Why am I receiving this proxy statement? </w:t>
      </w:r>
      <w:r>
        <w:rPr>
          <w:rFonts w:ascii="Arial" w:cs="Arial" w:eastAsia="Arial" w:hAnsi="Arial"/>
          <w:sz w:val="18"/>
          <w:szCs w:val="18"/>
          <w:color w:val="auto"/>
        </w:rPr>
        <w:t>The board of directors (the “Board of Directors” or</w:t>
      </w:r>
      <w:r>
        <w:rPr>
          <w:rFonts w:ascii="Arial" w:cs="Arial" w:eastAsia="Arial" w:hAnsi="Arial"/>
          <w:sz w:val="18"/>
          <w:szCs w:val="18"/>
          <w:b w:val="1"/>
          <w:bCs w:val="1"/>
          <w:color w:val="auto"/>
        </w:rPr>
        <w:t xml:space="preserve"> </w:t>
      </w:r>
      <w:r>
        <w:rPr>
          <w:rFonts w:ascii="Arial" w:cs="Arial" w:eastAsia="Arial" w:hAnsi="Arial"/>
          <w:sz w:val="18"/>
          <w:szCs w:val="18"/>
          <w:color w:val="auto"/>
        </w:rPr>
        <w:t>“Board”) of CTO Realty Growth, Inc., a Maryland corporation (the “Company,” “we,” “our” and “us”), is soliciting proxies for use at the 2026 annual meeting of stockholders to be held on Wednesday, June 17, 2026 at 11:00 a.m. eastern time (including any adjournments or postponements thereof, the “Annual Meeting”). The Annual Meeting will be held online in a “virtual only” format.</w:t>
      </w:r>
    </w:p>
    <w:p>
      <w:pPr>
        <w:spacing w:after="0" w:line="112" w:lineRule="exact"/>
        <w:rPr>
          <w:sz w:val="20"/>
          <w:szCs w:val="20"/>
          <w:color w:val="auto"/>
        </w:rPr>
      </w:pPr>
    </w:p>
    <w:p>
      <w:pPr>
        <w:jc w:val="both"/>
        <w:ind w:left="1260" w:right="419"/>
        <w:spacing w:after="0" w:line="255" w:lineRule="auto"/>
        <w:rPr>
          <w:sz w:val="20"/>
          <w:szCs w:val="20"/>
          <w:color w:val="auto"/>
        </w:rPr>
      </w:pPr>
      <w:r>
        <w:rPr>
          <w:rFonts w:ascii="Arial" w:cs="Arial" w:eastAsia="Arial" w:hAnsi="Arial"/>
          <w:sz w:val="18"/>
          <w:szCs w:val="18"/>
          <w:color w:val="auto"/>
        </w:rPr>
        <w:t>On or about May 5, 2026, we will mail to you and our other stockholders a Notice of Internet Availability of Proxy Materials (the “Internet Availability Notice”) containing instructions on (i) how to access online this proxy statement and our 2025 annual report, which includes our Annual Report on Form 10-K for the fiscal year ended December 31, 2025, and our audited consolidated financial statements included therein (collectively, the “Annual Report”); and (ii) how to vote your shares by telephone, over the Internet, or by mail. You will not receive a printed copy of the proxy materials and Annual Report unless you request them. If you would like to receive a printed copy of the proxy materials, including a printed proxy card on which you may submit your vote by mail, then you should follow the instructions for obtaining such materials contained in the Internet Availability Notice.</w:t>
      </w:r>
    </w:p>
    <w:p>
      <w:pPr>
        <w:spacing w:after="0" w:line="113" w:lineRule="exact"/>
        <w:rPr>
          <w:sz w:val="20"/>
          <w:szCs w:val="20"/>
          <w:color w:val="auto"/>
        </w:rPr>
      </w:pPr>
    </w:p>
    <w:p>
      <w:pPr>
        <w:jc w:val="both"/>
        <w:ind w:left="1260" w:right="419"/>
        <w:spacing w:after="0" w:line="268" w:lineRule="auto"/>
        <w:rPr>
          <w:sz w:val="20"/>
          <w:szCs w:val="20"/>
          <w:color w:val="auto"/>
        </w:rPr>
      </w:pPr>
      <w:r>
        <w:rPr>
          <w:rFonts w:ascii="Arial" w:cs="Arial" w:eastAsia="Arial" w:hAnsi="Arial"/>
          <w:sz w:val="18"/>
          <w:szCs w:val="18"/>
          <w:b w:val="1"/>
          <w:bCs w:val="1"/>
          <w:color w:val="auto"/>
        </w:rPr>
        <w:t xml:space="preserve">What is a proxy? </w:t>
      </w:r>
      <w:r>
        <w:rPr>
          <w:rFonts w:ascii="Arial" w:cs="Arial" w:eastAsia="Arial" w:hAnsi="Arial"/>
          <w:sz w:val="18"/>
          <w:szCs w:val="18"/>
          <w:color w:val="auto"/>
        </w:rPr>
        <w:t>A proxy is your legal designation of another person to vote the shares you own. That</w:t>
      </w:r>
      <w:r>
        <w:rPr>
          <w:rFonts w:ascii="Arial" w:cs="Arial" w:eastAsia="Arial" w:hAnsi="Arial"/>
          <w:sz w:val="18"/>
          <w:szCs w:val="18"/>
          <w:b w:val="1"/>
          <w:bCs w:val="1"/>
          <w:color w:val="auto"/>
        </w:rPr>
        <w:t xml:space="preserve"> </w:t>
      </w:r>
      <w:r>
        <w:rPr>
          <w:rFonts w:ascii="Arial" w:cs="Arial" w:eastAsia="Arial" w:hAnsi="Arial"/>
          <w:sz w:val="18"/>
          <w:szCs w:val="18"/>
          <w:color w:val="auto"/>
        </w:rPr>
        <w:t>other person is called a proxy. If you designate someone as your proxy, the document in which you make that designation is also called a proxy.</w:t>
      </w:r>
    </w:p>
    <w:p>
      <w:pPr>
        <w:spacing w:after="0" w:line="90" w:lineRule="exact"/>
        <w:rPr>
          <w:sz w:val="20"/>
          <w:szCs w:val="20"/>
          <w:color w:val="auto"/>
        </w:rPr>
      </w:pPr>
    </w:p>
    <w:p>
      <w:pPr>
        <w:jc w:val="both"/>
        <w:ind w:left="1260" w:right="419"/>
        <w:spacing w:after="0" w:line="268" w:lineRule="auto"/>
        <w:rPr>
          <w:sz w:val="20"/>
          <w:szCs w:val="20"/>
          <w:color w:val="auto"/>
        </w:rPr>
      </w:pPr>
      <w:r>
        <w:rPr>
          <w:rFonts w:ascii="Arial" w:cs="Arial" w:eastAsia="Arial" w:hAnsi="Arial"/>
          <w:sz w:val="18"/>
          <w:szCs w:val="18"/>
          <w:b w:val="1"/>
          <w:bCs w:val="1"/>
          <w:color w:val="auto"/>
        </w:rPr>
        <w:t xml:space="preserve">What is a proxy statement? </w:t>
      </w:r>
      <w:r>
        <w:rPr>
          <w:rFonts w:ascii="Arial" w:cs="Arial" w:eastAsia="Arial" w:hAnsi="Arial"/>
          <w:sz w:val="18"/>
          <w:szCs w:val="18"/>
          <w:color w:val="auto"/>
        </w:rPr>
        <w:t>This document is a proxy statement. It is a document that we are</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by law to give you when we ask you to name a proxy to vote your shares. We encourage you to read this proxy statement carefully.</w:t>
      </w:r>
    </w:p>
    <w:p>
      <w:pPr>
        <w:spacing w:after="0" w:line="103" w:lineRule="exact"/>
        <w:rPr>
          <w:sz w:val="20"/>
          <w:szCs w:val="20"/>
          <w:color w:val="auto"/>
        </w:rPr>
      </w:pPr>
    </w:p>
    <w:p>
      <w:pPr>
        <w:jc w:val="both"/>
        <w:ind w:left="1260" w:right="419"/>
        <w:spacing w:after="0" w:line="255" w:lineRule="auto"/>
        <w:rPr>
          <w:sz w:val="20"/>
          <w:szCs w:val="20"/>
          <w:color w:val="auto"/>
        </w:rPr>
      </w:pPr>
      <w:r>
        <w:rPr>
          <w:rFonts w:ascii="Arial" w:cs="Arial" w:eastAsia="Arial" w:hAnsi="Arial"/>
          <w:sz w:val="18"/>
          <w:szCs w:val="18"/>
          <w:b w:val="1"/>
          <w:bCs w:val="1"/>
          <w:color w:val="auto"/>
        </w:rPr>
        <w:t xml:space="preserve">What is the purpose of the Annual Meeting? </w:t>
      </w:r>
      <w:r>
        <w:rPr>
          <w:rFonts w:ascii="Arial" w:cs="Arial" w:eastAsia="Arial" w:hAnsi="Arial"/>
          <w:sz w:val="18"/>
          <w:szCs w:val="18"/>
          <w:color w:val="auto"/>
        </w:rPr>
        <w:t>The purpose of the Annual Meeting is to obtain</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 action on the matters outlined in this proxy statement. These matters include: (1) the election of six directors for one-year terms expiring at the 2027 annual meeting of stockholders; (2) the ratification of the appointment of Grant Thornton LLP as our independent registered public accounting firm for fiscal year 2026; (3) an advisory vote to approve executive compensation; and (4) the approval of the Company’s Sixth Amended and Restated 2010 Equity Incentive Plan. We will also consider any other business that properly comes before the Annual Meeting. This proxy statement provides you with detailed information about these matters.</w:t>
      </w:r>
    </w:p>
    <w:p>
      <w:pPr>
        <w:spacing w:after="0" w:line="117" w:lineRule="exact"/>
        <w:rPr>
          <w:sz w:val="20"/>
          <w:szCs w:val="20"/>
          <w:color w:val="auto"/>
        </w:rPr>
      </w:pPr>
    </w:p>
    <w:p>
      <w:pPr>
        <w:jc w:val="both"/>
        <w:ind w:left="1260" w:right="419"/>
        <w:spacing w:after="0" w:line="255" w:lineRule="auto"/>
        <w:rPr>
          <w:sz w:val="20"/>
          <w:szCs w:val="20"/>
          <w:color w:val="auto"/>
        </w:rPr>
      </w:pPr>
      <w:r>
        <w:rPr>
          <w:rFonts w:ascii="Arial" w:cs="Arial" w:eastAsia="Arial" w:hAnsi="Arial"/>
          <w:sz w:val="18"/>
          <w:szCs w:val="18"/>
          <w:b w:val="1"/>
          <w:bCs w:val="1"/>
          <w:color w:val="auto"/>
        </w:rPr>
        <w:t xml:space="preserve">Why are you holding the Annual Meeting in a virtual format? </w:t>
      </w:r>
      <w:r>
        <w:rPr>
          <w:rFonts w:ascii="Arial" w:cs="Arial" w:eastAsia="Arial" w:hAnsi="Arial"/>
          <w:sz w:val="18"/>
          <w:szCs w:val="18"/>
          <w:color w:val="auto"/>
        </w:rPr>
        <w:t>In accordance with our recent</w:t>
      </w:r>
      <w:r>
        <w:rPr>
          <w:rFonts w:ascii="Arial" w:cs="Arial" w:eastAsia="Arial" w:hAnsi="Arial"/>
          <w:sz w:val="18"/>
          <w:szCs w:val="18"/>
          <w:b w:val="1"/>
          <w:bCs w:val="1"/>
          <w:color w:val="auto"/>
        </w:rPr>
        <w:t xml:space="preserve"> </w:t>
      </w:r>
      <w:r>
        <w:rPr>
          <w:rFonts w:ascii="Arial" w:cs="Arial" w:eastAsia="Arial" w:hAnsi="Arial"/>
          <w:sz w:val="18"/>
          <w:szCs w:val="18"/>
          <w:color w:val="auto"/>
        </w:rPr>
        <w:t>practice and to maintain ease of access for our stockholders, this year’s Annual Meeting will be held in a virtual meeting format only. We have designed our virtual format to enhance, rather than constrain, stockholder access, participation and communication. For example, the virtual format allows stockholders to communicate with us in advance of, and during, the Annual Meeting so they can ask questions of our Board of Directors or management. During the live Q&amp;A session of the Annual Meeting, we may answer questions as they come in and address those asked in advance, to the extent relevant to the business of the Annual Meeting, as time permits.</w:t>
      </w:r>
    </w:p>
    <w:p>
      <w:pPr>
        <w:spacing w:after="0" w:line="104" w:lineRule="exact"/>
        <w:rPr>
          <w:sz w:val="20"/>
          <w:szCs w:val="20"/>
          <w:color w:val="auto"/>
        </w:rPr>
      </w:pPr>
    </w:p>
    <w:p>
      <w:pPr>
        <w:jc w:val="both"/>
        <w:ind w:left="1260" w:right="419"/>
        <w:spacing w:after="0" w:line="272" w:lineRule="auto"/>
        <w:rPr>
          <w:sz w:val="20"/>
          <w:szCs w:val="20"/>
          <w:color w:val="auto"/>
        </w:rPr>
      </w:pPr>
      <w:r>
        <w:rPr>
          <w:rFonts w:ascii="Arial" w:cs="Arial" w:eastAsia="Arial" w:hAnsi="Arial"/>
          <w:sz w:val="17"/>
          <w:szCs w:val="17"/>
          <w:b w:val="1"/>
          <w:bCs w:val="1"/>
          <w:color w:val="auto"/>
        </w:rPr>
        <w:t xml:space="preserve">What is a record date and who is entitled to vote at the Annual Meeting? </w:t>
      </w:r>
      <w:r>
        <w:rPr>
          <w:rFonts w:ascii="Arial" w:cs="Arial" w:eastAsia="Arial" w:hAnsi="Arial"/>
          <w:sz w:val="17"/>
          <w:szCs w:val="17"/>
          <w:color w:val="auto"/>
        </w:rPr>
        <w:t>The record date for</w:t>
      </w:r>
      <w:r>
        <w:rPr>
          <w:rFonts w:ascii="Arial" w:cs="Arial" w:eastAsia="Arial" w:hAnsi="Arial"/>
          <w:sz w:val="17"/>
          <w:szCs w:val="17"/>
          <w:b w:val="1"/>
          <w:bCs w:val="1"/>
          <w:color w:val="auto"/>
        </w:rPr>
        <w:t xml:space="preserve"> </w:t>
      </w:r>
      <w:r>
        <w:rPr>
          <w:rFonts w:ascii="Arial" w:cs="Arial" w:eastAsia="Arial" w:hAnsi="Arial"/>
          <w:sz w:val="17"/>
          <w:szCs w:val="17"/>
          <w:color w:val="auto"/>
        </w:rPr>
        <w:t>determining the stockholders entitled to receive notice of and to vote at the Annual Meeting is April 16, 2026. The record date was established by our Board as required by the laws of the State of Maryland and the third amended and restated bylaws of the Company (the “Bylaws”). Owners of record of shares of our common stock at the close of business on the record date are entitled to receive notice of and to vote at the Annual Meeting. You are entitled to one vote for each share of our common stock that you owned on the record date on every matter properly submitted for stockholder vote at the Annual Meeting. Our charter and Bylaws do not provide for cumulative voting for the election of directors.</w:t>
      </w:r>
    </w:p>
    <w:p>
      <w:pPr>
        <w:sectPr>
          <w:pgSz w:w="11900" w:h="16838" w:orient="portrait"/>
          <w:cols w:equalWidth="0" w:num="1">
            <w:col w:w="9879"/>
          </w:cols>
          <w:pgMar w:left="580" w:top="97" w:right="1440" w:bottom="1440" w:gutter="0" w:footer="0" w:header="0"/>
        </w:sectPr>
      </w:pPr>
    </w:p>
    <w:p>
      <w:pPr>
        <w:spacing w:after="0" w:line="347"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269240</wp:posOffset>
            </wp:positionV>
            <wp:extent cx="68319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 xml:space="preserve">How many shares can be voted and what is a quorum?  </w:t>
      </w:r>
      <w:r>
        <w:rPr>
          <w:rFonts w:ascii="Arial" w:cs="Arial" w:eastAsia="Arial" w:hAnsi="Arial"/>
          <w:sz w:val="18"/>
          <w:szCs w:val="18"/>
          <w:color w:val="auto"/>
        </w:rPr>
        <w:t>You are entitled to one vote for each share</w:t>
      </w:r>
    </w:p>
    <w:p>
      <w:pPr>
        <w:spacing w:after="0" w:line="27" w:lineRule="exact"/>
        <w:rPr>
          <w:sz w:val="20"/>
          <w:szCs w:val="20"/>
          <w:color w:val="auto"/>
        </w:rPr>
      </w:pPr>
    </w:p>
    <w:p>
      <w:pPr>
        <w:jc w:val="both"/>
        <w:ind w:left="1260" w:right="419"/>
        <w:spacing w:after="0" w:line="242" w:lineRule="auto"/>
        <w:rPr>
          <w:sz w:val="20"/>
          <w:szCs w:val="20"/>
          <w:color w:val="auto"/>
        </w:rPr>
      </w:pPr>
      <w:r>
        <w:rPr>
          <w:rFonts w:ascii="Arial" w:cs="Arial" w:eastAsia="Arial" w:hAnsi="Arial"/>
          <w:sz w:val="18"/>
          <w:szCs w:val="18"/>
          <w:color w:val="auto"/>
        </w:rPr>
        <w:t>of our common stock that you owned as of the close of business on April 16, 2026. At the close of business on April 16, 2026, there were 33,783,592 shares of our common stock outstanding and entitled to vote at the Annual Meeting.</w:t>
      </w:r>
    </w:p>
    <w:p>
      <w:pPr>
        <w:spacing w:after="0" w:line="112" w:lineRule="exact"/>
        <w:rPr>
          <w:sz w:val="20"/>
          <w:szCs w:val="20"/>
          <w:color w:val="auto"/>
        </w:rPr>
      </w:pPr>
    </w:p>
    <w:p>
      <w:pPr>
        <w:jc w:val="both"/>
        <w:ind w:left="1260" w:right="419"/>
        <w:spacing w:after="0" w:line="246" w:lineRule="auto"/>
        <w:rPr>
          <w:sz w:val="20"/>
          <w:szCs w:val="20"/>
          <w:color w:val="auto"/>
        </w:rPr>
      </w:pPr>
      <w:r>
        <w:rPr>
          <w:rFonts w:ascii="Arial" w:cs="Arial" w:eastAsia="Arial" w:hAnsi="Arial"/>
          <w:sz w:val="18"/>
          <w:szCs w:val="18"/>
          <w:color w:val="auto"/>
        </w:rPr>
        <w:t>A quorum is the minimum number of shares that must be represented in person or by proxy in order for us to conduct the Annual Meeting. The presence in person or by proxy of stockholders entitled to cast a majority of all the votes entitled to be cast at the Annual Meeting on any matter, or 16,891,797 shares of common stock, will constitute a quorum to hold the Annual Meeting. If you grant your proxy by Internet, telephone or by mailing a proxy card, your shares will be considered present at the Annual Meeting and part of the quorum. Abstentions and broker “non-votes” will be considered shares represented at the meeting for the purposes of establishing a quorum.</w:t>
      </w:r>
    </w:p>
    <w:p>
      <w:pPr>
        <w:spacing w:after="0" w:line="10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 xml:space="preserve">What different methods can I use to vote?  </w:t>
      </w:r>
      <w:r>
        <w:rPr>
          <w:rFonts w:ascii="Arial" w:cs="Arial" w:eastAsia="Arial" w:hAnsi="Arial"/>
          <w:sz w:val="18"/>
          <w:szCs w:val="18"/>
          <w:color w:val="auto"/>
        </w:rPr>
        <w:t>You have a choice of voting:</w:t>
      </w:r>
    </w:p>
    <w:p>
      <w:pPr>
        <w:spacing w:after="0" w:line="117" w:lineRule="exact"/>
        <w:rPr>
          <w:sz w:val="20"/>
          <w:szCs w:val="20"/>
          <w:color w:val="auto"/>
        </w:rPr>
      </w:pPr>
    </w:p>
    <w:p>
      <w:pPr>
        <w:ind w:left="1800" w:hanging="180"/>
        <w:spacing w:after="0"/>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By telephone;</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Over the Internet;</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By mail; or</w:t>
      </w:r>
    </w:p>
    <w:p>
      <w:pPr>
        <w:spacing w:after="0" w:line="117" w:lineRule="exact"/>
        <w:rPr>
          <w:rFonts w:ascii="Arial" w:cs="Arial" w:eastAsia="Arial" w:hAnsi="Arial"/>
          <w:sz w:val="18"/>
          <w:szCs w:val="18"/>
          <w:color w:val="auto"/>
        </w:rPr>
      </w:pPr>
    </w:p>
    <w:p>
      <w:pPr>
        <w:jc w:val="both"/>
        <w:ind w:left="1800" w:right="419" w:hanging="180"/>
        <w:spacing w:after="0" w:line="268" w:lineRule="auto"/>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you are a record holder of the Company’s common stock or have obtained a “Legal Proxy” from the record holder of shares you beneficially own, by participating online during the Annual Meeting.</w:t>
      </w:r>
    </w:p>
    <w:p>
      <w:pPr>
        <w:spacing w:after="0" w:line="90" w:lineRule="exact"/>
        <w:rPr>
          <w:sz w:val="20"/>
          <w:szCs w:val="20"/>
          <w:color w:val="auto"/>
        </w:rPr>
      </w:pPr>
    </w:p>
    <w:p>
      <w:pPr>
        <w:jc w:val="both"/>
        <w:ind w:left="1260" w:right="419"/>
        <w:spacing w:after="0" w:line="247" w:lineRule="auto"/>
        <w:rPr>
          <w:sz w:val="20"/>
          <w:szCs w:val="20"/>
          <w:color w:val="auto"/>
        </w:rPr>
      </w:pPr>
      <w:r>
        <w:rPr>
          <w:rFonts w:ascii="Arial" w:cs="Arial" w:eastAsia="Arial" w:hAnsi="Arial"/>
          <w:sz w:val="18"/>
          <w:szCs w:val="18"/>
          <w:color w:val="auto"/>
        </w:rPr>
        <w:t>Even if you plan to participate live in the Annual Meeting, we encourage you to vote now by telephone, over the Internet, or by mail. Please carefully read the instructions on the Internet Availability Notice on how to vote your shares. Because the instructions vary depending on how you hold your shares and the method you use to vote, it is important that you follow the instructions that apply to your particular</w:t>
      </w:r>
    </w:p>
    <w:p>
      <w:pPr>
        <w:spacing w:after="0" w:line="3" w:lineRule="exact"/>
        <w:rPr>
          <w:sz w:val="20"/>
          <w:szCs w:val="20"/>
          <w:color w:val="auto"/>
        </w:rPr>
      </w:pPr>
    </w:p>
    <w:p>
      <w:pPr>
        <w:jc w:val="both"/>
        <w:ind w:left="1260" w:right="419"/>
        <w:spacing w:after="0" w:line="260" w:lineRule="auto"/>
        <w:rPr>
          <w:sz w:val="20"/>
          <w:szCs w:val="20"/>
          <w:color w:val="auto"/>
        </w:rPr>
      </w:pPr>
      <w:r>
        <w:rPr>
          <w:rFonts w:ascii="Arial" w:cs="Arial" w:eastAsia="Arial" w:hAnsi="Arial"/>
          <w:sz w:val="18"/>
          <w:szCs w:val="18"/>
          <w:color w:val="auto"/>
        </w:rPr>
        <w:t xml:space="preserve">situation. </w:t>
      </w:r>
      <w:r>
        <w:rPr>
          <w:rFonts w:ascii="Arial" w:cs="Arial" w:eastAsia="Arial" w:hAnsi="Arial"/>
          <w:sz w:val="18"/>
          <w:szCs w:val="18"/>
          <w:b w:val="1"/>
          <w:bCs w:val="1"/>
          <w:color w:val="auto"/>
        </w:rPr>
        <w:t>If you vote by telephone or over the Internet, you do not need to return a proxy card by</w:t>
      </w:r>
      <w:r>
        <w:rPr>
          <w:rFonts w:ascii="Arial" w:cs="Arial" w:eastAsia="Arial" w:hAnsi="Arial"/>
          <w:sz w:val="18"/>
          <w:szCs w:val="18"/>
          <w:color w:val="auto"/>
        </w:rPr>
        <w:t xml:space="preserve"> </w:t>
      </w:r>
      <w:r>
        <w:rPr>
          <w:rFonts w:ascii="Arial" w:cs="Arial" w:eastAsia="Arial" w:hAnsi="Arial"/>
          <w:sz w:val="18"/>
          <w:szCs w:val="18"/>
          <w:b w:val="1"/>
          <w:bCs w:val="1"/>
          <w:color w:val="auto"/>
        </w:rPr>
        <w:t>mail.</w:t>
      </w:r>
    </w:p>
    <w:p>
      <w:pPr>
        <w:spacing w:after="0" w:line="87" w:lineRule="exact"/>
        <w:rPr>
          <w:sz w:val="20"/>
          <w:szCs w:val="20"/>
          <w:color w:val="auto"/>
        </w:rPr>
      </w:pPr>
    </w:p>
    <w:p>
      <w:pPr>
        <w:jc w:val="both"/>
        <w:ind w:left="1260" w:right="419"/>
        <w:spacing w:after="0" w:line="253" w:lineRule="auto"/>
        <w:rPr>
          <w:sz w:val="20"/>
          <w:szCs w:val="20"/>
          <w:color w:val="auto"/>
        </w:rPr>
      </w:pPr>
      <w:r>
        <w:rPr>
          <w:rFonts w:ascii="Arial" w:cs="Arial" w:eastAsia="Arial" w:hAnsi="Arial"/>
          <w:sz w:val="18"/>
          <w:szCs w:val="18"/>
          <w:b w:val="1"/>
          <w:bCs w:val="1"/>
          <w:color w:val="auto"/>
        </w:rPr>
        <w:t xml:space="preserve">What is the difference between a “record holder” and an owner holding shares in “street name”? </w:t>
      </w:r>
      <w:r>
        <w:rPr>
          <w:rFonts w:ascii="Arial" w:cs="Arial" w:eastAsia="Arial" w:hAnsi="Arial"/>
          <w:sz w:val="18"/>
          <w:szCs w:val="18"/>
          <w:color w:val="auto"/>
        </w:rPr>
        <w:t>If your shares are registered in your name, you are a</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“record holder.”</w:t>
      </w:r>
      <w:r>
        <w:rPr>
          <w:rFonts w:ascii="Arial" w:cs="Arial" w:eastAsia="Arial" w:hAnsi="Arial"/>
          <w:sz w:val="18"/>
          <w:szCs w:val="18"/>
          <w:b w:val="1"/>
          <w:bCs w:val="1"/>
          <w:color w:val="auto"/>
        </w:rPr>
        <w:t xml:space="preserve"> </w:t>
      </w:r>
      <w:r>
        <w:rPr>
          <w:rFonts w:ascii="Arial" w:cs="Arial" w:eastAsia="Arial" w:hAnsi="Arial"/>
          <w:sz w:val="18"/>
          <w:szCs w:val="18"/>
          <w:color w:val="auto"/>
        </w:rPr>
        <w:t>You will be a record</w:t>
      </w:r>
    </w:p>
    <w:p>
      <w:pPr>
        <w:jc w:val="both"/>
        <w:ind w:left="1260" w:right="419"/>
        <w:spacing w:after="0" w:line="245" w:lineRule="auto"/>
        <w:rPr>
          <w:sz w:val="20"/>
          <w:szCs w:val="20"/>
          <w:color w:val="auto"/>
        </w:rPr>
      </w:pPr>
      <w:r>
        <w:rPr>
          <w:rFonts w:ascii="Arial" w:cs="Arial" w:eastAsia="Arial" w:hAnsi="Arial"/>
          <w:sz w:val="18"/>
          <w:szCs w:val="18"/>
          <w:color w:val="auto"/>
        </w:rPr>
        <w:t xml:space="preserve">holder if you have an account directly with our transfer agent, Computershare Trust Company, N.A. (“Computershare”). If your shares are registered or held in the name of your broker or bank or other nominee, your shares are held in </w:t>
      </w:r>
      <w:r>
        <w:rPr>
          <w:rFonts w:ascii="Arial" w:cs="Arial" w:eastAsia="Arial" w:hAnsi="Arial"/>
          <w:sz w:val="18"/>
          <w:szCs w:val="18"/>
          <w:i w:val="1"/>
          <w:iCs w:val="1"/>
          <w:color w:val="auto"/>
        </w:rPr>
        <w:t>“street name,”</w:t>
      </w:r>
      <w:r>
        <w:rPr>
          <w:rFonts w:ascii="Arial" w:cs="Arial" w:eastAsia="Arial" w:hAnsi="Arial"/>
          <w:sz w:val="18"/>
          <w:szCs w:val="18"/>
          <w:color w:val="auto"/>
        </w:rPr>
        <w:t xml:space="preserve"> and you are considered the beneficial owner of such shares, but not the record holder.</w:t>
      </w:r>
    </w:p>
    <w:p>
      <w:pPr>
        <w:spacing w:after="0" w:line="109" w:lineRule="exact"/>
        <w:rPr>
          <w:sz w:val="20"/>
          <w:szCs w:val="20"/>
          <w:color w:val="auto"/>
        </w:rPr>
      </w:pPr>
    </w:p>
    <w:p>
      <w:pPr>
        <w:jc w:val="both"/>
        <w:ind w:left="1260" w:right="419"/>
        <w:spacing w:after="0" w:line="245" w:lineRule="auto"/>
        <w:rPr>
          <w:sz w:val="20"/>
          <w:szCs w:val="20"/>
          <w:color w:val="auto"/>
        </w:rPr>
      </w:pPr>
      <w:r>
        <w:rPr>
          <w:rFonts w:ascii="Arial" w:cs="Arial" w:eastAsia="Arial" w:hAnsi="Arial"/>
          <w:sz w:val="18"/>
          <w:szCs w:val="18"/>
          <w:b w:val="1"/>
          <w:bCs w:val="1"/>
          <w:color w:val="auto"/>
        </w:rPr>
        <w:t xml:space="preserve">How do I vote if my shares are registered in my name? </w:t>
      </w:r>
      <w:r>
        <w:rPr>
          <w:rFonts w:ascii="Arial" w:cs="Arial" w:eastAsia="Arial" w:hAnsi="Arial"/>
          <w:sz w:val="18"/>
          <w:szCs w:val="18"/>
          <w:i w:val="1"/>
          <w:iCs w:val="1"/>
          <w:color w:val="auto"/>
        </w:rPr>
        <w:t>Voting by telephone, over the Internet, or</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 xml:space="preserve">by mail: </w:t>
      </w:r>
      <w:r>
        <w:rPr>
          <w:rFonts w:ascii="Arial" w:cs="Arial" w:eastAsia="Arial" w:hAnsi="Arial"/>
          <w:sz w:val="18"/>
          <w:szCs w:val="18"/>
          <w:color w:val="auto"/>
        </w:rPr>
        <w:t>If you are a stockholder of record, you can vote by telephone, over the Internet, or by mail. The</w:t>
      </w:r>
      <w:r>
        <w:rPr>
          <w:rFonts w:ascii="Arial" w:cs="Arial" w:eastAsia="Arial" w:hAnsi="Arial"/>
          <w:sz w:val="18"/>
          <w:szCs w:val="18"/>
          <w:i w:val="1"/>
          <w:iCs w:val="1"/>
          <w:color w:val="auto"/>
        </w:rPr>
        <w:t xml:space="preserve"> </w:t>
      </w:r>
      <w:r>
        <w:rPr>
          <w:rFonts w:ascii="Arial" w:cs="Arial" w:eastAsia="Arial" w:hAnsi="Arial"/>
          <w:sz w:val="18"/>
          <w:szCs w:val="18"/>
          <w:color w:val="auto"/>
        </w:rPr>
        <w:t>Internet Availability Notice contains instructions for voting by telephone or over the Internet. You can also vote by mail by requesting, completing and returning a printed proxy card as described in the Internet Availability Notice. Please promptly vote by telephone, over the Internet or by mailing your proxy card to ensure your representation and the presence of a quorum at the Annual Meeting.</w:t>
      </w:r>
    </w:p>
    <w:p>
      <w:pPr>
        <w:spacing w:after="0" w:line="109" w:lineRule="exact"/>
        <w:rPr>
          <w:sz w:val="20"/>
          <w:szCs w:val="20"/>
          <w:color w:val="auto"/>
        </w:rPr>
      </w:pPr>
    </w:p>
    <w:p>
      <w:pPr>
        <w:jc w:val="both"/>
        <w:ind w:left="1260" w:right="419"/>
        <w:spacing w:after="0" w:line="252" w:lineRule="auto"/>
        <w:rPr>
          <w:sz w:val="20"/>
          <w:szCs w:val="20"/>
          <w:color w:val="auto"/>
        </w:rPr>
      </w:pPr>
      <w:r>
        <w:rPr>
          <w:rFonts w:ascii="Arial" w:cs="Arial" w:eastAsia="Arial" w:hAnsi="Arial"/>
          <w:sz w:val="18"/>
          <w:szCs w:val="18"/>
          <w:i w:val="1"/>
          <w:iCs w:val="1"/>
          <w:color w:val="auto"/>
        </w:rPr>
        <w:t xml:space="preserve">Voting during the meeting: </w:t>
      </w:r>
      <w:r>
        <w:rPr>
          <w:rFonts w:ascii="Arial" w:cs="Arial" w:eastAsia="Arial" w:hAnsi="Arial"/>
          <w:sz w:val="18"/>
          <w:szCs w:val="18"/>
          <w:color w:val="auto"/>
        </w:rPr>
        <w:t>If you are a stockholder of record, and you plan to participate live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Annual Meeting, you can vote during the meeting. To vote while participating live in the Annual Meeting, please log on to www.meetnow.global/M24KY7F. To log in, you will need to enter the fifteen-digit control number located on the notice, proxy card or email sent to you by Computershare.</w:t>
      </w:r>
    </w:p>
    <w:p>
      <w:pPr>
        <w:spacing w:after="0" w:line="10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 xml:space="preserve">How do I vote if my shares are held in “street name”?  </w:t>
      </w:r>
      <w:r>
        <w:rPr>
          <w:rFonts w:ascii="Arial" w:cs="Arial" w:eastAsia="Arial" w:hAnsi="Arial"/>
          <w:sz w:val="18"/>
          <w:szCs w:val="18"/>
          <w:i w:val="1"/>
          <w:iCs w:val="1"/>
          <w:color w:val="auto"/>
        </w:rPr>
        <w:t>Voting by telephone, over the Internet, or by</w:t>
      </w:r>
    </w:p>
    <w:p>
      <w:pPr>
        <w:spacing w:after="0" w:line="27" w:lineRule="exact"/>
        <w:rPr>
          <w:sz w:val="20"/>
          <w:szCs w:val="20"/>
          <w:color w:val="auto"/>
        </w:rPr>
      </w:pPr>
    </w:p>
    <w:p>
      <w:pPr>
        <w:jc w:val="both"/>
        <w:ind w:left="1260" w:right="419"/>
        <w:spacing w:after="0" w:line="242" w:lineRule="auto"/>
        <w:rPr>
          <w:sz w:val="20"/>
          <w:szCs w:val="20"/>
          <w:color w:val="auto"/>
        </w:rPr>
      </w:pPr>
      <w:r>
        <w:rPr>
          <w:rFonts w:ascii="Arial" w:cs="Arial" w:eastAsia="Arial" w:hAnsi="Arial"/>
          <w:sz w:val="18"/>
          <w:szCs w:val="18"/>
          <w:i w:val="1"/>
          <w:iCs w:val="1"/>
          <w:color w:val="auto"/>
        </w:rPr>
        <w:t xml:space="preserve">mail: </w:t>
      </w:r>
      <w:r>
        <w:rPr>
          <w:rFonts w:ascii="Arial" w:cs="Arial" w:eastAsia="Arial" w:hAnsi="Arial"/>
          <w:sz w:val="18"/>
          <w:szCs w:val="18"/>
          <w:color w:val="auto"/>
        </w:rPr>
        <w:t>If your shares are held in the name of your broker, bank, or other nominee, you have the right to</w:t>
      </w:r>
      <w:r>
        <w:rPr>
          <w:rFonts w:ascii="Arial" w:cs="Arial" w:eastAsia="Arial" w:hAnsi="Arial"/>
          <w:sz w:val="18"/>
          <w:szCs w:val="18"/>
          <w:i w:val="1"/>
          <w:iCs w:val="1"/>
          <w:color w:val="auto"/>
        </w:rPr>
        <w:t xml:space="preserve"> </w:t>
      </w:r>
      <w:r>
        <w:rPr>
          <w:rFonts w:ascii="Arial" w:cs="Arial" w:eastAsia="Arial" w:hAnsi="Arial"/>
          <w:sz w:val="18"/>
          <w:szCs w:val="18"/>
          <w:color w:val="auto"/>
        </w:rPr>
        <w:t>direct your broker, bank, or other nominee on how to vote, and you should vote your shares using the method directed by your broker, bank, or other nominee. In addition to voting by mail, a large number of banks and brokerage firms are participating in online or telephonic voting programs. These programs provide eligible “street name” stockholders the opportunity to vote by telephone or over the Internet. Voting instruction forms will provide instructions for stockholders whose banks or brokerage firms are participating in such programs.</w:t>
      </w:r>
    </w:p>
    <w:p>
      <w:pPr>
        <w:spacing w:after="0" w:line="114" w:lineRule="exact"/>
        <w:rPr>
          <w:sz w:val="20"/>
          <w:szCs w:val="20"/>
          <w:color w:val="auto"/>
        </w:rPr>
      </w:pPr>
    </w:p>
    <w:p>
      <w:pPr>
        <w:jc w:val="both"/>
        <w:ind w:left="1260" w:right="419"/>
        <w:spacing w:after="0" w:line="252" w:lineRule="auto"/>
        <w:rPr>
          <w:sz w:val="20"/>
          <w:szCs w:val="20"/>
          <w:color w:val="auto"/>
        </w:rPr>
      </w:pPr>
      <w:r>
        <w:rPr>
          <w:rFonts w:ascii="Arial" w:cs="Arial" w:eastAsia="Arial" w:hAnsi="Arial"/>
          <w:sz w:val="18"/>
          <w:szCs w:val="18"/>
          <w:i w:val="1"/>
          <w:iCs w:val="1"/>
          <w:color w:val="auto"/>
        </w:rPr>
        <w:t xml:space="preserve">Voting while participating live in the meeting: </w:t>
      </w:r>
      <w:r>
        <w:rPr>
          <w:rFonts w:ascii="Arial" w:cs="Arial" w:eastAsia="Arial" w:hAnsi="Arial"/>
          <w:sz w:val="18"/>
          <w:szCs w:val="18"/>
          <w:color w:val="auto"/>
        </w:rPr>
        <w:t>If your shares are held in the name of your broker, bank</w:t>
      </w:r>
      <w:r>
        <w:rPr>
          <w:rFonts w:ascii="Arial" w:cs="Arial" w:eastAsia="Arial" w:hAnsi="Arial"/>
          <w:sz w:val="18"/>
          <w:szCs w:val="18"/>
          <w:i w:val="1"/>
          <w:iCs w:val="1"/>
          <w:color w:val="auto"/>
        </w:rPr>
        <w:t xml:space="preserve"> </w:t>
      </w:r>
      <w:r>
        <w:rPr>
          <w:rFonts w:ascii="Arial" w:cs="Arial" w:eastAsia="Arial" w:hAnsi="Arial"/>
          <w:sz w:val="18"/>
          <w:szCs w:val="18"/>
          <w:color w:val="auto"/>
        </w:rPr>
        <w:t>or other nominee, and you plan to vote your shares during the meeting, in order to do so you must first obtain from the broker, bank or other nominee in whose name the shares are held the proxy power or “legal</w:t>
      </w:r>
    </w:p>
    <w:p>
      <w:pPr>
        <w:sectPr>
          <w:pgSz w:w="11900" w:h="16838" w:orient="portrait"/>
          <w:cols w:equalWidth="0" w:num="1">
            <w:col w:w="9879"/>
          </w:cols>
          <w:pgMar w:left="580" w:top="97" w:right="1440" w:bottom="1440" w:gutter="0" w:footer="0" w:header="0"/>
        </w:sectPr>
      </w:pPr>
    </w:p>
    <w:p>
      <w:pPr>
        <w:spacing w:after="0" w:line="346"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left="1260" w:right="419"/>
        <w:spacing w:after="0" w:line="267" w:lineRule="auto"/>
        <w:rPr>
          <w:sz w:val="20"/>
          <w:szCs w:val="20"/>
          <w:color w:val="auto"/>
        </w:rPr>
      </w:pPr>
      <w:r>
        <w:rPr>
          <w:rFonts w:ascii="Arial" w:cs="Arial" w:eastAsia="Arial" w:hAnsi="Arial"/>
          <w:sz w:val="18"/>
          <w:szCs w:val="18"/>
          <w:color w:val="auto"/>
        </w:rPr>
        <w:t>proxy” to vote the shares in question. You will then need to register to attend the Annual Meeting by submitting proof of your proxy power for your share holdings along with your name and email address to Computershare. Requests for registration must be labeled as “Legal Proxy” and be received by Computershare no later than 5:00 p.m. eastern time on Friday, June 12, 2026 (3 business days in advance of the Annual Meeting). You will receive confirmation of your registration and a 15-digit control number by email after Computershare receives your registration materials. Requests for registration should be directed to Computershare as follows:</w:t>
      </w:r>
    </w:p>
    <w:p>
      <w:pPr>
        <w:spacing w:after="0" w:line="130" w:lineRule="exact"/>
        <w:rPr>
          <w:sz w:val="20"/>
          <w:szCs w:val="20"/>
          <w:color w:val="auto"/>
        </w:rPr>
      </w:pPr>
    </w:p>
    <w:p>
      <w:pPr>
        <w:ind w:left="2480" w:right="419" w:hanging="863"/>
        <w:spacing w:after="0" w:line="287" w:lineRule="auto"/>
        <w:rPr>
          <w:sz w:val="20"/>
          <w:szCs w:val="20"/>
          <w:color w:val="auto"/>
        </w:rPr>
      </w:pPr>
      <w:r>
        <w:rPr>
          <w:rFonts w:ascii="Arial" w:cs="Arial" w:eastAsia="Arial" w:hAnsi="Arial"/>
          <w:sz w:val="18"/>
          <w:szCs w:val="18"/>
          <w:color w:val="auto"/>
        </w:rPr>
        <w:t>By email: Email an image of your legal proxy, or forward the email from your broker, bank or other nominee containing the legal proxy, to legalproxy@comptershare.com</w:t>
      </w:r>
    </w:p>
    <w:p>
      <w:pPr>
        <w:spacing w:after="0" w:line="99" w:lineRule="exact"/>
        <w:rPr>
          <w:sz w:val="20"/>
          <w:szCs w:val="20"/>
          <w:color w:val="auto"/>
        </w:rPr>
      </w:pPr>
    </w:p>
    <w:p>
      <w:pPr>
        <w:ind w:left="1620"/>
        <w:spacing w:after="0"/>
        <w:tabs>
          <w:tab w:leader="none" w:pos="2460" w:val="left"/>
        </w:tabs>
        <w:rPr>
          <w:sz w:val="20"/>
          <w:szCs w:val="20"/>
          <w:color w:val="auto"/>
        </w:rPr>
      </w:pPr>
      <w:r>
        <w:rPr>
          <w:rFonts w:ascii="Arial" w:cs="Arial" w:eastAsia="Arial" w:hAnsi="Arial"/>
          <w:sz w:val="18"/>
          <w:szCs w:val="18"/>
          <w:color w:val="auto"/>
        </w:rPr>
        <w:t>By mail:</w:t>
      </w:r>
      <w:r>
        <w:rPr>
          <w:sz w:val="20"/>
          <w:szCs w:val="20"/>
          <w:color w:val="auto"/>
        </w:rPr>
        <w:tab/>
      </w:r>
      <w:r>
        <w:rPr>
          <w:rFonts w:ascii="Arial" w:cs="Arial" w:eastAsia="Arial" w:hAnsi="Arial"/>
          <w:sz w:val="17"/>
          <w:szCs w:val="17"/>
          <w:color w:val="auto"/>
        </w:rPr>
        <w:t>Computershare</w:t>
      </w:r>
    </w:p>
    <w:p>
      <w:pPr>
        <w:spacing w:after="0" w:line="27"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CTO Realty Growth, Inc. Legal Proxy</w:t>
      </w:r>
    </w:p>
    <w:p>
      <w:pPr>
        <w:spacing w:after="0" w:line="9"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P.O. Box 43001</w:t>
      </w:r>
    </w:p>
    <w:p>
      <w:pPr>
        <w:spacing w:after="0" w:line="9"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Providence, RI 02940-3001</w:t>
      </w:r>
    </w:p>
    <w:p>
      <w:pPr>
        <w:spacing w:after="0" w:line="194" w:lineRule="exact"/>
        <w:rPr>
          <w:sz w:val="20"/>
          <w:szCs w:val="20"/>
          <w:color w:val="auto"/>
        </w:rPr>
      </w:pPr>
    </w:p>
    <w:p>
      <w:pPr>
        <w:jc w:val="both"/>
        <w:ind w:left="1260" w:right="419"/>
        <w:spacing w:after="0" w:line="284" w:lineRule="auto"/>
        <w:rPr>
          <w:sz w:val="20"/>
          <w:szCs w:val="20"/>
          <w:color w:val="auto"/>
        </w:rPr>
      </w:pPr>
      <w:r>
        <w:rPr>
          <w:rFonts w:ascii="Arial" w:cs="Arial" w:eastAsia="Arial" w:hAnsi="Arial"/>
          <w:sz w:val="18"/>
          <w:szCs w:val="18"/>
          <w:color w:val="auto"/>
        </w:rPr>
        <w:t>If your shares are held in street name and you do not timely register as described above, you may still log on to www.meetnow.global/M24KY7F and participate in the Annual Meeting, but you will be unable to vote your shares during the meeting.</w:t>
      </w:r>
    </w:p>
    <w:p>
      <w:pPr>
        <w:spacing w:after="0" w:line="143" w:lineRule="exact"/>
        <w:rPr>
          <w:sz w:val="20"/>
          <w:szCs w:val="20"/>
          <w:color w:val="auto"/>
        </w:rPr>
      </w:pPr>
    </w:p>
    <w:p>
      <w:pPr>
        <w:jc w:val="both"/>
        <w:ind w:left="1260" w:right="419"/>
        <w:spacing w:after="0" w:line="303" w:lineRule="auto"/>
        <w:rPr>
          <w:sz w:val="20"/>
          <w:szCs w:val="20"/>
          <w:color w:val="auto"/>
        </w:rPr>
      </w:pPr>
      <w:r>
        <w:rPr>
          <w:rFonts w:ascii="Arial" w:cs="Arial" w:eastAsia="Arial" w:hAnsi="Arial"/>
          <w:sz w:val="18"/>
          <w:szCs w:val="18"/>
          <w:b w:val="1"/>
          <w:bCs w:val="1"/>
          <w:color w:val="auto"/>
        </w:rPr>
        <w:t xml:space="preserve">Who will count the votes? </w:t>
      </w:r>
      <w:r>
        <w:rPr>
          <w:rFonts w:ascii="Arial" w:cs="Arial" w:eastAsia="Arial" w:hAnsi="Arial"/>
          <w:sz w:val="18"/>
          <w:szCs w:val="18"/>
          <w:color w:val="auto"/>
        </w:rPr>
        <w:t>Representatives of Computershare will count the votes and will serve as</w:t>
      </w:r>
      <w:r>
        <w:rPr>
          <w:rFonts w:ascii="Arial" w:cs="Arial" w:eastAsia="Arial" w:hAnsi="Arial"/>
          <w:sz w:val="18"/>
          <w:szCs w:val="18"/>
          <w:b w:val="1"/>
          <w:bCs w:val="1"/>
          <w:color w:val="auto"/>
        </w:rPr>
        <w:t xml:space="preserve"> </w:t>
      </w:r>
      <w:r>
        <w:rPr>
          <w:rFonts w:ascii="Arial" w:cs="Arial" w:eastAsia="Arial" w:hAnsi="Arial"/>
          <w:sz w:val="18"/>
          <w:szCs w:val="18"/>
          <w:color w:val="auto"/>
        </w:rPr>
        <w:t>the independent inspector of election.</w:t>
      </w:r>
    </w:p>
    <w:p>
      <w:pPr>
        <w:spacing w:after="0" w:line="125" w:lineRule="exact"/>
        <w:rPr>
          <w:sz w:val="20"/>
          <w:szCs w:val="20"/>
          <w:color w:val="auto"/>
        </w:rPr>
      </w:pPr>
    </w:p>
    <w:p>
      <w:pPr>
        <w:jc w:val="both"/>
        <w:ind w:left="1260" w:right="419"/>
        <w:spacing w:after="0" w:line="284" w:lineRule="auto"/>
        <w:rPr>
          <w:sz w:val="20"/>
          <w:szCs w:val="20"/>
          <w:color w:val="auto"/>
        </w:rPr>
      </w:pPr>
      <w:r>
        <w:rPr>
          <w:rFonts w:ascii="Arial" w:cs="Arial" w:eastAsia="Arial" w:hAnsi="Arial"/>
          <w:sz w:val="18"/>
          <w:szCs w:val="18"/>
          <w:b w:val="1"/>
          <w:bCs w:val="1"/>
          <w:color w:val="auto"/>
        </w:rPr>
        <w:t xml:space="preserve">Can I revoke my proxy or change my vote? </w:t>
      </w:r>
      <w:r>
        <w:rPr>
          <w:rFonts w:ascii="Arial" w:cs="Arial" w:eastAsia="Arial" w:hAnsi="Arial"/>
          <w:sz w:val="18"/>
          <w:szCs w:val="18"/>
          <w:color w:val="auto"/>
        </w:rPr>
        <w:t>If your shares are registered in your name, you may</w:t>
      </w:r>
      <w:r>
        <w:rPr>
          <w:rFonts w:ascii="Arial" w:cs="Arial" w:eastAsia="Arial" w:hAnsi="Arial"/>
          <w:sz w:val="18"/>
          <w:szCs w:val="18"/>
          <w:b w:val="1"/>
          <w:bCs w:val="1"/>
          <w:color w:val="auto"/>
        </w:rPr>
        <w:t xml:space="preserve"> </w:t>
      </w:r>
      <w:r>
        <w:rPr>
          <w:rFonts w:ascii="Arial" w:cs="Arial" w:eastAsia="Arial" w:hAnsi="Arial"/>
          <w:sz w:val="18"/>
          <w:szCs w:val="18"/>
          <w:color w:val="auto"/>
        </w:rPr>
        <w:t>revoke your proxy or change your vote at any time before it is voted at the Annual Meeting. There are several ways you can do this:</w:t>
      </w:r>
    </w:p>
    <w:p>
      <w:pPr>
        <w:spacing w:after="0" w:line="75" w:lineRule="exact"/>
        <w:rPr>
          <w:sz w:val="20"/>
          <w:szCs w:val="20"/>
          <w:color w:val="auto"/>
        </w:rPr>
      </w:pPr>
    </w:p>
    <w:p>
      <w:pPr>
        <w:ind w:left="1800" w:right="419" w:hanging="180"/>
        <w:spacing w:after="0" w:line="287" w:lineRule="auto"/>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By sending a written notice of revocation to our Corporate Secretary at CTO Realty Growth, Inc., 369 N. New York Avenue, Suite 201, Winter Park, Florida 32789;</w:t>
      </w:r>
    </w:p>
    <w:p>
      <w:pPr>
        <w:spacing w:after="0" w:line="71" w:lineRule="exact"/>
        <w:rPr>
          <w:rFonts w:ascii="Arial" w:cs="Arial" w:eastAsia="Arial" w:hAnsi="Arial"/>
          <w:sz w:val="18"/>
          <w:szCs w:val="18"/>
          <w:color w:val="auto"/>
        </w:rPr>
      </w:pPr>
    </w:p>
    <w:p>
      <w:pPr>
        <w:ind w:left="1800" w:hanging="180"/>
        <w:spacing w:after="0"/>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By duly signing and delivering a proxy card that bears a later date; or</w:t>
      </w:r>
    </w:p>
    <w:p>
      <w:pPr>
        <w:spacing w:after="0" w:line="130" w:lineRule="exact"/>
        <w:rPr>
          <w:rFonts w:ascii="Arial" w:cs="Arial" w:eastAsia="Arial" w:hAnsi="Arial"/>
          <w:sz w:val="18"/>
          <w:szCs w:val="18"/>
          <w:color w:val="auto"/>
        </w:rPr>
      </w:pPr>
    </w:p>
    <w:p>
      <w:pPr>
        <w:ind w:left="1800" w:hanging="180"/>
        <w:spacing w:after="0"/>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By participating live in the Annual Meeting and voting during the meeting.</w:t>
      </w:r>
    </w:p>
    <w:p>
      <w:pPr>
        <w:spacing w:after="0" w:line="212" w:lineRule="exact"/>
        <w:rPr>
          <w:sz w:val="20"/>
          <w:szCs w:val="20"/>
          <w:color w:val="auto"/>
        </w:rPr>
      </w:pPr>
    </w:p>
    <w:p>
      <w:pPr>
        <w:ind w:left="1260" w:right="419"/>
        <w:spacing w:after="0" w:line="303" w:lineRule="auto"/>
        <w:rPr>
          <w:sz w:val="20"/>
          <w:szCs w:val="20"/>
          <w:color w:val="auto"/>
        </w:rPr>
      </w:pPr>
      <w:r>
        <w:rPr>
          <w:rFonts w:ascii="Arial" w:cs="Arial" w:eastAsia="Arial" w:hAnsi="Arial"/>
          <w:sz w:val="18"/>
          <w:szCs w:val="18"/>
          <w:b w:val="1"/>
          <w:bCs w:val="1"/>
          <w:color w:val="auto"/>
        </w:rPr>
        <w:t xml:space="preserve">How does the Board recommend that I vote? </w:t>
      </w:r>
      <w:r>
        <w:rPr>
          <w:rFonts w:ascii="Arial" w:cs="Arial" w:eastAsia="Arial" w:hAnsi="Arial"/>
          <w:sz w:val="18"/>
          <w:szCs w:val="18"/>
          <w:color w:val="auto"/>
        </w:rPr>
        <w:t>The Board unanimously recommends that you vote as</w:t>
      </w:r>
      <w:r>
        <w:rPr>
          <w:rFonts w:ascii="Arial" w:cs="Arial" w:eastAsia="Arial" w:hAnsi="Arial"/>
          <w:sz w:val="18"/>
          <w:szCs w:val="18"/>
          <w:b w:val="1"/>
          <w:bCs w:val="1"/>
          <w:color w:val="auto"/>
        </w:rPr>
        <w:t xml:space="preserve"> </w:t>
      </w:r>
      <w:r>
        <w:rPr>
          <w:rFonts w:ascii="Arial" w:cs="Arial" w:eastAsia="Arial" w:hAnsi="Arial"/>
          <w:sz w:val="18"/>
          <w:szCs w:val="18"/>
          <w:color w:val="auto"/>
        </w:rPr>
        <w:t>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VOTING MATTERS AND BOARD RECOMMENDATIONS</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Stockholders are being asked to vote on the following matters at the Annual Meeting:</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4"/>
          <w:szCs w:val="14"/>
          <w:b w:val="1"/>
          <w:bCs w:val="1"/>
          <w:color w:val="auto"/>
        </w:rPr>
        <w:t>Description of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32385</wp:posOffset>
            </wp:positionV>
            <wp:extent cx="430339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303395" cy="8255"/>
                    </a:xfrm>
                    <a:prstGeom prst="rect">
                      <a:avLst/>
                    </a:prstGeom>
                    <a:noFill/>
                  </pic:spPr>
                </pic:pic>
              </a:graphicData>
            </a:graphic>
          </wp:anchor>
        </w:drawing>
      </w:r>
    </w:p>
    <w:p>
      <w:pPr>
        <w:spacing w:after="0" w:line="5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PROPOSAL 1: Election of Directors</w:t>
      </w:r>
    </w:p>
    <w:p>
      <w:pPr>
        <w:spacing w:after="0" w:line="117" w:lineRule="exact"/>
        <w:rPr>
          <w:sz w:val="20"/>
          <w:szCs w:val="20"/>
          <w:color w:val="auto"/>
        </w:rPr>
      </w:pPr>
    </w:p>
    <w:p>
      <w:pPr>
        <w:ind w:left="1260" w:right="60"/>
        <w:spacing w:after="0" w:line="287" w:lineRule="auto"/>
        <w:rPr>
          <w:sz w:val="20"/>
          <w:szCs w:val="20"/>
          <w:color w:val="auto"/>
        </w:rPr>
      </w:pPr>
      <w:r>
        <w:rPr>
          <w:rFonts w:ascii="Arial" w:cs="Arial" w:eastAsia="Arial" w:hAnsi="Arial"/>
          <w:sz w:val="18"/>
          <w:szCs w:val="18"/>
          <w:color w:val="auto"/>
        </w:rPr>
        <w:t>We have nominated six directors for election for one-year terms expiring at the 2027 annual meeting of stockholders.</w:t>
      </w:r>
    </w:p>
    <w:p>
      <w:pPr>
        <w:spacing w:after="0" w:line="112" w:lineRule="exact"/>
        <w:rPr>
          <w:sz w:val="20"/>
          <w:szCs w:val="20"/>
          <w:color w:val="auto"/>
        </w:rPr>
      </w:pPr>
    </w:p>
    <w:p>
      <w:pPr>
        <w:ind w:left="1260" w:right="400"/>
        <w:spacing w:after="0" w:line="296" w:lineRule="auto"/>
        <w:rPr>
          <w:sz w:val="20"/>
          <w:szCs w:val="20"/>
          <w:color w:val="auto"/>
        </w:rPr>
      </w:pPr>
      <w:r>
        <w:rPr>
          <w:rFonts w:ascii="Arial" w:cs="Arial" w:eastAsia="Arial" w:hAnsi="Arial"/>
          <w:sz w:val="18"/>
          <w:szCs w:val="18"/>
          <w:b w:val="1"/>
          <w:bCs w:val="1"/>
          <w:color w:val="auto"/>
        </w:rPr>
        <w:t>PROPOSAL 2: Ratification of the Appointment of Independent Registered Public Accounting Firm</w:t>
      </w:r>
    </w:p>
    <w:p>
      <w:pPr>
        <w:spacing w:after="0" w:line="29" w:lineRule="exact"/>
        <w:rPr>
          <w:sz w:val="20"/>
          <w:szCs w:val="20"/>
          <w:color w:val="auto"/>
        </w:rPr>
      </w:pPr>
    </w:p>
    <w:p>
      <w:pPr>
        <w:ind w:left="1260" w:right="300"/>
        <w:spacing w:after="0" w:line="268" w:lineRule="auto"/>
        <w:rPr>
          <w:sz w:val="20"/>
          <w:szCs w:val="20"/>
          <w:color w:val="auto"/>
        </w:rPr>
      </w:pPr>
      <w:r>
        <w:rPr>
          <w:rFonts w:ascii="Arial" w:cs="Arial" w:eastAsia="Arial" w:hAnsi="Arial"/>
          <w:sz w:val="18"/>
          <w:szCs w:val="18"/>
          <w:color w:val="auto"/>
        </w:rPr>
        <w:t>The Audit Committee of the Board (the “Audit Committee”) has selected Grant Thornton LLP as our independent registered public accounting firm for fiscal year 2026.</w:t>
      </w:r>
    </w:p>
    <w:p>
      <w:pPr>
        <w:spacing w:after="0" w:line="130" w:lineRule="exact"/>
        <w:rPr>
          <w:sz w:val="20"/>
          <w:szCs w:val="20"/>
          <w:color w:val="auto"/>
        </w:rPr>
      </w:pPr>
    </w:p>
    <w:p>
      <w:pPr>
        <w:jc w:val="center"/>
        <w:ind w:left="260"/>
        <w:spacing w:after="0"/>
        <w:rPr>
          <w:sz w:val="20"/>
          <w:szCs w:val="20"/>
          <w:color w:val="auto"/>
        </w:rPr>
      </w:pPr>
      <w:r>
        <w:rPr>
          <w:rFonts w:ascii="Arial" w:cs="Arial" w:eastAsia="Arial" w:hAnsi="Arial"/>
          <w:sz w:val="17"/>
          <w:szCs w:val="17"/>
          <w:b w:val="1"/>
          <w:bCs w:val="1"/>
          <w:color w:val="auto"/>
        </w:rPr>
        <w:t>PROPOSAL 3: Advisory Vote to Approve Executive 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32385</wp:posOffset>
            </wp:positionV>
            <wp:extent cx="7715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5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ALL</w:t>
      </w:r>
    </w:p>
    <w:p>
      <w:pPr>
        <w:spacing w:after="0" w:line="27"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BOARD</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NOMINEES</w:t>
      </w:r>
    </w:p>
    <w:p>
      <w:pPr>
        <w:spacing w:after="0" w:line="275"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FOR</w:t>
      </w:r>
    </w:p>
    <w:p>
      <w:pPr>
        <w:spacing w:after="0" w:line="117" w:lineRule="exact"/>
        <w:rPr>
          <w:sz w:val="20"/>
          <w:szCs w:val="20"/>
          <w:color w:val="auto"/>
        </w:rPr>
      </w:pPr>
    </w:p>
    <w:p>
      <w:pPr>
        <w:sectPr>
          <w:pgSz w:w="11900" w:h="16838" w:orient="portrait"/>
          <w:cols w:equalWidth="0" w:num="2">
            <w:col w:w="7900" w:space="360"/>
            <w:col w:w="1619"/>
          </w:cols>
          <w:pgMar w:left="580" w:top="97" w:right="1440" w:bottom="1440" w:gutter="0" w:footer="0" w:header="0"/>
          <w:type w:val="continuous"/>
        </w:sectPr>
      </w:pPr>
    </w:p>
    <w:p>
      <w:pPr>
        <w:ind w:left="1260" w:right="1919"/>
        <w:spacing w:after="0" w:line="275" w:lineRule="auto"/>
        <w:rPr>
          <w:sz w:val="20"/>
          <w:szCs w:val="20"/>
          <w:color w:val="auto"/>
        </w:rPr>
      </w:pPr>
      <w:r>
        <w:rPr>
          <w:rFonts w:ascii="Arial" w:cs="Arial" w:eastAsia="Arial" w:hAnsi="Arial"/>
          <w:sz w:val="17"/>
          <w:szCs w:val="17"/>
          <w:color w:val="auto"/>
        </w:rPr>
        <w:t>The Company is providing its stockholders with the opportunity to cast an advisory vote to approve the compensation of its named executive officers as disclosed pursuant to Item 402 of Regulation S-K, which includes the Compensation Discussion and Analysis, the compensation tables, and the narrative disclosures that accompany the compensation tables. The advisory vote to approve the executive compensation described in Proposal 3 is referred to as a “Say-on-Pay” vote.</w:t>
      </w:r>
    </w:p>
    <w:p>
      <w:pPr>
        <w:spacing w:after="0" w:line="128" w:lineRule="exact"/>
        <w:rPr>
          <w:sz w:val="20"/>
          <w:szCs w:val="20"/>
          <w:color w:val="auto"/>
        </w:rPr>
      </w:pPr>
    </w:p>
    <w:p>
      <w:pPr>
        <w:ind w:left="1260"/>
        <w:spacing w:after="0"/>
        <w:tabs>
          <w:tab w:leader="none" w:pos="8660" w:val="left"/>
        </w:tabs>
        <w:rPr>
          <w:sz w:val="20"/>
          <w:szCs w:val="20"/>
          <w:color w:val="auto"/>
        </w:rPr>
      </w:pPr>
      <w:r>
        <w:rPr>
          <w:rFonts w:ascii="Arial" w:cs="Arial" w:eastAsia="Arial" w:hAnsi="Arial"/>
          <w:sz w:val="18"/>
          <w:szCs w:val="18"/>
          <w:b w:val="1"/>
          <w:bCs w:val="1"/>
          <w:color w:val="auto"/>
        </w:rPr>
        <w:t>PROPOSAL 4: Approve the CTO Realty Growth, Inc. Sixth Amended and</w:t>
      </w:r>
      <w:r>
        <w:rPr>
          <w:sz w:val="20"/>
          <w:szCs w:val="20"/>
          <w:color w:val="auto"/>
        </w:rPr>
        <w:tab/>
      </w:r>
      <w:r>
        <w:rPr>
          <w:rFonts w:ascii="Arial" w:cs="Arial" w:eastAsia="Arial" w:hAnsi="Arial"/>
          <w:sz w:val="17"/>
          <w:szCs w:val="17"/>
          <w:b w:val="1"/>
          <w:bCs w:val="1"/>
          <w:color w:val="auto"/>
        </w:rPr>
        <w:t>FOR</w:t>
      </w:r>
    </w:p>
    <w:p>
      <w:pPr>
        <w:spacing w:after="0" w:line="27" w:lineRule="exact"/>
        <w:rPr>
          <w:sz w:val="20"/>
          <w:szCs w:val="20"/>
          <w:color w:val="auto"/>
        </w:rPr>
      </w:pPr>
    </w:p>
    <w:p>
      <w:pPr>
        <w:ind w:left="1260" w:right="1879"/>
        <w:spacing w:after="0" w:line="275" w:lineRule="auto"/>
        <w:rPr>
          <w:sz w:val="20"/>
          <w:szCs w:val="20"/>
          <w:color w:val="auto"/>
        </w:rPr>
      </w:pPr>
      <w:r>
        <w:rPr>
          <w:rFonts w:ascii="Arial" w:cs="Arial" w:eastAsia="Arial" w:hAnsi="Arial"/>
          <w:sz w:val="18"/>
          <w:szCs w:val="18"/>
          <w:b w:val="1"/>
          <w:bCs w:val="1"/>
          <w:color w:val="auto"/>
        </w:rPr>
        <w:t>Restated 2010 Equity Incentive Plan, replacing the Fifth Amended and Restated 2010 Equity Incentive Plan</w:t>
      </w:r>
    </w:p>
    <w:p>
      <w:pPr>
        <w:spacing w:after="0" w:line="48" w:lineRule="exact"/>
        <w:rPr>
          <w:sz w:val="20"/>
          <w:szCs w:val="20"/>
          <w:color w:val="auto"/>
        </w:rPr>
      </w:pPr>
    </w:p>
    <w:p>
      <w:pPr>
        <w:ind w:left="1260" w:right="2259"/>
        <w:spacing w:after="0" w:line="268" w:lineRule="auto"/>
        <w:rPr>
          <w:sz w:val="20"/>
          <w:szCs w:val="20"/>
          <w:color w:val="auto"/>
        </w:rPr>
      </w:pPr>
      <w:r>
        <w:rPr>
          <w:rFonts w:ascii="Arial" w:cs="Arial" w:eastAsia="Arial" w:hAnsi="Arial"/>
          <w:sz w:val="18"/>
          <w:szCs w:val="18"/>
          <w:color w:val="auto"/>
        </w:rPr>
        <w:t>The Board of Directors has approved, subject to the approval of the Company’s stockholders, the Company’s Sixth Amended and Restated 2010 Equity Incentive Plan, as described herein</w:t>
      </w:r>
    </w:p>
    <w:p>
      <w:pPr>
        <w:spacing w:after="0" w:line="117" w:lineRule="exact"/>
        <w:rPr>
          <w:sz w:val="20"/>
          <w:szCs w:val="20"/>
          <w:color w:val="auto"/>
        </w:rPr>
      </w:pPr>
    </w:p>
    <w:p>
      <w:pPr>
        <w:jc w:val="both"/>
        <w:ind w:left="1260" w:right="419"/>
        <w:spacing w:after="0" w:line="276" w:lineRule="auto"/>
        <w:rPr>
          <w:sz w:val="20"/>
          <w:szCs w:val="20"/>
          <w:color w:val="auto"/>
        </w:rPr>
      </w:pPr>
      <w:r>
        <w:rPr>
          <w:rFonts w:ascii="Arial" w:cs="Arial" w:eastAsia="Arial" w:hAnsi="Arial"/>
          <w:sz w:val="18"/>
          <w:szCs w:val="18"/>
          <w:b w:val="1"/>
          <w:bCs w:val="1"/>
          <w:color w:val="auto"/>
        </w:rPr>
        <w:t>The Board is not aware of any other matters that may properly be brought before the meeting. If any other matters are properly presented at the Annual Meeting and you are a stockholder of record and have authorized a proxy to vote your shares, the persons named in the proxy card will have the discretion to vote on those matters for you.</w:t>
      </w:r>
    </w:p>
    <w:p>
      <w:pPr>
        <w:spacing w:after="0" w:line="87" w:lineRule="exact"/>
        <w:rPr>
          <w:sz w:val="20"/>
          <w:szCs w:val="20"/>
          <w:color w:val="auto"/>
        </w:rPr>
      </w:pPr>
    </w:p>
    <w:p>
      <w:pPr>
        <w:ind w:left="1260"/>
        <w:spacing w:after="0"/>
        <w:tabs>
          <w:tab w:leader="none" w:pos="5740" w:val="left"/>
        </w:tabs>
        <w:rPr>
          <w:sz w:val="20"/>
          <w:szCs w:val="20"/>
          <w:color w:val="auto"/>
        </w:rPr>
      </w:pPr>
      <w:r>
        <w:rPr>
          <w:rFonts w:ascii="Arial" w:cs="Arial" w:eastAsia="Arial" w:hAnsi="Arial"/>
          <w:sz w:val="18"/>
          <w:szCs w:val="18"/>
          <w:b w:val="1"/>
          <w:bCs w:val="1"/>
          <w:color w:val="auto"/>
        </w:rPr>
        <w:t>What happens if I return an unmarked proxy card?</w:t>
      </w:r>
      <w:r>
        <w:rPr>
          <w:sz w:val="20"/>
          <w:szCs w:val="20"/>
          <w:color w:val="auto"/>
        </w:rPr>
        <w:tab/>
      </w:r>
      <w:r>
        <w:rPr>
          <w:rFonts w:ascii="Arial" w:cs="Arial" w:eastAsia="Arial" w:hAnsi="Arial"/>
          <w:sz w:val="17"/>
          <w:szCs w:val="17"/>
          <w:color w:val="auto"/>
        </w:rPr>
        <w:t>Unless indicated otherwise on your proxy card,</w:t>
      </w:r>
    </w:p>
    <w:p>
      <w:pPr>
        <w:spacing w:after="0" w:line="40" w:lineRule="exact"/>
        <w:rPr>
          <w:sz w:val="20"/>
          <w:szCs w:val="20"/>
          <w:color w:val="auto"/>
        </w:rPr>
      </w:pPr>
    </w:p>
    <w:p>
      <w:pPr>
        <w:jc w:val="both"/>
        <w:ind w:left="1260" w:right="419"/>
        <w:spacing w:after="0" w:line="262" w:lineRule="auto"/>
        <w:rPr>
          <w:sz w:val="20"/>
          <w:szCs w:val="20"/>
          <w:color w:val="auto"/>
        </w:rPr>
      </w:pPr>
      <w:r>
        <w:rPr>
          <w:rFonts w:ascii="Arial" w:cs="Arial" w:eastAsia="Arial" w:hAnsi="Arial"/>
          <w:sz w:val="18"/>
          <w:szCs w:val="18"/>
          <w:color w:val="auto"/>
        </w:rPr>
        <w:t>if you return your properly executed proxy card with no votes marked, your shares will be voted to elect all six nominees as directors, to approve the ratification of the appointment of Grant Thornton LLP as our independent registered public accounting firm for fiscal year 2026, to approve our executive compensation as disclosed pursuant to Item 402 of Regulation S-K and to approve the Company’s Sixth Amended and Restated 2010 Equity Incentive Plan.</w:t>
      </w:r>
    </w:p>
    <w:p>
      <w:pPr>
        <w:spacing w:after="0" w:line="189" w:lineRule="exact"/>
        <w:rPr>
          <w:sz w:val="20"/>
          <w:szCs w:val="20"/>
          <w:color w:val="auto"/>
        </w:rPr>
      </w:pPr>
    </w:p>
    <w:p>
      <w:pPr>
        <w:ind w:left="1260" w:right="479"/>
        <w:spacing w:after="0" w:line="312" w:lineRule="auto"/>
        <w:rPr>
          <w:sz w:val="20"/>
          <w:szCs w:val="20"/>
          <w:color w:val="auto"/>
        </w:rPr>
      </w:pPr>
      <w:r>
        <w:rPr>
          <w:rFonts w:ascii="Arial" w:cs="Arial" w:eastAsia="Arial" w:hAnsi="Arial"/>
          <w:sz w:val="18"/>
          <w:szCs w:val="18"/>
          <w:b w:val="1"/>
          <w:bCs w:val="1"/>
          <w:color w:val="auto"/>
        </w:rPr>
        <w:t>How many votes are needed to approve each of the proposals assuming a quorum is present at the Annual Meeting?</w:t>
      </w:r>
    </w:p>
    <w:p>
      <w:pPr>
        <w:spacing w:after="0" w:line="56" w:lineRule="exact"/>
        <w:rPr>
          <w:sz w:val="20"/>
          <w:szCs w:val="20"/>
          <w:color w:val="auto"/>
        </w:rPr>
      </w:pPr>
    </w:p>
    <w:p>
      <w:pPr>
        <w:jc w:val="both"/>
        <w:ind w:left="1260" w:right="419"/>
        <w:spacing w:after="0" w:line="273" w:lineRule="auto"/>
        <w:rPr>
          <w:sz w:val="20"/>
          <w:szCs w:val="20"/>
          <w:color w:val="auto"/>
        </w:rPr>
      </w:pPr>
      <w:r>
        <w:rPr>
          <w:rFonts w:ascii="Arial" w:cs="Arial" w:eastAsia="Arial" w:hAnsi="Arial"/>
          <w:sz w:val="18"/>
          <w:szCs w:val="18"/>
          <w:i w:val="1"/>
          <w:iCs w:val="1"/>
          <w:color w:val="auto"/>
        </w:rPr>
        <w:t>Proposal 1: Election of Directors</w:t>
      </w:r>
      <w:r>
        <w:rPr>
          <w:rFonts w:ascii="Arial" w:cs="Arial" w:eastAsia="Arial" w:hAnsi="Arial"/>
          <w:sz w:val="18"/>
          <w:szCs w:val="18"/>
          <w:color w:val="auto"/>
        </w:rPr>
        <w:t>. The vote of a majority of all votes cast for and against a nominee at a</w:t>
      </w:r>
      <w:r>
        <w:rPr>
          <w:rFonts w:ascii="Arial" w:cs="Arial" w:eastAsia="Arial" w:hAnsi="Arial"/>
          <w:sz w:val="18"/>
          <w:szCs w:val="18"/>
          <w:i w:val="1"/>
          <w:iCs w:val="1"/>
          <w:color w:val="auto"/>
        </w:rPr>
        <w:t xml:space="preserve"> </w:t>
      </w:r>
      <w:r>
        <w:rPr>
          <w:rFonts w:ascii="Arial" w:cs="Arial" w:eastAsia="Arial" w:hAnsi="Arial"/>
          <w:sz w:val="18"/>
          <w:szCs w:val="18"/>
          <w:color w:val="auto"/>
        </w:rPr>
        <w:t>meeting at which a quorum is present is necessary for the election of a director. Abstentions and “broker non-votes” are not considered votes cast for the foregoing purpose, and will not affect the outcome of this proposal.</w:t>
      </w:r>
    </w:p>
    <w:p>
      <w:pPr>
        <w:spacing w:after="0" w:line="98" w:lineRule="exact"/>
        <w:rPr>
          <w:sz w:val="20"/>
          <w:szCs w:val="20"/>
          <w:color w:val="auto"/>
        </w:rPr>
      </w:pPr>
    </w:p>
    <w:p>
      <w:pPr>
        <w:jc w:val="both"/>
        <w:ind w:left="1260" w:right="419"/>
        <w:spacing w:after="0" w:line="259" w:lineRule="auto"/>
        <w:rPr>
          <w:sz w:val="20"/>
          <w:szCs w:val="20"/>
          <w:color w:val="auto"/>
        </w:rPr>
      </w:pPr>
      <w:r>
        <w:rPr>
          <w:rFonts w:ascii="Arial" w:cs="Arial" w:eastAsia="Arial" w:hAnsi="Arial"/>
          <w:sz w:val="18"/>
          <w:szCs w:val="18"/>
          <w:i w:val="1"/>
          <w:iCs w:val="1"/>
          <w:color w:val="auto"/>
        </w:rPr>
        <w:t>Proposal 2: Ratification of Independent Registered Public Accounting Firm for 2026</w:t>
      </w:r>
      <w:r>
        <w:rPr>
          <w:rFonts w:ascii="Arial" w:cs="Arial" w:eastAsia="Arial" w:hAnsi="Arial"/>
          <w:sz w:val="18"/>
          <w:szCs w:val="18"/>
          <w:color w:val="auto"/>
        </w:rPr>
        <w:t>. The affirmative</w:t>
      </w:r>
      <w:r>
        <w:rPr>
          <w:rFonts w:ascii="Arial" w:cs="Arial" w:eastAsia="Arial" w:hAnsi="Arial"/>
          <w:sz w:val="18"/>
          <w:szCs w:val="18"/>
          <w:i w:val="1"/>
          <w:iCs w:val="1"/>
          <w:color w:val="auto"/>
        </w:rPr>
        <w:t xml:space="preserve"> </w:t>
      </w:r>
      <w:r>
        <w:rPr>
          <w:rFonts w:ascii="Arial" w:cs="Arial" w:eastAsia="Arial" w:hAnsi="Arial"/>
          <w:sz w:val="18"/>
          <w:szCs w:val="18"/>
          <w:color w:val="auto"/>
        </w:rPr>
        <w:t>vote of a majority of all of the votes cast at a meeting at which a quorum is present is required for approval of the auditor ratification proposal. Abstentions are not considered votes cast for the foregoing purpose, and will not affect the outcome of this proposal. As described below, brokerage firms can vote your uninstructed shares on this proposal.</w:t>
      </w:r>
    </w:p>
    <w:p>
      <w:pPr>
        <w:sectPr>
          <w:pgSz w:w="11900" w:h="16838" w:orient="portrait"/>
          <w:cols w:equalWidth="0" w:num="1">
            <w:col w:w="9879"/>
          </w:cols>
          <w:pgMar w:left="580" w:top="97" w:right="1440" w:bottom="1440" w:gutter="0" w:footer="0" w:header="0"/>
          <w:type w:val="continuous"/>
        </w:sectPr>
      </w:pPr>
    </w:p>
    <w:p>
      <w:pPr>
        <w:spacing w:after="0" w:line="355"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269240</wp:posOffset>
            </wp:positionV>
            <wp:extent cx="68319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Arial" w:cs="Arial" w:eastAsia="Arial" w:hAnsi="Arial"/>
          <w:sz w:val="17"/>
          <w:szCs w:val="17"/>
          <w:i w:val="1"/>
          <w:iCs w:val="1"/>
          <w:color w:val="auto"/>
        </w:rPr>
        <w:t>Proposal 3: Advisory Vote to Approve Executive Compensation</w:t>
      </w:r>
      <w:r>
        <w:rPr>
          <w:rFonts w:ascii="Arial" w:cs="Arial" w:eastAsia="Arial" w:hAnsi="Arial"/>
          <w:sz w:val="17"/>
          <w:szCs w:val="17"/>
          <w:color w:val="auto"/>
        </w:rPr>
        <w:t>.  The affirmative vote of a majority of all</w:t>
      </w:r>
    </w:p>
    <w:p>
      <w:pPr>
        <w:spacing w:after="0" w:line="39" w:lineRule="exact"/>
        <w:rPr>
          <w:sz w:val="20"/>
          <w:szCs w:val="20"/>
          <w:color w:val="auto"/>
        </w:rPr>
      </w:pPr>
    </w:p>
    <w:p>
      <w:pPr>
        <w:jc w:val="both"/>
        <w:ind w:left="1260" w:right="419"/>
        <w:spacing w:after="0" w:line="242" w:lineRule="auto"/>
        <w:rPr>
          <w:sz w:val="20"/>
          <w:szCs w:val="20"/>
          <w:color w:val="auto"/>
        </w:rPr>
      </w:pPr>
      <w:r>
        <w:rPr>
          <w:rFonts w:ascii="Arial" w:cs="Arial" w:eastAsia="Arial" w:hAnsi="Arial"/>
          <w:sz w:val="18"/>
          <w:szCs w:val="18"/>
          <w:color w:val="auto"/>
        </w:rPr>
        <w:t>of the votes cast at a meeting at which a quorum is present is required for approval of the “Say-on-Pay” proposal. Abstentions and broker non-votes are not considered votes cast for the foregoing purpose, and will not affect the outcome of this proposal.</w:t>
      </w:r>
    </w:p>
    <w:p>
      <w:pPr>
        <w:spacing w:after="0" w:line="114"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Proposal 4: Approve the CTO Realty Growth, Inc. Sixth Amended and Restated 2010 Equity Incentive</w:t>
      </w:r>
    </w:p>
    <w:p>
      <w:pPr>
        <w:spacing w:after="0" w:line="25" w:lineRule="exact"/>
        <w:rPr>
          <w:sz w:val="20"/>
          <w:szCs w:val="20"/>
          <w:color w:val="auto"/>
        </w:rPr>
      </w:pPr>
    </w:p>
    <w:p>
      <w:pPr>
        <w:jc w:val="both"/>
        <w:ind w:left="1260" w:right="419"/>
        <w:spacing w:after="0" w:line="245" w:lineRule="auto"/>
        <w:rPr>
          <w:sz w:val="20"/>
          <w:szCs w:val="20"/>
          <w:color w:val="auto"/>
        </w:rPr>
      </w:pPr>
      <w:r>
        <w:rPr>
          <w:rFonts w:ascii="Arial" w:cs="Arial" w:eastAsia="Arial" w:hAnsi="Arial"/>
          <w:sz w:val="18"/>
          <w:szCs w:val="18"/>
          <w:i w:val="1"/>
          <w:iCs w:val="1"/>
          <w:color w:val="auto"/>
        </w:rPr>
        <w:t xml:space="preserve">Plan. </w:t>
      </w:r>
      <w:r>
        <w:rPr>
          <w:rFonts w:ascii="Arial" w:cs="Arial" w:eastAsia="Arial" w:hAnsi="Arial"/>
          <w:sz w:val="18"/>
          <w:szCs w:val="18"/>
          <w:color w:val="auto"/>
        </w:rPr>
        <w:t>The affirmative vote of a majority of all of the votes cast at a meeting at which a quorum is present</w:t>
      </w:r>
      <w:r>
        <w:rPr>
          <w:rFonts w:ascii="Arial" w:cs="Arial" w:eastAsia="Arial" w:hAnsi="Arial"/>
          <w:sz w:val="18"/>
          <w:szCs w:val="18"/>
          <w:i w:val="1"/>
          <w:iCs w:val="1"/>
          <w:color w:val="auto"/>
        </w:rPr>
        <w:t xml:space="preserve"> </w:t>
      </w:r>
      <w:r>
        <w:rPr>
          <w:rFonts w:ascii="Arial" w:cs="Arial" w:eastAsia="Arial" w:hAnsi="Arial"/>
          <w:sz w:val="18"/>
          <w:szCs w:val="18"/>
          <w:color w:val="auto"/>
        </w:rPr>
        <w:t>is required for approval of the CTO Realty Growth, Inc. Sixth Amended and Restated 2010 Equity Incentive Plan. Abstentions and broker non-votes are not considered votes cast for the foregoing purpose, and will not affect the outcome of this proposal.</w:t>
      </w:r>
    </w:p>
    <w:p>
      <w:pPr>
        <w:spacing w:after="0" w:line="109" w:lineRule="exact"/>
        <w:rPr>
          <w:sz w:val="20"/>
          <w:szCs w:val="20"/>
          <w:color w:val="auto"/>
        </w:rPr>
      </w:pPr>
    </w:p>
    <w:p>
      <w:pPr>
        <w:jc w:val="both"/>
        <w:ind w:left="1260" w:right="419"/>
        <w:spacing w:after="0" w:line="242" w:lineRule="auto"/>
        <w:rPr>
          <w:sz w:val="20"/>
          <w:szCs w:val="20"/>
          <w:color w:val="auto"/>
        </w:rPr>
      </w:pPr>
      <w:r>
        <w:rPr>
          <w:rFonts w:ascii="Arial" w:cs="Arial" w:eastAsia="Arial" w:hAnsi="Arial"/>
          <w:sz w:val="18"/>
          <w:szCs w:val="18"/>
          <w:b w:val="1"/>
          <w:bCs w:val="1"/>
          <w:color w:val="auto"/>
        </w:rPr>
        <w:t xml:space="preserve">What is a “broker non-vote”? </w:t>
      </w:r>
      <w:r>
        <w:rPr>
          <w:rFonts w:ascii="Arial" w:cs="Arial" w:eastAsia="Arial" w:hAnsi="Arial"/>
          <w:sz w:val="18"/>
          <w:szCs w:val="18"/>
          <w:color w:val="auto"/>
        </w:rPr>
        <w:t>A “broker non-vote” occurs when a nominee holding shares for a</w:t>
      </w:r>
      <w:r>
        <w:rPr>
          <w:rFonts w:ascii="Arial" w:cs="Arial" w:eastAsia="Arial" w:hAnsi="Arial"/>
          <w:sz w:val="18"/>
          <w:szCs w:val="18"/>
          <w:b w:val="1"/>
          <w:bCs w:val="1"/>
          <w:color w:val="auto"/>
        </w:rPr>
        <w:t xml:space="preserve"> </w:t>
      </w:r>
      <w:r>
        <w:rPr>
          <w:rFonts w:ascii="Arial" w:cs="Arial" w:eastAsia="Arial" w:hAnsi="Arial"/>
          <w:sz w:val="18"/>
          <w:szCs w:val="18"/>
          <w:color w:val="auto"/>
        </w:rPr>
        <w:t>beneficial owner does not vote on a particular proposal because the nominee does not have discretionary voting power for that particular item and has not received instructions from the beneficial owner. Your shares may be voted with respect to the auditor ratification proposal (Proposal 2) if the shares are held in the name of a brokerage firm, even if you do not provide the brokerage firm with voting instructions. Brokerage firms have the authority under the rules of the New York Stock Exchange (the “NYSE”) to cast votes on certain “routine” matters if they do not receive instructions from their customers. The auditor ratification proposal (Proposal 2) is considered a “routine” matter for which brokerage firms may vote shares for which they did not receive instructions from beneficial owners. All other proposals being considered and voted on by stockholders at the Annual Meeting are “non-routine” matters under the NYSE rules for which brokers may not vote absent voting instructions from the beneficial owner.</w:t>
      </w:r>
    </w:p>
    <w:p>
      <w:pPr>
        <w:spacing w:after="0" w:line="114" w:lineRule="exact"/>
        <w:rPr>
          <w:sz w:val="20"/>
          <w:szCs w:val="20"/>
          <w:color w:val="auto"/>
        </w:rPr>
      </w:pPr>
    </w:p>
    <w:p>
      <w:pPr>
        <w:ind w:left="1260"/>
        <w:spacing w:after="0"/>
        <w:tabs>
          <w:tab w:leader="none" w:pos="8360" w:val="left"/>
        </w:tabs>
        <w:rPr>
          <w:sz w:val="20"/>
          <w:szCs w:val="20"/>
          <w:color w:val="auto"/>
        </w:rPr>
      </w:pPr>
      <w:r>
        <w:rPr>
          <w:rFonts w:ascii="Arial" w:cs="Arial" w:eastAsia="Arial" w:hAnsi="Arial"/>
          <w:sz w:val="18"/>
          <w:szCs w:val="18"/>
          <w:b w:val="1"/>
          <w:bCs w:val="1"/>
          <w:color w:val="auto"/>
        </w:rPr>
        <w:t>What does it mean if I receive more than one Internet Availability Notice?</w:t>
      </w:r>
      <w:r>
        <w:rPr>
          <w:sz w:val="20"/>
          <w:szCs w:val="20"/>
          <w:color w:val="auto"/>
        </w:rPr>
        <w:tab/>
      </w:r>
      <w:r>
        <w:rPr>
          <w:rFonts w:ascii="Arial" w:cs="Arial" w:eastAsia="Arial" w:hAnsi="Arial"/>
          <w:sz w:val="18"/>
          <w:szCs w:val="18"/>
          <w:color w:val="auto"/>
        </w:rPr>
        <w:t>Some of our</w:t>
      </w:r>
    </w:p>
    <w:p>
      <w:pPr>
        <w:spacing w:after="0" w:line="27" w:lineRule="exact"/>
        <w:rPr>
          <w:sz w:val="20"/>
          <w:szCs w:val="20"/>
          <w:color w:val="auto"/>
        </w:rPr>
      </w:pPr>
    </w:p>
    <w:p>
      <w:pPr>
        <w:jc w:val="both"/>
        <w:ind w:left="1260" w:right="419"/>
        <w:spacing w:after="0"/>
        <w:rPr>
          <w:sz w:val="20"/>
          <w:szCs w:val="20"/>
          <w:color w:val="auto"/>
        </w:rPr>
      </w:pPr>
      <w:r>
        <w:rPr>
          <w:rFonts w:ascii="Arial" w:cs="Arial" w:eastAsia="Arial" w:hAnsi="Arial"/>
          <w:sz w:val="18"/>
          <w:szCs w:val="18"/>
          <w:color w:val="auto"/>
        </w:rPr>
        <w:t>stockholders hold their shares in more than one account and may receive separate Internet Availability Notices for each of those accounts. If you receive more than one Internet Availability Notice, it means you own shares in multiple accounts with brokers and/or our transfer agent. To ensure that all of your shares are voted, please vote using each of the separate proxy voting instructions you receive. We recommend that you contact your broker and/or our transfer agent to consolidate as many accounts as possible under the same name and address. Our transfer agent is Computershare, which may be reached by telephone at 1-800-962-4284 or via their website at www.computershare.com/investor.</w:t>
      </w:r>
    </w:p>
    <w:p>
      <w:pPr>
        <w:spacing w:after="0" w:line="113" w:lineRule="exact"/>
        <w:rPr>
          <w:sz w:val="20"/>
          <w:szCs w:val="20"/>
          <w:color w:val="auto"/>
        </w:rPr>
      </w:pPr>
    </w:p>
    <w:p>
      <w:pPr>
        <w:ind w:left="1260"/>
        <w:spacing w:after="0"/>
        <w:tabs>
          <w:tab w:leader="none" w:pos="6500" w:val="left"/>
        </w:tabs>
        <w:rPr>
          <w:sz w:val="20"/>
          <w:szCs w:val="20"/>
          <w:color w:val="auto"/>
        </w:rPr>
      </w:pPr>
      <w:r>
        <w:rPr>
          <w:rFonts w:ascii="Arial" w:cs="Arial" w:eastAsia="Arial" w:hAnsi="Arial"/>
          <w:sz w:val="18"/>
          <w:szCs w:val="18"/>
          <w:b w:val="1"/>
          <w:bCs w:val="1"/>
          <w:color w:val="auto"/>
        </w:rPr>
        <w:t>Whom should I call if I need copies of the proxy materials?</w:t>
      </w:r>
      <w:r>
        <w:rPr>
          <w:sz w:val="20"/>
          <w:szCs w:val="20"/>
          <w:color w:val="auto"/>
        </w:rPr>
        <w:tab/>
      </w:r>
      <w:r>
        <w:rPr>
          <w:rFonts w:ascii="Arial" w:cs="Arial" w:eastAsia="Arial" w:hAnsi="Arial"/>
          <w:sz w:val="18"/>
          <w:szCs w:val="18"/>
          <w:color w:val="auto"/>
        </w:rPr>
        <w:t>If you would like to request a copy of</w:t>
      </w:r>
    </w:p>
    <w:p>
      <w:pPr>
        <w:spacing w:after="0" w:line="2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the materials for this and/or future stockholder meetings, you may (i) visit www.edocumentview.com/CTO</w:t>
      </w:r>
    </w:p>
    <w:p>
      <w:pPr>
        <w:spacing w:after="0" w:line="7" w:lineRule="exact"/>
        <w:rPr>
          <w:sz w:val="20"/>
          <w:szCs w:val="20"/>
          <w:color w:val="auto"/>
        </w:rPr>
      </w:pPr>
    </w:p>
    <w:p>
      <w:pPr>
        <w:ind w:left="1260" w:right="419"/>
        <w:spacing w:after="0" w:line="250" w:lineRule="auto"/>
        <w:tabs>
          <w:tab w:leader="none" w:pos="1537" w:val="left"/>
        </w:tabs>
        <w:numPr>
          <w:ilvl w:val="0"/>
          <w:numId w:val="10"/>
        </w:numPr>
        <w:rPr>
          <w:rFonts w:ascii="Arial" w:cs="Arial" w:eastAsia="Arial" w:hAnsi="Arial"/>
          <w:sz w:val="18"/>
          <w:szCs w:val="18"/>
          <w:color w:val="auto"/>
        </w:rPr>
      </w:pPr>
      <w:r>
        <w:rPr>
          <w:rFonts w:ascii="Arial" w:cs="Arial" w:eastAsia="Arial" w:hAnsi="Arial"/>
          <w:sz w:val="18"/>
          <w:szCs w:val="18"/>
          <w:color w:val="auto"/>
        </w:rPr>
        <w:t>call 1-386-274-2202 or (iii) email CorporateSecretary@ctoreit.com. Unless requested you will not otherwise receive a paper or email copy of the meeting materials.</w:t>
      </w:r>
    </w:p>
    <w:p>
      <w:pPr>
        <w:spacing w:after="0" w:line="104" w:lineRule="exact"/>
        <w:rPr>
          <w:sz w:val="20"/>
          <w:szCs w:val="20"/>
          <w:color w:val="auto"/>
        </w:rPr>
      </w:pPr>
    </w:p>
    <w:p>
      <w:pPr>
        <w:ind w:left="1260"/>
        <w:spacing w:after="0"/>
        <w:tabs>
          <w:tab w:leader="none" w:pos="9180" w:val="left"/>
        </w:tabs>
        <w:rPr>
          <w:sz w:val="20"/>
          <w:szCs w:val="20"/>
          <w:color w:val="auto"/>
        </w:rPr>
      </w:pPr>
      <w:r>
        <w:rPr>
          <w:rFonts w:ascii="Arial" w:cs="Arial" w:eastAsia="Arial" w:hAnsi="Arial"/>
          <w:sz w:val="18"/>
          <w:szCs w:val="18"/>
          <w:b w:val="1"/>
          <w:bCs w:val="1"/>
          <w:color w:val="auto"/>
        </w:rPr>
        <w:t>Who pays for the solicitation of proxies and who participates in the solicitation of proxies?</w:t>
      </w:r>
      <w:r>
        <w:rPr>
          <w:sz w:val="20"/>
          <w:szCs w:val="20"/>
          <w:color w:val="auto"/>
        </w:rPr>
        <w:tab/>
      </w:r>
      <w:r>
        <w:rPr>
          <w:rFonts w:ascii="Arial" w:cs="Arial" w:eastAsia="Arial" w:hAnsi="Arial"/>
          <w:sz w:val="17"/>
          <w:szCs w:val="17"/>
          <w:color w:val="auto"/>
        </w:rPr>
        <w:t>We</w:t>
      </w:r>
    </w:p>
    <w:p>
      <w:pPr>
        <w:spacing w:after="0" w:line="27" w:lineRule="exact"/>
        <w:rPr>
          <w:sz w:val="20"/>
          <w:szCs w:val="20"/>
          <w:color w:val="auto"/>
        </w:rPr>
      </w:pPr>
    </w:p>
    <w:p>
      <w:pPr>
        <w:jc w:val="both"/>
        <w:ind w:left="1260" w:right="419"/>
        <w:spacing w:after="0" w:line="241" w:lineRule="auto"/>
        <w:rPr>
          <w:sz w:val="20"/>
          <w:szCs w:val="20"/>
          <w:color w:val="auto"/>
        </w:rPr>
      </w:pPr>
      <w:r>
        <w:rPr>
          <w:rFonts w:ascii="Arial" w:cs="Arial" w:eastAsia="Arial" w:hAnsi="Arial"/>
          <w:sz w:val="18"/>
          <w:szCs w:val="18"/>
          <w:color w:val="auto"/>
        </w:rPr>
        <w:t>will bear the cost of soliciting proxies by the Company, including the cost of preparation, assembly, printing and mailing. In addition to solicitation by mail, our directors, officers, employees, and agents may solicit proxies by telephone, Internet, or otherwise. These directors, officers, employees, and agents will not be additionally compensated for the solicitation, but may be reimbursed for out-of-pocket expenses incurred in connection with the solicitation. Copies of solicitation materials will be furnished to brokerage firms, fiduciaries, and other custodians who hold shares of our common stock of record for beneficial owners for forwarding to such beneficial owners. We may also reimburse persons representing beneficial owners for their reasonable expenses incurred in forwarding such materials. Stockholders who authorize their proxies through the Internet should be aware that they may incur costs to access the Internet, such as usage charges from telephone companies or Internet service providers and these costs must be borne by the stockholder.</w:t>
      </w:r>
    </w:p>
    <w:p>
      <w:pPr>
        <w:spacing w:after="0" w:line="112" w:lineRule="exact"/>
        <w:rPr>
          <w:sz w:val="20"/>
          <w:szCs w:val="20"/>
          <w:color w:val="auto"/>
        </w:rPr>
      </w:pPr>
    </w:p>
    <w:p>
      <w:pPr>
        <w:jc w:val="both"/>
        <w:ind w:left="1260" w:right="419"/>
        <w:spacing w:after="0" w:line="271" w:lineRule="auto"/>
        <w:rPr>
          <w:sz w:val="20"/>
          <w:szCs w:val="20"/>
          <w:color w:val="auto"/>
        </w:rPr>
      </w:pPr>
      <w:r>
        <w:rPr>
          <w:rFonts w:ascii="Arial" w:cs="Arial" w:eastAsia="Arial" w:hAnsi="Arial"/>
          <w:sz w:val="18"/>
          <w:szCs w:val="18"/>
          <w:b w:val="1"/>
          <w:bCs w:val="1"/>
          <w:color w:val="auto"/>
        </w:rPr>
        <w:t xml:space="preserve">May I access this year’s proxy statement and annual report over the Internet? </w:t>
      </w:r>
      <w:r>
        <w:rPr>
          <w:rFonts w:ascii="Arial" w:cs="Arial" w:eastAsia="Arial" w:hAnsi="Arial"/>
          <w:sz w:val="18"/>
          <w:szCs w:val="18"/>
          <w:color w:val="auto"/>
        </w:rPr>
        <w:t>This proxy</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 and a copy of our Annual Report are available at https://www.edocumentview.com/CTO.</w:t>
      </w:r>
    </w:p>
    <w:p>
      <w:pPr>
        <w:spacing w:after="0" w:line="86"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 xml:space="preserve">Where can I find the voting results of the Annual Meeting?  </w:t>
      </w:r>
      <w:r>
        <w:rPr>
          <w:rFonts w:ascii="Arial" w:cs="Arial" w:eastAsia="Arial" w:hAnsi="Arial"/>
          <w:sz w:val="17"/>
          <w:szCs w:val="17"/>
          <w:color w:val="auto"/>
        </w:rPr>
        <w:t>We intend to disclose the voting results</w:t>
      </w:r>
    </w:p>
    <w:p>
      <w:pPr>
        <w:spacing w:after="0" w:line="39" w:lineRule="exact"/>
        <w:rPr>
          <w:sz w:val="20"/>
          <w:szCs w:val="20"/>
          <w:color w:val="auto"/>
        </w:rPr>
      </w:pPr>
    </w:p>
    <w:p>
      <w:pPr>
        <w:jc w:val="both"/>
        <w:ind w:left="1260" w:right="419"/>
        <w:spacing w:after="0" w:line="242" w:lineRule="auto"/>
        <w:rPr>
          <w:sz w:val="20"/>
          <w:szCs w:val="20"/>
          <w:color w:val="auto"/>
        </w:rPr>
      </w:pPr>
      <w:r>
        <w:rPr>
          <w:rFonts w:ascii="Arial" w:cs="Arial" w:eastAsia="Arial" w:hAnsi="Arial"/>
          <w:sz w:val="18"/>
          <w:szCs w:val="18"/>
          <w:color w:val="auto"/>
        </w:rPr>
        <w:t>in a current report on Form 8-K within four business days after the Annual Meeting. If we first disclose preliminary voting results, the final voting results will be disclosed in an amendment to such Form 8-K within four business days after the final voting results are known. Both the Form 8-K and any amendment to such Form 8-K will be filed with the Securities and Exchange Commission (the “SEC”) and made available on our website at www.ctoreit.com.</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PROPOSAL 1: ELECTION OF DIRECTORS</w:t>
      </w:r>
    </w:p>
    <w:p>
      <w:pPr>
        <w:spacing w:after="0" w:line="225" w:lineRule="exact"/>
        <w:rPr>
          <w:sz w:val="20"/>
          <w:szCs w:val="20"/>
          <w:color w:val="auto"/>
        </w:rPr>
      </w:pPr>
    </w:p>
    <w:p>
      <w:pPr>
        <w:ind w:left="1260" w:right="439"/>
        <w:spacing w:after="0" w:line="273" w:lineRule="auto"/>
        <w:rPr>
          <w:sz w:val="20"/>
          <w:szCs w:val="20"/>
          <w:color w:val="auto"/>
        </w:rPr>
      </w:pPr>
      <w:r>
        <w:rPr>
          <w:rFonts w:ascii="Arial" w:cs="Arial" w:eastAsia="Arial" w:hAnsi="Arial"/>
          <w:sz w:val="18"/>
          <w:szCs w:val="18"/>
          <w:b w:val="1"/>
          <w:bCs w:val="1"/>
          <w:color w:val="auto"/>
        </w:rPr>
        <w:t>OUR BOARD RECOMMENDS THAT YOU VOTE “FOR” EACH OF THE BOARD’S SIX NOMINEES. IF NOT OTHERWISE SPECIFIED, PROXIES WILL BE VOTED “FOR” EACH OF THE BOARD’S NOMINEES.</w:t>
      </w:r>
    </w:p>
    <w:p>
      <w:pPr>
        <w:spacing w:after="0" w:line="90" w:lineRule="exact"/>
        <w:rPr>
          <w:sz w:val="20"/>
          <w:szCs w:val="20"/>
          <w:color w:val="auto"/>
        </w:rPr>
      </w:pPr>
    </w:p>
    <w:p>
      <w:pPr>
        <w:jc w:val="both"/>
        <w:ind w:left="1260" w:right="419"/>
        <w:spacing w:after="0" w:line="268" w:lineRule="auto"/>
        <w:rPr>
          <w:sz w:val="20"/>
          <w:szCs w:val="20"/>
          <w:color w:val="auto"/>
        </w:rPr>
      </w:pPr>
      <w:r>
        <w:rPr>
          <w:rFonts w:ascii="Arial" w:cs="Arial" w:eastAsia="Arial" w:hAnsi="Arial"/>
          <w:sz w:val="18"/>
          <w:szCs w:val="18"/>
          <w:color w:val="auto"/>
        </w:rPr>
        <w:t>At our 2025 annual meeting of stockholders (the “2025 Annual Meeting”), all six of the director candidates nominated by our Board were re-elected for one-year terms expiring at the Annual Meeting. The Board has determined that the Board will continue to be comprised of six directors.</w:t>
      </w:r>
    </w:p>
    <w:p>
      <w:pPr>
        <w:spacing w:after="0" w:line="103" w:lineRule="exact"/>
        <w:rPr>
          <w:sz w:val="20"/>
          <w:szCs w:val="20"/>
          <w:color w:val="auto"/>
        </w:rPr>
      </w:pPr>
    </w:p>
    <w:p>
      <w:pPr>
        <w:jc w:val="both"/>
        <w:ind w:left="1260" w:right="419"/>
        <w:spacing w:after="0" w:line="262" w:lineRule="auto"/>
        <w:rPr>
          <w:sz w:val="20"/>
          <w:szCs w:val="20"/>
          <w:color w:val="auto"/>
        </w:rPr>
      </w:pPr>
      <w:r>
        <w:rPr>
          <w:rFonts w:ascii="Arial" w:cs="Arial" w:eastAsia="Arial" w:hAnsi="Arial"/>
          <w:sz w:val="18"/>
          <w:szCs w:val="18"/>
          <w:color w:val="auto"/>
        </w:rPr>
        <w:t>Based upon the recommendation of the Board of Directors’ Governance Committee (the “Governance Committee”), Ms. Franklin and Messrs. Albright, Brokaw, Drew, Gable and Haga have each been nominated by the Board to be re-elected to the Board for new one-year terms expiring at our 2027 annual meeting of stockholders.</w:t>
      </w:r>
    </w:p>
    <w:p>
      <w:pPr>
        <w:spacing w:after="0" w:line="95" w:lineRule="exact"/>
        <w:rPr>
          <w:sz w:val="20"/>
          <w:szCs w:val="20"/>
          <w:color w:val="auto"/>
        </w:rPr>
      </w:pPr>
    </w:p>
    <w:p>
      <w:pPr>
        <w:jc w:val="both"/>
        <w:ind w:left="1260" w:right="419"/>
        <w:spacing w:after="0" w:line="268" w:lineRule="auto"/>
        <w:rPr>
          <w:sz w:val="20"/>
          <w:szCs w:val="20"/>
          <w:color w:val="auto"/>
        </w:rPr>
      </w:pPr>
      <w:r>
        <w:rPr>
          <w:rFonts w:ascii="Arial" w:cs="Arial" w:eastAsia="Arial" w:hAnsi="Arial"/>
          <w:sz w:val="18"/>
          <w:szCs w:val="18"/>
          <w:color w:val="auto"/>
        </w:rPr>
        <w:t>All of the Board’s nominees for election as directors are currently directors and have been re-nominated by the Board. Each of the Board’s nominees has consented in writing to being named in this proxy statement and indicated his or her willingness to serve if elected.</w:t>
      </w:r>
    </w:p>
    <w:p>
      <w:pPr>
        <w:spacing w:after="0" w:line="103" w:lineRule="exact"/>
        <w:rPr>
          <w:sz w:val="20"/>
          <w:szCs w:val="20"/>
          <w:color w:val="auto"/>
        </w:rPr>
      </w:pPr>
    </w:p>
    <w:p>
      <w:pPr>
        <w:jc w:val="both"/>
        <w:ind w:left="1260" w:right="419"/>
        <w:spacing w:after="0" w:line="259" w:lineRule="auto"/>
        <w:rPr>
          <w:sz w:val="20"/>
          <w:szCs w:val="20"/>
          <w:color w:val="auto"/>
        </w:rPr>
      </w:pPr>
      <w:r>
        <w:rPr>
          <w:rFonts w:ascii="Arial" w:cs="Arial" w:eastAsia="Arial" w:hAnsi="Arial"/>
          <w:sz w:val="18"/>
          <w:szCs w:val="18"/>
          <w:color w:val="auto"/>
        </w:rPr>
        <w:t>Unless otherwise specified when the proxy is appointed (whether by Internet, telephone or executed and returned proxy card), all proxies will be voted for the election of the persons named below who have been recommended to the Board by the Governance Committee as nominees for director. If any nominee should be unable to serve, which is not anticipated, the proxy will be voted for such other persons as shall be determined by the persons named in the proxy in accordance with their judgment.</w:t>
      </w:r>
    </w:p>
    <w:p>
      <w:pPr>
        <w:spacing w:after="0" w:line="112" w:lineRule="exact"/>
        <w:rPr>
          <w:sz w:val="20"/>
          <w:szCs w:val="20"/>
          <w:color w:val="auto"/>
        </w:rPr>
      </w:pPr>
    </w:p>
    <w:p>
      <w:pPr>
        <w:jc w:val="both"/>
        <w:ind w:left="1260" w:right="419"/>
        <w:spacing w:after="0" w:line="259" w:lineRule="auto"/>
        <w:rPr>
          <w:sz w:val="20"/>
          <w:szCs w:val="20"/>
          <w:color w:val="auto"/>
        </w:rPr>
      </w:pPr>
      <w:r>
        <w:rPr>
          <w:rFonts w:ascii="Arial" w:cs="Arial" w:eastAsia="Arial" w:hAnsi="Arial"/>
          <w:sz w:val="18"/>
          <w:szCs w:val="18"/>
          <w:color w:val="auto"/>
        </w:rPr>
        <w:t>The 2026 election of directors is an uncontested election, so the election of Ms. Franklin and Messrs. Albright, Brokaw, Drew, Gable and Haga will require that each director nominee receive a majority of all votes cast for and against that nominee (meaning the number of votes cast “for” the nominee must exceed the number of votes cast “against” that nominee). Abstentions and any broker non-votes are not considered votes cast for the foregoing purpose, and will not affect the outcome of this proposal.</w:t>
      </w:r>
    </w:p>
    <w:p>
      <w:pPr>
        <w:spacing w:after="0" w:line="98" w:lineRule="exact"/>
        <w:rPr>
          <w:sz w:val="20"/>
          <w:szCs w:val="20"/>
          <w:color w:val="auto"/>
        </w:rPr>
      </w:pPr>
    </w:p>
    <w:p>
      <w:pPr>
        <w:jc w:val="both"/>
        <w:ind w:left="1260" w:right="419"/>
        <w:spacing w:after="0" w:line="259" w:lineRule="auto"/>
        <w:rPr>
          <w:sz w:val="20"/>
          <w:szCs w:val="20"/>
          <w:color w:val="auto"/>
        </w:rPr>
      </w:pPr>
      <w:r>
        <w:rPr>
          <w:rFonts w:ascii="Arial" w:cs="Arial" w:eastAsia="Arial" w:hAnsi="Arial"/>
          <w:sz w:val="18"/>
          <w:szCs w:val="18"/>
          <w:b w:val="1"/>
          <w:bCs w:val="1"/>
          <w:color w:val="auto"/>
        </w:rPr>
        <w:t xml:space="preserve">Our Board of Directors recommends a vote “FOR” the election of Ms. Laura M. Franklin, and Messrs. John P. Albright, George R. Brokaw, Christopher J. Drew, R. Blakeslee Gable and Christopher W. Haga as directors. </w:t>
      </w:r>
      <w:r>
        <w:rPr>
          <w:rFonts w:ascii="Arial" w:cs="Arial" w:eastAsia="Arial" w:hAnsi="Arial"/>
          <w:sz w:val="18"/>
          <w:szCs w:val="18"/>
          <w:color w:val="auto"/>
        </w:rPr>
        <w:t>To vote for these nominees, please vote by telephone or over the</w:t>
      </w:r>
      <w:r>
        <w:rPr>
          <w:rFonts w:ascii="Arial" w:cs="Arial" w:eastAsia="Arial" w:hAnsi="Arial"/>
          <w:sz w:val="18"/>
          <w:szCs w:val="18"/>
          <w:b w:val="1"/>
          <w:bCs w:val="1"/>
          <w:color w:val="auto"/>
        </w:rPr>
        <w:t xml:space="preserve"> </w:t>
      </w:r>
      <w:r>
        <w:rPr>
          <w:rFonts w:ascii="Arial" w:cs="Arial" w:eastAsia="Arial" w:hAnsi="Arial"/>
          <w:sz w:val="18"/>
          <w:szCs w:val="18"/>
          <w:color w:val="auto"/>
        </w:rPr>
        <w:t>Internet, or by requesting, completing and returning a proxy card, all as described in the Internet Availability Notice.</w:t>
      </w:r>
    </w:p>
    <w:p>
      <w:pPr>
        <w:spacing w:after="0" w:line="112" w:lineRule="exact"/>
        <w:rPr>
          <w:sz w:val="20"/>
          <w:szCs w:val="20"/>
          <w:color w:val="auto"/>
        </w:rPr>
      </w:pPr>
    </w:p>
    <w:p>
      <w:pPr>
        <w:jc w:val="both"/>
        <w:ind w:left="1260" w:right="419"/>
        <w:spacing w:after="0" w:line="257" w:lineRule="auto"/>
        <w:rPr>
          <w:sz w:val="20"/>
          <w:szCs w:val="20"/>
          <w:color w:val="auto"/>
        </w:rPr>
      </w:pPr>
      <w:r>
        <w:rPr>
          <w:rFonts w:ascii="Arial" w:cs="Arial" w:eastAsia="Arial" w:hAnsi="Arial"/>
          <w:sz w:val="18"/>
          <w:szCs w:val="18"/>
          <w:color w:val="auto"/>
        </w:rPr>
        <w:t>Biographical information regarding the Board’s director nominees standing for election, including business experience for at least the past five years, their age, the year they began serving as our director, and other public companies for which they have served on the board of directors in the past five years, is provided below. In addition, the experience, qualifications, attributes, and skills considered by the Governance Committee and our Board in determining to nominate the director nominees are provided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1260" w:type="dxa"/>
        <w:tblCellMar>
          <w:top w:w="0" w:type="dxa"/>
          <w:left w:w="0" w:type="dxa"/>
          <w:bottom w:w="0" w:type="dxa"/>
          <w:right w:w="0" w:type="dxa"/>
        </w:tblCellMar>
      </w:tblPr>
      <w:tr>
        <w:trPr>
          <w:trHeight w:val="205"/>
        </w:trPr>
        <w:tc>
          <w:tcPr>
            <w:tcW w:w="2120" w:type="dxa"/>
            <w:vAlign w:val="bottom"/>
            <w:tcBorders>
              <w:bottom w:val="single" w:sz="8" w:color="auto"/>
            </w:tcBorders>
          </w:tcPr>
          <w:p>
            <w:pPr>
              <w:spacing w:after="0"/>
              <w:rPr>
                <w:sz w:val="17"/>
                <w:szCs w:val="17"/>
                <w:color w:val="auto"/>
              </w:rPr>
            </w:pPr>
          </w:p>
        </w:tc>
        <w:tc>
          <w:tcPr>
            <w:tcW w:w="6080" w:type="dxa"/>
            <w:vAlign w:val="bottom"/>
            <w:tcBorders>
              <w:bottom w:val="single" w:sz="8" w:color="auto"/>
            </w:tcBorders>
          </w:tcPr>
          <w:p>
            <w:pPr>
              <w:ind w:left="680"/>
              <w:spacing w:after="0"/>
              <w:rPr>
                <w:sz w:val="20"/>
                <w:szCs w:val="20"/>
                <w:color w:val="auto"/>
              </w:rPr>
            </w:pPr>
            <w:r>
              <w:rPr>
                <w:rFonts w:ascii="Arial" w:cs="Arial" w:eastAsia="Arial" w:hAnsi="Arial"/>
                <w:sz w:val="14"/>
                <w:szCs w:val="14"/>
                <w:b w:val="1"/>
                <w:bCs w:val="1"/>
                <w:color w:val="auto"/>
              </w:rPr>
              <w:t>NOMINEES STANDING FOR ELECTION</w:t>
            </w:r>
          </w:p>
        </w:tc>
      </w:tr>
      <w:tr>
        <w:trPr>
          <w:trHeight w:val="224"/>
        </w:trPr>
        <w:tc>
          <w:tcPr>
            <w:tcW w:w="2120" w:type="dxa"/>
            <w:vAlign w:val="bottom"/>
          </w:tcPr>
          <w:p>
            <w:pPr>
              <w:spacing w:after="0"/>
              <w:rPr>
                <w:sz w:val="20"/>
                <w:szCs w:val="20"/>
                <w:color w:val="auto"/>
              </w:rPr>
            </w:pPr>
            <w:r>
              <w:rPr>
                <w:rFonts w:ascii="Arial" w:cs="Arial" w:eastAsia="Arial" w:hAnsi="Arial"/>
                <w:sz w:val="18"/>
                <w:szCs w:val="18"/>
                <w:b w:val="1"/>
                <w:bCs w:val="1"/>
                <w:color w:val="auto"/>
              </w:rPr>
              <w:t>JOHN P. ALBRIGHT</w:t>
            </w:r>
          </w:p>
        </w:tc>
        <w:tc>
          <w:tcPr>
            <w:tcW w:w="6080" w:type="dxa"/>
            <w:vAlign w:val="bottom"/>
          </w:tcPr>
          <w:p>
            <w:pPr>
              <w:ind w:left="480"/>
              <w:spacing w:after="0"/>
              <w:rPr>
                <w:sz w:val="20"/>
                <w:szCs w:val="20"/>
                <w:color w:val="auto"/>
              </w:rPr>
            </w:pPr>
            <w:r>
              <w:rPr>
                <w:rFonts w:ascii="Arial" w:cs="Arial" w:eastAsia="Arial" w:hAnsi="Arial"/>
                <w:sz w:val="18"/>
                <w:szCs w:val="18"/>
                <w:color w:val="auto"/>
              </w:rPr>
              <w:t>President  and  Chief  Executive  Officer  of  the  Company  since</w:t>
            </w:r>
          </w:p>
        </w:tc>
      </w:tr>
      <w:tr>
        <w:trPr>
          <w:trHeight w:val="216"/>
        </w:trPr>
        <w:tc>
          <w:tcPr>
            <w:tcW w:w="2120" w:type="dxa"/>
            <w:vAlign w:val="bottom"/>
          </w:tcPr>
          <w:p>
            <w:pPr>
              <w:spacing w:after="0"/>
              <w:rPr>
                <w:sz w:val="20"/>
                <w:szCs w:val="20"/>
                <w:color w:val="auto"/>
              </w:rPr>
            </w:pPr>
            <w:r>
              <w:rPr>
                <w:rFonts w:ascii="Arial" w:cs="Arial" w:eastAsia="Arial" w:hAnsi="Arial"/>
                <w:sz w:val="18"/>
                <w:szCs w:val="18"/>
                <w:color w:val="auto"/>
              </w:rPr>
              <w:t xml:space="preserve">Age: </w:t>
            </w:r>
            <w:r>
              <w:rPr>
                <w:rFonts w:ascii="Arial" w:cs="Arial" w:eastAsia="Arial" w:hAnsi="Arial"/>
                <w:sz w:val="18"/>
                <w:szCs w:val="18"/>
                <w:b w:val="1"/>
                <w:bCs w:val="1"/>
                <w:color w:val="auto"/>
              </w:rPr>
              <w:t>60</w:t>
            </w:r>
          </w:p>
        </w:tc>
        <w:tc>
          <w:tcPr>
            <w:tcW w:w="6080" w:type="dxa"/>
            <w:vAlign w:val="bottom"/>
          </w:tcPr>
          <w:p>
            <w:pPr>
              <w:ind w:left="480"/>
              <w:spacing w:after="0"/>
              <w:rPr>
                <w:sz w:val="20"/>
                <w:szCs w:val="20"/>
                <w:color w:val="auto"/>
              </w:rPr>
            </w:pPr>
            <w:r>
              <w:rPr>
                <w:rFonts w:ascii="Arial" w:cs="Arial" w:eastAsia="Arial" w:hAnsi="Arial"/>
                <w:sz w:val="18"/>
                <w:szCs w:val="18"/>
                <w:color w:val="auto"/>
              </w:rPr>
              <w:t>August 2011, and President and Chief Executive Officer of Alpine</w:t>
            </w:r>
          </w:p>
        </w:tc>
      </w:tr>
      <w:tr>
        <w:trPr>
          <w:trHeight w:val="216"/>
        </w:trPr>
        <w:tc>
          <w:tcPr>
            <w:tcW w:w="2120" w:type="dxa"/>
            <w:vAlign w:val="bottom"/>
          </w:tcPr>
          <w:p>
            <w:pPr>
              <w:spacing w:after="0"/>
              <w:rPr>
                <w:sz w:val="20"/>
                <w:szCs w:val="20"/>
                <w:color w:val="auto"/>
              </w:rPr>
            </w:pPr>
            <w:r>
              <w:rPr>
                <w:rFonts w:ascii="Arial" w:cs="Arial" w:eastAsia="Arial" w:hAnsi="Arial"/>
                <w:sz w:val="18"/>
                <w:szCs w:val="18"/>
                <w:color w:val="auto"/>
              </w:rPr>
              <w:t xml:space="preserve">Director Since: </w:t>
            </w:r>
            <w:r>
              <w:rPr>
                <w:rFonts w:ascii="Arial" w:cs="Arial" w:eastAsia="Arial" w:hAnsi="Arial"/>
                <w:sz w:val="18"/>
                <w:szCs w:val="18"/>
                <w:b w:val="1"/>
                <w:bCs w:val="1"/>
                <w:color w:val="auto"/>
              </w:rPr>
              <w:t>2012</w:t>
            </w:r>
          </w:p>
        </w:tc>
        <w:tc>
          <w:tcPr>
            <w:tcW w:w="6080" w:type="dxa"/>
            <w:vAlign w:val="bottom"/>
          </w:tcPr>
          <w:p>
            <w:pPr>
              <w:ind w:left="480"/>
              <w:spacing w:after="0"/>
              <w:rPr>
                <w:sz w:val="20"/>
                <w:szCs w:val="20"/>
                <w:color w:val="auto"/>
              </w:rPr>
            </w:pPr>
            <w:r>
              <w:rPr>
                <w:rFonts w:ascii="Arial" w:cs="Arial" w:eastAsia="Arial" w:hAnsi="Arial"/>
                <w:sz w:val="18"/>
                <w:szCs w:val="18"/>
                <w:color w:val="auto"/>
              </w:rPr>
              <w:t>Income Property Trust, Inc. (NYSE: PINE) (“Alpine”), an affiliate of the</w:t>
            </w:r>
          </w:p>
        </w:tc>
      </w:tr>
      <w:tr>
        <w:trPr>
          <w:trHeight w:val="216"/>
        </w:trPr>
        <w:tc>
          <w:tcPr>
            <w:tcW w:w="2120" w:type="dxa"/>
            <w:vAlign w:val="bottom"/>
          </w:tcPr>
          <w:p>
            <w:pPr>
              <w:spacing w:after="0"/>
              <w:rPr>
                <w:sz w:val="18"/>
                <w:szCs w:val="18"/>
                <w:color w:val="auto"/>
              </w:rPr>
            </w:pPr>
          </w:p>
        </w:tc>
        <w:tc>
          <w:tcPr>
            <w:tcW w:w="6080" w:type="dxa"/>
            <w:vAlign w:val="bottom"/>
          </w:tcPr>
          <w:p>
            <w:pPr>
              <w:ind w:left="480"/>
              <w:spacing w:after="0"/>
              <w:rPr>
                <w:sz w:val="20"/>
                <w:szCs w:val="20"/>
                <w:color w:val="auto"/>
              </w:rPr>
            </w:pPr>
            <w:r>
              <w:rPr>
                <w:rFonts w:ascii="Arial" w:cs="Arial" w:eastAsia="Arial" w:hAnsi="Arial"/>
                <w:sz w:val="18"/>
                <w:szCs w:val="18"/>
                <w:color w:val="auto"/>
              </w:rPr>
              <w:t>Company, since 2019. Mr. Albright was previously the Co-Head and</w:t>
            </w:r>
          </w:p>
        </w:tc>
      </w:tr>
      <w:tr>
        <w:trPr>
          <w:trHeight w:val="216"/>
        </w:trPr>
        <w:tc>
          <w:tcPr>
            <w:tcW w:w="2120" w:type="dxa"/>
            <w:vAlign w:val="bottom"/>
          </w:tcPr>
          <w:p>
            <w:pPr>
              <w:spacing w:after="0"/>
              <w:rPr>
                <w:sz w:val="18"/>
                <w:szCs w:val="18"/>
                <w:color w:val="auto"/>
              </w:rPr>
            </w:pPr>
          </w:p>
        </w:tc>
        <w:tc>
          <w:tcPr>
            <w:tcW w:w="6080" w:type="dxa"/>
            <w:vAlign w:val="bottom"/>
          </w:tcPr>
          <w:p>
            <w:pPr>
              <w:ind w:left="480"/>
              <w:spacing w:after="0"/>
              <w:rPr>
                <w:sz w:val="20"/>
                <w:szCs w:val="20"/>
                <w:color w:val="auto"/>
              </w:rPr>
            </w:pPr>
            <w:r>
              <w:rPr>
                <w:rFonts w:ascii="Arial" w:cs="Arial" w:eastAsia="Arial" w:hAnsi="Arial"/>
                <w:sz w:val="18"/>
                <w:szCs w:val="18"/>
                <w:color w:val="auto"/>
              </w:rPr>
              <w:t>Managing Director of Archon Capital, a Goldman Sachs Company</w:t>
            </w:r>
          </w:p>
        </w:tc>
      </w:tr>
      <w:tr>
        <w:trPr>
          <w:trHeight w:val="216"/>
        </w:trPr>
        <w:tc>
          <w:tcPr>
            <w:tcW w:w="2120" w:type="dxa"/>
            <w:vAlign w:val="bottom"/>
          </w:tcPr>
          <w:p>
            <w:pPr>
              <w:spacing w:after="0"/>
              <w:rPr>
                <w:sz w:val="18"/>
                <w:szCs w:val="18"/>
                <w:color w:val="auto"/>
              </w:rPr>
            </w:pPr>
          </w:p>
        </w:tc>
        <w:tc>
          <w:tcPr>
            <w:tcW w:w="6080" w:type="dxa"/>
            <w:vAlign w:val="bottom"/>
          </w:tcPr>
          <w:p>
            <w:pPr>
              <w:ind w:left="480"/>
              <w:spacing w:after="0"/>
              <w:rPr>
                <w:sz w:val="20"/>
                <w:szCs w:val="20"/>
                <w:color w:val="auto"/>
              </w:rPr>
            </w:pPr>
            <w:r>
              <w:rPr>
                <w:rFonts w:ascii="Arial" w:cs="Arial" w:eastAsia="Arial" w:hAnsi="Arial"/>
                <w:sz w:val="18"/>
                <w:szCs w:val="18"/>
                <w:color w:val="auto"/>
              </w:rPr>
              <w:t>located in Irving, Texas. Prior to that, he was the Executive Director,</w:t>
            </w:r>
          </w:p>
        </w:tc>
      </w:tr>
      <w:tr>
        <w:trPr>
          <w:trHeight w:val="216"/>
        </w:trPr>
        <w:tc>
          <w:tcPr>
            <w:tcW w:w="2120" w:type="dxa"/>
            <w:vAlign w:val="bottom"/>
          </w:tcPr>
          <w:p>
            <w:pPr>
              <w:spacing w:after="0"/>
              <w:rPr>
                <w:sz w:val="18"/>
                <w:szCs w:val="18"/>
                <w:color w:val="auto"/>
              </w:rPr>
            </w:pPr>
          </w:p>
        </w:tc>
        <w:tc>
          <w:tcPr>
            <w:tcW w:w="6080" w:type="dxa"/>
            <w:vAlign w:val="bottom"/>
          </w:tcPr>
          <w:p>
            <w:pPr>
              <w:ind w:left="480"/>
              <w:spacing w:after="0"/>
              <w:rPr>
                <w:sz w:val="20"/>
                <w:szCs w:val="20"/>
                <w:color w:val="auto"/>
              </w:rPr>
            </w:pPr>
            <w:r>
              <w:rPr>
                <w:rFonts w:ascii="Arial" w:cs="Arial" w:eastAsia="Arial" w:hAnsi="Arial"/>
                <w:sz w:val="18"/>
                <w:szCs w:val="18"/>
                <w:color w:val="auto"/>
              </w:rPr>
              <w:t>Merchant Banking-Investment Management for Morgan Stanley. Prior</w:t>
            </w:r>
          </w:p>
        </w:tc>
      </w:tr>
      <w:tr>
        <w:trPr>
          <w:trHeight w:val="216"/>
        </w:trPr>
        <w:tc>
          <w:tcPr>
            <w:tcW w:w="2120" w:type="dxa"/>
            <w:vAlign w:val="bottom"/>
          </w:tcPr>
          <w:p>
            <w:pPr>
              <w:spacing w:after="0"/>
              <w:rPr>
                <w:sz w:val="18"/>
                <w:szCs w:val="18"/>
                <w:color w:val="auto"/>
              </w:rPr>
            </w:pPr>
          </w:p>
        </w:tc>
        <w:tc>
          <w:tcPr>
            <w:tcW w:w="6080" w:type="dxa"/>
            <w:vAlign w:val="bottom"/>
          </w:tcPr>
          <w:p>
            <w:pPr>
              <w:ind w:left="480"/>
              <w:spacing w:after="0"/>
              <w:rPr>
                <w:sz w:val="20"/>
                <w:szCs w:val="20"/>
                <w:color w:val="auto"/>
              </w:rPr>
            </w:pPr>
            <w:r>
              <w:rPr>
                <w:rFonts w:ascii="Arial" w:cs="Arial" w:eastAsia="Arial" w:hAnsi="Arial"/>
                <w:sz w:val="18"/>
                <w:szCs w:val="18"/>
                <w:color w:val="auto"/>
              </w:rPr>
              <w:t>to Morgan Stanley, Mr. Albright was Managing Director and Officer of</w:t>
            </w:r>
          </w:p>
        </w:tc>
      </w:tr>
      <w:tr>
        <w:trPr>
          <w:trHeight w:val="216"/>
        </w:trPr>
        <w:tc>
          <w:tcPr>
            <w:tcW w:w="2120" w:type="dxa"/>
            <w:vAlign w:val="bottom"/>
          </w:tcPr>
          <w:p>
            <w:pPr>
              <w:spacing w:after="0"/>
              <w:rPr>
                <w:sz w:val="18"/>
                <w:szCs w:val="18"/>
                <w:color w:val="auto"/>
              </w:rPr>
            </w:pPr>
          </w:p>
        </w:tc>
        <w:tc>
          <w:tcPr>
            <w:tcW w:w="6080" w:type="dxa"/>
            <w:vAlign w:val="bottom"/>
          </w:tcPr>
          <w:p>
            <w:pPr>
              <w:ind w:left="480"/>
              <w:spacing w:after="0"/>
              <w:rPr>
                <w:sz w:val="20"/>
                <w:szCs w:val="20"/>
                <w:color w:val="auto"/>
              </w:rPr>
            </w:pPr>
            <w:r>
              <w:rPr>
                <w:rFonts w:ascii="Arial" w:cs="Arial" w:eastAsia="Arial" w:hAnsi="Arial"/>
                <w:sz w:val="18"/>
                <w:szCs w:val="18"/>
                <w:color w:val="auto"/>
              </w:rPr>
              <w:t>Crescent Real Estate Equities, a publicly traded REIT based in Fort</w:t>
            </w:r>
          </w:p>
        </w:tc>
      </w:tr>
      <w:tr>
        <w:trPr>
          <w:trHeight w:val="216"/>
        </w:trPr>
        <w:tc>
          <w:tcPr>
            <w:tcW w:w="2120" w:type="dxa"/>
            <w:vAlign w:val="bottom"/>
          </w:tcPr>
          <w:p>
            <w:pPr>
              <w:spacing w:after="0"/>
              <w:rPr>
                <w:sz w:val="18"/>
                <w:szCs w:val="18"/>
                <w:color w:val="auto"/>
              </w:rPr>
            </w:pPr>
          </w:p>
        </w:tc>
        <w:tc>
          <w:tcPr>
            <w:tcW w:w="6080" w:type="dxa"/>
            <w:vAlign w:val="bottom"/>
          </w:tcPr>
          <w:p>
            <w:pPr>
              <w:ind w:left="480"/>
              <w:spacing w:after="0"/>
              <w:rPr>
                <w:sz w:val="20"/>
                <w:szCs w:val="20"/>
                <w:color w:val="auto"/>
              </w:rPr>
            </w:pPr>
            <w:r>
              <w:rPr>
                <w:rFonts w:ascii="Arial" w:cs="Arial" w:eastAsia="Arial" w:hAnsi="Arial"/>
                <w:sz w:val="18"/>
                <w:szCs w:val="18"/>
                <w:color w:val="auto"/>
              </w:rPr>
              <w:t>Worth, Texas. His experience involves various aspects of investment,</w:t>
            </w:r>
          </w:p>
        </w:tc>
      </w:tr>
      <w:tr>
        <w:trPr>
          <w:trHeight w:val="216"/>
        </w:trPr>
        <w:tc>
          <w:tcPr>
            <w:tcW w:w="2120" w:type="dxa"/>
            <w:vAlign w:val="bottom"/>
          </w:tcPr>
          <w:p>
            <w:pPr>
              <w:spacing w:after="0"/>
              <w:rPr>
                <w:sz w:val="18"/>
                <w:szCs w:val="18"/>
                <w:color w:val="auto"/>
              </w:rPr>
            </w:pPr>
          </w:p>
        </w:tc>
        <w:tc>
          <w:tcPr>
            <w:tcW w:w="6080" w:type="dxa"/>
            <w:vAlign w:val="bottom"/>
          </w:tcPr>
          <w:p>
            <w:pPr>
              <w:ind w:left="480"/>
              <w:spacing w:after="0"/>
              <w:rPr>
                <w:sz w:val="20"/>
                <w:szCs w:val="20"/>
                <w:color w:val="auto"/>
              </w:rPr>
            </w:pPr>
            <w:r>
              <w:rPr>
                <w:rFonts w:ascii="Arial" w:cs="Arial" w:eastAsia="Arial" w:hAnsi="Arial"/>
                <w:sz w:val="18"/>
                <w:szCs w:val="18"/>
                <w:color w:val="auto"/>
              </w:rPr>
              <w:t>lending, and development of commercial properties, as well as real</w:t>
            </w:r>
          </w:p>
        </w:tc>
      </w:tr>
      <w:tr>
        <w:trPr>
          <w:trHeight w:val="239"/>
        </w:trPr>
        <w:tc>
          <w:tcPr>
            <w:tcW w:w="2120" w:type="dxa"/>
            <w:vAlign w:val="bottom"/>
          </w:tcPr>
          <w:p>
            <w:pPr>
              <w:spacing w:after="0"/>
              <w:rPr>
                <w:sz w:val="20"/>
                <w:szCs w:val="20"/>
                <w:color w:val="auto"/>
              </w:rPr>
            </w:pPr>
          </w:p>
        </w:tc>
        <w:tc>
          <w:tcPr>
            <w:tcW w:w="6080" w:type="dxa"/>
            <w:vAlign w:val="bottom"/>
          </w:tcPr>
          <w:p>
            <w:pPr>
              <w:ind w:left="480"/>
              <w:spacing w:after="0"/>
              <w:rPr>
                <w:sz w:val="20"/>
                <w:szCs w:val="20"/>
                <w:color w:val="auto"/>
              </w:rPr>
            </w:pPr>
            <w:r>
              <w:rPr>
                <w:rFonts w:ascii="Arial" w:cs="Arial" w:eastAsia="Arial" w:hAnsi="Arial"/>
                <w:sz w:val="18"/>
                <w:szCs w:val="18"/>
                <w:color w:val="auto"/>
              </w:rPr>
              <w:t>estate investment banking.</w:t>
            </w:r>
          </w:p>
        </w:tc>
      </w:tr>
      <w:tr>
        <w:trPr>
          <w:trHeight w:val="301"/>
        </w:trPr>
        <w:tc>
          <w:tcPr>
            <w:tcW w:w="2120" w:type="dxa"/>
            <w:vAlign w:val="bottom"/>
          </w:tcPr>
          <w:p>
            <w:pPr>
              <w:spacing w:after="0"/>
              <w:rPr>
                <w:sz w:val="24"/>
                <w:szCs w:val="24"/>
                <w:color w:val="auto"/>
              </w:rPr>
            </w:pPr>
          </w:p>
        </w:tc>
        <w:tc>
          <w:tcPr>
            <w:tcW w:w="6080" w:type="dxa"/>
            <w:vAlign w:val="bottom"/>
          </w:tcPr>
          <w:p>
            <w:pPr>
              <w:ind w:left="480"/>
              <w:spacing w:after="0"/>
              <w:rPr>
                <w:sz w:val="20"/>
                <w:szCs w:val="20"/>
                <w:color w:val="auto"/>
              </w:rPr>
            </w:pPr>
            <w:r>
              <w:rPr>
                <w:rFonts w:ascii="Arial" w:cs="Arial" w:eastAsia="Arial" w:hAnsi="Arial"/>
                <w:sz w:val="18"/>
                <w:szCs w:val="18"/>
                <w:color w:val="auto"/>
              </w:rPr>
              <w:t>Mr. Albright is a graduate of Southern Methodist University with a B.A.</w:t>
            </w:r>
          </w:p>
        </w:tc>
      </w:tr>
      <w:tr>
        <w:trPr>
          <w:trHeight w:val="239"/>
        </w:trPr>
        <w:tc>
          <w:tcPr>
            <w:tcW w:w="2120" w:type="dxa"/>
            <w:vAlign w:val="bottom"/>
          </w:tcPr>
          <w:p>
            <w:pPr>
              <w:spacing w:after="0"/>
              <w:rPr>
                <w:sz w:val="20"/>
                <w:szCs w:val="20"/>
                <w:color w:val="auto"/>
              </w:rPr>
            </w:pPr>
          </w:p>
        </w:tc>
        <w:tc>
          <w:tcPr>
            <w:tcW w:w="6080" w:type="dxa"/>
            <w:vAlign w:val="bottom"/>
          </w:tcPr>
          <w:p>
            <w:pPr>
              <w:ind w:left="480"/>
              <w:spacing w:after="0"/>
              <w:rPr>
                <w:sz w:val="20"/>
                <w:szCs w:val="20"/>
                <w:color w:val="auto"/>
              </w:rPr>
            </w:pPr>
            <w:r>
              <w:rPr>
                <w:rFonts w:ascii="Arial" w:cs="Arial" w:eastAsia="Arial" w:hAnsi="Arial"/>
                <w:sz w:val="18"/>
                <w:szCs w:val="18"/>
                <w:color w:val="auto"/>
              </w:rPr>
              <w:t>in Business Administration.</w:t>
            </w:r>
          </w:p>
        </w:tc>
      </w:tr>
    </w:tbl>
    <w:p>
      <w:pPr>
        <w:spacing w:after="0" w:line="200" w:lineRule="exact"/>
        <w:rPr>
          <w:sz w:val="20"/>
          <w:szCs w:val="20"/>
          <w:color w:val="auto"/>
        </w:rPr>
      </w:pPr>
    </w:p>
    <w:p>
      <w:pPr>
        <w:sectPr>
          <w:pgSz w:w="11900" w:h="16838" w:orient="portrait"/>
          <w:cols w:equalWidth="0" w:num="1">
            <w:col w:w="9879"/>
          </w:cols>
          <w:pgMar w:left="580" w:top="97" w:right="1440" w:bottom="1440" w:gutter="0" w:footer="0" w:header="0"/>
        </w:sectPr>
      </w:pPr>
    </w:p>
    <w:p>
      <w:pPr>
        <w:spacing w:after="0" w:line="317"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GEORGE R. BROKAW</w:t>
      </w:r>
    </w:p>
    <w:p>
      <w:pPr>
        <w:spacing w:after="0" w:line="3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 xml:space="preserve">Age: </w:t>
      </w:r>
      <w:r>
        <w:rPr>
          <w:rFonts w:ascii="Arial" w:cs="Arial" w:eastAsia="Arial" w:hAnsi="Arial"/>
          <w:sz w:val="18"/>
          <w:szCs w:val="18"/>
          <w:b w:val="1"/>
          <w:bCs w:val="1"/>
          <w:color w:val="auto"/>
        </w:rPr>
        <w:t>58</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 xml:space="preserve">Director Since: </w:t>
      </w:r>
      <w:r>
        <w:rPr>
          <w:rFonts w:ascii="Arial" w:cs="Arial" w:eastAsia="Arial" w:hAnsi="Arial"/>
          <w:sz w:val="18"/>
          <w:szCs w:val="18"/>
          <w:b w:val="1"/>
          <w:bCs w:val="1"/>
          <w:color w:val="auto"/>
        </w:rPr>
        <w:t>2018</w:t>
      </w:r>
    </w:p>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jc w:val="both"/>
        <w:ind w:right="419"/>
        <w:spacing w:after="0" w:line="287" w:lineRule="auto"/>
        <w:rPr>
          <w:sz w:val="20"/>
          <w:szCs w:val="20"/>
          <w:color w:val="auto"/>
        </w:rPr>
      </w:pPr>
      <w:r>
        <w:rPr>
          <w:rFonts w:ascii="Arial" w:cs="Arial" w:eastAsia="Arial" w:hAnsi="Arial"/>
          <w:sz w:val="18"/>
          <w:szCs w:val="18"/>
          <w:color w:val="auto"/>
        </w:rPr>
        <w:t>Mr. Brokaw is currently a private investor through his family office and related investment vehicles.</w:t>
      </w:r>
    </w:p>
    <w:p>
      <w:pPr>
        <w:spacing w:after="0" w:line="45" w:lineRule="exact"/>
        <w:rPr>
          <w:sz w:val="20"/>
          <w:szCs w:val="20"/>
          <w:color w:val="auto"/>
        </w:rPr>
      </w:pPr>
    </w:p>
    <w:p>
      <w:pPr>
        <w:jc w:val="both"/>
        <w:ind w:right="419"/>
        <w:spacing w:after="0" w:line="254" w:lineRule="auto"/>
        <w:rPr>
          <w:sz w:val="20"/>
          <w:szCs w:val="20"/>
          <w:color w:val="auto"/>
        </w:rPr>
      </w:pPr>
      <w:r>
        <w:rPr>
          <w:rFonts w:ascii="Arial" w:cs="Arial" w:eastAsia="Arial" w:hAnsi="Arial"/>
          <w:sz w:val="18"/>
          <w:szCs w:val="18"/>
          <w:color w:val="auto"/>
        </w:rPr>
        <w:t>Mr. Brokaw also serves as a director of EchoStar Corporation (NASDAQ: SATS), where he is currently chairman of the audit committee and a member of the compensation committee. He also serves as a director of Alico, Inc. (NASDAQ: ALCO) and The Chemours Company (NYSE: CC). Mr. Brokaw has previously served on numerous other public company boards. He also previously served as Managing Director of the Highbridge Growth Equity Fund at Highbridge Principal Strategies, LLC, from 2012 to 2013; Managing Director and Head of Private Equity at Perry Capital, L.L.C., from 2005 to 2011; and Managing Director (Mergers &amp; Acquisitions) of Lazard Freres &amp; Co. LLC, from 1996 to 2005.</w:t>
      </w:r>
    </w:p>
    <w:p>
      <w:pPr>
        <w:spacing w:after="0" w:line="74" w:lineRule="exact"/>
        <w:rPr>
          <w:sz w:val="20"/>
          <w:szCs w:val="20"/>
          <w:color w:val="auto"/>
        </w:rPr>
      </w:pPr>
    </w:p>
    <w:p>
      <w:pPr>
        <w:jc w:val="both"/>
        <w:ind w:right="419"/>
        <w:spacing w:after="0" w:line="268" w:lineRule="auto"/>
        <w:rPr>
          <w:sz w:val="20"/>
          <w:szCs w:val="20"/>
          <w:color w:val="auto"/>
        </w:rPr>
      </w:pPr>
      <w:r>
        <w:rPr>
          <w:rFonts w:ascii="Arial" w:cs="Arial" w:eastAsia="Arial" w:hAnsi="Arial"/>
          <w:sz w:val="18"/>
          <w:szCs w:val="18"/>
          <w:color w:val="auto"/>
        </w:rPr>
        <w:t>Mr. Brokaw received a B.A. degree from Yale University and J.D. and M.B.A. degrees from the University of Virginia. Mr. Brokaw is a member of the New York Bar.</w:t>
      </w:r>
    </w:p>
    <w:p>
      <w:pPr>
        <w:spacing w:after="0" w:line="63" w:lineRule="exact"/>
        <w:rPr>
          <w:sz w:val="20"/>
          <w:szCs w:val="20"/>
          <w:color w:val="auto"/>
        </w:rPr>
      </w:pPr>
    </w:p>
    <w:p>
      <w:pPr>
        <w:jc w:val="both"/>
        <w:ind w:right="419"/>
        <w:spacing w:after="0" w:line="287" w:lineRule="auto"/>
        <w:rPr>
          <w:sz w:val="20"/>
          <w:szCs w:val="20"/>
          <w:color w:val="auto"/>
        </w:rPr>
      </w:pPr>
      <w:r>
        <w:rPr>
          <w:rFonts w:ascii="Arial" w:cs="Arial" w:eastAsia="Arial" w:hAnsi="Arial"/>
          <w:sz w:val="18"/>
          <w:szCs w:val="18"/>
          <w:color w:val="auto"/>
        </w:rPr>
        <w:t>Mr. Brokaw is a member and chairman of the Audit Committee and member of the Compensation Committee.</w:t>
      </w:r>
    </w:p>
    <w:p>
      <w:pPr>
        <w:spacing w:after="0" w:line="200" w:lineRule="exact"/>
        <w:rPr>
          <w:sz w:val="20"/>
          <w:szCs w:val="20"/>
          <w:color w:val="auto"/>
        </w:rPr>
      </w:pPr>
    </w:p>
    <w:p>
      <w:pPr>
        <w:sectPr>
          <w:pgSz w:w="11900" w:h="16838" w:orient="portrait"/>
          <w:cols w:equalWidth="0" w:num="2">
            <w:col w:w="3140" w:space="720"/>
            <w:col w:w="601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1260" w:type="dxa"/>
        <w:tblCellMar>
          <w:top w:w="0" w:type="dxa"/>
          <w:left w:w="0" w:type="dxa"/>
          <w:bottom w:w="0" w:type="dxa"/>
          <w:right w:w="0" w:type="dxa"/>
        </w:tblCellMar>
      </w:tblPr>
      <w:tr>
        <w:trPr>
          <w:trHeight w:val="205"/>
        </w:trPr>
        <w:tc>
          <w:tcPr>
            <w:tcW w:w="2320" w:type="dxa"/>
            <w:vAlign w:val="bottom"/>
            <w:tcBorders>
              <w:bottom w:val="single" w:sz="8" w:color="auto"/>
            </w:tcBorders>
          </w:tcPr>
          <w:p>
            <w:pPr>
              <w:spacing w:after="0"/>
              <w:rPr>
                <w:sz w:val="17"/>
                <w:szCs w:val="17"/>
                <w:color w:val="auto"/>
              </w:rPr>
            </w:pPr>
          </w:p>
        </w:tc>
        <w:tc>
          <w:tcPr>
            <w:tcW w:w="588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NOMINEES STANDING FOR ELECTION</w:t>
            </w:r>
          </w:p>
        </w:tc>
      </w:tr>
      <w:tr>
        <w:trPr>
          <w:trHeight w:val="224"/>
        </w:trPr>
        <w:tc>
          <w:tcPr>
            <w:tcW w:w="2320" w:type="dxa"/>
            <w:vAlign w:val="bottom"/>
          </w:tcPr>
          <w:p>
            <w:pPr>
              <w:spacing w:after="0"/>
              <w:rPr>
                <w:sz w:val="20"/>
                <w:szCs w:val="20"/>
                <w:color w:val="auto"/>
              </w:rPr>
            </w:pPr>
            <w:r>
              <w:rPr>
                <w:rFonts w:ascii="Arial" w:cs="Arial" w:eastAsia="Arial" w:hAnsi="Arial"/>
                <w:sz w:val="18"/>
                <w:szCs w:val="18"/>
                <w:b w:val="1"/>
                <w:bCs w:val="1"/>
                <w:color w:val="auto"/>
              </w:rPr>
              <w:t>CHRISTOPHER J. DREW</w:t>
            </w:r>
          </w:p>
        </w:tc>
        <w:tc>
          <w:tcPr>
            <w:tcW w:w="5880" w:type="dxa"/>
            <w:vAlign w:val="bottom"/>
          </w:tcPr>
          <w:p>
            <w:pPr>
              <w:ind w:left="280"/>
              <w:spacing w:after="0"/>
              <w:rPr>
                <w:sz w:val="20"/>
                <w:szCs w:val="20"/>
                <w:color w:val="auto"/>
              </w:rPr>
            </w:pPr>
            <w:r>
              <w:rPr>
                <w:rFonts w:ascii="Arial" w:cs="Arial" w:eastAsia="Arial" w:hAnsi="Arial"/>
                <w:sz w:val="18"/>
                <w:szCs w:val="18"/>
                <w:color w:val="auto"/>
                <w:w w:val="99"/>
              </w:rPr>
              <w:t>Mr. Drew is currently Senior Managing Director of JLL Capital Markets,</w:t>
            </w: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 xml:space="preserve">Age: </w:t>
            </w:r>
            <w:r>
              <w:rPr>
                <w:rFonts w:ascii="Arial" w:cs="Arial" w:eastAsia="Arial" w:hAnsi="Arial"/>
                <w:sz w:val="18"/>
                <w:szCs w:val="18"/>
                <w:b w:val="1"/>
                <w:bCs w:val="1"/>
                <w:color w:val="auto"/>
              </w:rPr>
              <w:t>45</w:t>
            </w:r>
          </w:p>
        </w:tc>
        <w:tc>
          <w:tcPr>
            <w:tcW w:w="5880" w:type="dxa"/>
            <w:vAlign w:val="bottom"/>
          </w:tcPr>
          <w:p>
            <w:pPr>
              <w:ind w:left="280"/>
              <w:spacing w:after="0"/>
              <w:rPr>
                <w:sz w:val="20"/>
                <w:szCs w:val="20"/>
                <w:color w:val="auto"/>
              </w:rPr>
            </w:pPr>
            <w:r>
              <w:rPr>
                <w:rFonts w:ascii="Arial" w:cs="Arial" w:eastAsia="Arial" w:hAnsi="Arial"/>
                <w:sz w:val="18"/>
                <w:szCs w:val="18"/>
                <w:color w:val="auto"/>
                <w:w w:val="98"/>
              </w:rPr>
              <w:t>Americas (an affiliate of Jones Lang LaSalle Inc. (NYSE: JLL)) and Co-</w:t>
            </w: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 xml:space="preserve">Director Since: </w:t>
            </w:r>
            <w:r>
              <w:rPr>
                <w:rFonts w:ascii="Arial" w:cs="Arial" w:eastAsia="Arial" w:hAnsi="Arial"/>
                <w:sz w:val="18"/>
                <w:szCs w:val="18"/>
                <w:b w:val="1"/>
                <w:bCs w:val="1"/>
                <w:color w:val="auto"/>
              </w:rPr>
              <w:t>2022</w:t>
            </w:r>
          </w:p>
        </w:tc>
        <w:tc>
          <w:tcPr>
            <w:tcW w:w="5880" w:type="dxa"/>
            <w:vAlign w:val="bottom"/>
          </w:tcPr>
          <w:p>
            <w:pPr>
              <w:ind w:left="280"/>
              <w:spacing w:after="0"/>
              <w:rPr>
                <w:sz w:val="20"/>
                <w:szCs w:val="20"/>
                <w:color w:val="auto"/>
              </w:rPr>
            </w:pPr>
            <w:r>
              <w:rPr>
                <w:rFonts w:ascii="Arial" w:cs="Arial" w:eastAsia="Arial" w:hAnsi="Arial"/>
                <w:sz w:val="18"/>
                <w:szCs w:val="18"/>
                <w:color w:val="auto"/>
              </w:rPr>
              <w:t>Head of JLL’s Miami Office. Mr. Drew brings over two decades of</w:t>
            </w:r>
          </w:p>
        </w:tc>
      </w:tr>
      <w:tr>
        <w:trPr>
          <w:trHeight w:val="216"/>
        </w:trPr>
        <w:tc>
          <w:tcPr>
            <w:tcW w:w="2320" w:type="dxa"/>
            <w:vAlign w:val="bottom"/>
          </w:tcPr>
          <w:p>
            <w:pPr>
              <w:spacing w:after="0"/>
              <w:rPr>
                <w:sz w:val="18"/>
                <w:szCs w:val="18"/>
                <w:color w:val="auto"/>
              </w:rPr>
            </w:pPr>
          </w:p>
        </w:tc>
        <w:tc>
          <w:tcPr>
            <w:tcW w:w="5880" w:type="dxa"/>
            <w:vAlign w:val="bottom"/>
          </w:tcPr>
          <w:p>
            <w:pPr>
              <w:ind w:left="280"/>
              <w:spacing w:after="0"/>
              <w:rPr>
                <w:sz w:val="20"/>
                <w:szCs w:val="20"/>
                <w:color w:val="auto"/>
              </w:rPr>
            </w:pPr>
            <w:r>
              <w:rPr>
                <w:rFonts w:ascii="Arial" w:cs="Arial" w:eastAsia="Arial" w:hAnsi="Arial"/>
                <w:sz w:val="18"/>
                <w:szCs w:val="18"/>
                <w:color w:val="auto"/>
              </w:rPr>
              <w:t>invaluable experience to this role. His expertise in Debt and Equity</w:t>
            </w:r>
          </w:p>
        </w:tc>
      </w:tr>
      <w:tr>
        <w:trPr>
          <w:trHeight w:val="216"/>
        </w:trPr>
        <w:tc>
          <w:tcPr>
            <w:tcW w:w="2320" w:type="dxa"/>
            <w:vAlign w:val="bottom"/>
          </w:tcPr>
          <w:p>
            <w:pPr>
              <w:spacing w:after="0"/>
              <w:rPr>
                <w:sz w:val="18"/>
                <w:szCs w:val="18"/>
                <w:color w:val="auto"/>
              </w:rPr>
            </w:pPr>
          </w:p>
        </w:tc>
        <w:tc>
          <w:tcPr>
            <w:tcW w:w="5880" w:type="dxa"/>
            <w:vAlign w:val="bottom"/>
          </w:tcPr>
          <w:p>
            <w:pPr>
              <w:ind w:left="280"/>
              <w:spacing w:after="0"/>
              <w:rPr>
                <w:sz w:val="20"/>
                <w:szCs w:val="20"/>
                <w:color w:val="auto"/>
              </w:rPr>
            </w:pPr>
            <w:r>
              <w:rPr>
                <w:rFonts w:ascii="Arial" w:cs="Arial" w:eastAsia="Arial" w:hAnsi="Arial"/>
                <w:sz w:val="18"/>
                <w:szCs w:val="18"/>
                <w:color w:val="auto"/>
                <w:w w:val="99"/>
              </w:rPr>
              <w:t>Placement, coupled with his leadership of the Miami office and service</w:t>
            </w:r>
          </w:p>
        </w:tc>
      </w:tr>
      <w:tr>
        <w:trPr>
          <w:trHeight w:val="216"/>
        </w:trPr>
        <w:tc>
          <w:tcPr>
            <w:tcW w:w="2320" w:type="dxa"/>
            <w:vAlign w:val="bottom"/>
          </w:tcPr>
          <w:p>
            <w:pPr>
              <w:spacing w:after="0"/>
              <w:rPr>
                <w:sz w:val="18"/>
                <w:szCs w:val="18"/>
                <w:color w:val="auto"/>
              </w:rPr>
            </w:pPr>
          </w:p>
        </w:tc>
        <w:tc>
          <w:tcPr>
            <w:tcW w:w="5880" w:type="dxa"/>
            <w:vAlign w:val="bottom"/>
          </w:tcPr>
          <w:p>
            <w:pPr>
              <w:ind w:left="280"/>
              <w:spacing w:after="0"/>
              <w:rPr>
                <w:sz w:val="20"/>
                <w:szCs w:val="20"/>
                <w:color w:val="auto"/>
              </w:rPr>
            </w:pPr>
            <w:r>
              <w:rPr>
                <w:rFonts w:ascii="Arial" w:cs="Arial" w:eastAsia="Arial" w:hAnsi="Arial"/>
                <w:sz w:val="18"/>
                <w:szCs w:val="18"/>
                <w:color w:val="auto"/>
                <w:w w:val="99"/>
              </w:rPr>
              <w:t>on the Expanded Executive Committee positions him as a key figure in</w:t>
            </w:r>
          </w:p>
        </w:tc>
      </w:tr>
      <w:tr>
        <w:trPr>
          <w:trHeight w:val="216"/>
        </w:trPr>
        <w:tc>
          <w:tcPr>
            <w:tcW w:w="2320" w:type="dxa"/>
            <w:vAlign w:val="bottom"/>
          </w:tcPr>
          <w:p>
            <w:pPr>
              <w:spacing w:after="0"/>
              <w:rPr>
                <w:sz w:val="18"/>
                <w:szCs w:val="18"/>
                <w:color w:val="auto"/>
              </w:rPr>
            </w:pPr>
          </w:p>
        </w:tc>
        <w:tc>
          <w:tcPr>
            <w:tcW w:w="5880" w:type="dxa"/>
            <w:vAlign w:val="bottom"/>
          </w:tcPr>
          <w:p>
            <w:pPr>
              <w:ind w:left="280"/>
              <w:spacing w:after="0"/>
              <w:rPr>
                <w:sz w:val="20"/>
                <w:szCs w:val="20"/>
                <w:color w:val="auto"/>
              </w:rPr>
            </w:pPr>
            <w:r>
              <w:rPr>
                <w:rFonts w:ascii="Arial" w:cs="Arial" w:eastAsia="Arial" w:hAnsi="Arial"/>
                <w:sz w:val="18"/>
                <w:szCs w:val="18"/>
                <w:color w:val="auto"/>
              </w:rPr>
              <w:t>the organization. Spearheading the Miami Debt and Equity Placement</w:t>
            </w:r>
          </w:p>
        </w:tc>
      </w:tr>
      <w:tr>
        <w:trPr>
          <w:trHeight w:val="216"/>
        </w:trPr>
        <w:tc>
          <w:tcPr>
            <w:tcW w:w="2320" w:type="dxa"/>
            <w:vAlign w:val="bottom"/>
          </w:tcPr>
          <w:p>
            <w:pPr>
              <w:spacing w:after="0"/>
              <w:rPr>
                <w:sz w:val="18"/>
                <w:szCs w:val="18"/>
                <w:color w:val="auto"/>
              </w:rPr>
            </w:pPr>
          </w:p>
        </w:tc>
        <w:tc>
          <w:tcPr>
            <w:tcW w:w="5880" w:type="dxa"/>
            <w:vAlign w:val="bottom"/>
          </w:tcPr>
          <w:p>
            <w:pPr>
              <w:ind w:left="280"/>
              <w:spacing w:after="0"/>
              <w:rPr>
                <w:sz w:val="20"/>
                <w:szCs w:val="20"/>
                <w:color w:val="auto"/>
              </w:rPr>
            </w:pPr>
            <w:r>
              <w:rPr>
                <w:rFonts w:ascii="Arial" w:cs="Arial" w:eastAsia="Arial" w:hAnsi="Arial"/>
                <w:sz w:val="18"/>
                <w:szCs w:val="18"/>
                <w:color w:val="auto"/>
                <w:w w:val="98"/>
              </w:rPr>
              <w:t>team, Mr. Drew not only drives successful deal execution but also plays</w:t>
            </w:r>
          </w:p>
        </w:tc>
      </w:tr>
      <w:tr>
        <w:trPr>
          <w:trHeight w:val="239"/>
        </w:trPr>
        <w:tc>
          <w:tcPr>
            <w:tcW w:w="2320" w:type="dxa"/>
            <w:vAlign w:val="bottom"/>
          </w:tcPr>
          <w:p>
            <w:pPr>
              <w:spacing w:after="0"/>
              <w:rPr>
                <w:sz w:val="20"/>
                <w:szCs w:val="20"/>
                <w:color w:val="auto"/>
              </w:rPr>
            </w:pPr>
          </w:p>
        </w:tc>
        <w:tc>
          <w:tcPr>
            <w:tcW w:w="5880" w:type="dxa"/>
            <w:vAlign w:val="bottom"/>
          </w:tcPr>
          <w:p>
            <w:pPr>
              <w:ind w:left="280"/>
              <w:spacing w:after="0"/>
              <w:rPr>
                <w:sz w:val="20"/>
                <w:szCs w:val="20"/>
                <w:color w:val="auto"/>
              </w:rPr>
            </w:pPr>
            <w:r>
              <w:rPr>
                <w:rFonts w:ascii="Arial" w:cs="Arial" w:eastAsia="Arial" w:hAnsi="Arial"/>
                <w:sz w:val="18"/>
                <w:szCs w:val="18"/>
                <w:color w:val="auto"/>
              </w:rPr>
              <w:t>a crucial role in shaping operational strategies.</w:t>
            </w:r>
          </w:p>
        </w:tc>
      </w:tr>
      <w:tr>
        <w:trPr>
          <w:trHeight w:val="234"/>
        </w:trPr>
        <w:tc>
          <w:tcPr>
            <w:tcW w:w="2320" w:type="dxa"/>
            <w:vAlign w:val="bottom"/>
          </w:tcPr>
          <w:p>
            <w:pPr>
              <w:spacing w:after="0"/>
              <w:rPr>
                <w:sz w:val="20"/>
                <w:szCs w:val="20"/>
                <w:color w:val="auto"/>
              </w:rPr>
            </w:pPr>
          </w:p>
        </w:tc>
        <w:tc>
          <w:tcPr>
            <w:tcW w:w="5880" w:type="dxa"/>
            <w:vAlign w:val="bottom"/>
          </w:tcPr>
          <w:p>
            <w:pPr>
              <w:ind w:left="280"/>
              <w:spacing w:after="0"/>
              <w:rPr>
                <w:sz w:val="20"/>
                <w:szCs w:val="20"/>
                <w:color w:val="auto"/>
              </w:rPr>
            </w:pPr>
            <w:r>
              <w:rPr>
                <w:rFonts w:ascii="Arial" w:cs="Arial" w:eastAsia="Arial" w:hAnsi="Arial"/>
                <w:sz w:val="18"/>
                <w:szCs w:val="18"/>
                <w:color w:val="auto"/>
              </w:rPr>
              <w:t>His comprehensive knowledge spans a diverse array of financing</w:t>
            </w:r>
          </w:p>
        </w:tc>
      </w:tr>
      <w:tr>
        <w:trPr>
          <w:trHeight w:val="216"/>
        </w:trPr>
        <w:tc>
          <w:tcPr>
            <w:tcW w:w="2320" w:type="dxa"/>
            <w:vAlign w:val="bottom"/>
          </w:tcPr>
          <w:p>
            <w:pPr>
              <w:spacing w:after="0"/>
              <w:rPr>
                <w:sz w:val="18"/>
                <w:szCs w:val="18"/>
                <w:color w:val="auto"/>
              </w:rPr>
            </w:pPr>
          </w:p>
        </w:tc>
        <w:tc>
          <w:tcPr>
            <w:tcW w:w="5880" w:type="dxa"/>
            <w:vAlign w:val="bottom"/>
          </w:tcPr>
          <w:p>
            <w:pPr>
              <w:ind w:left="280"/>
              <w:spacing w:after="0"/>
              <w:rPr>
                <w:sz w:val="20"/>
                <w:szCs w:val="20"/>
                <w:color w:val="auto"/>
              </w:rPr>
            </w:pPr>
            <w:r>
              <w:rPr>
                <w:rFonts w:ascii="Arial" w:cs="Arial" w:eastAsia="Arial" w:hAnsi="Arial"/>
                <w:sz w:val="18"/>
                <w:szCs w:val="18"/>
                <w:color w:val="auto"/>
                <w:w w:val="99"/>
              </w:rPr>
              <w:t>options for real estate assets nationwide, including joint venture equity,</w:t>
            </w:r>
          </w:p>
        </w:tc>
      </w:tr>
      <w:tr>
        <w:trPr>
          <w:trHeight w:val="216"/>
        </w:trPr>
        <w:tc>
          <w:tcPr>
            <w:tcW w:w="2320" w:type="dxa"/>
            <w:vAlign w:val="bottom"/>
          </w:tcPr>
          <w:p>
            <w:pPr>
              <w:spacing w:after="0"/>
              <w:rPr>
                <w:sz w:val="18"/>
                <w:szCs w:val="18"/>
                <w:color w:val="auto"/>
              </w:rPr>
            </w:pPr>
          </w:p>
        </w:tc>
        <w:tc>
          <w:tcPr>
            <w:tcW w:w="5880" w:type="dxa"/>
            <w:vAlign w:val="bottom"/>
          </w:tcPr>
          <w:p>
            <w:pPr>
              <w:ind w:left="280"/>
              <w:spacing w:after="0"/>
              <w:rPr>
                <w:sz w:val="20"/>
                <w:szCs w:val="20"/>
                <w:color w:val="auto"/>
              </w:rPr>
            </w:pPr>
            <w:r>
              <w:rPr>
                <w:rFonts w:ascii="Arial" w:cs="Arial" w:eastAsia="Arial" w:hAnsi="Arial"/>
                <w:sz w:val="18"/>
                <w:szCs w:val="18"/>
                <w:color w:val="auto"/>
              </w:rPr>
              <w:t>preferred  equity,  mezzanine  financing,  and  senior-level  financing.</w:t>
            </w:r>
          </w:p>
        </w:tc>
      </w:tr>
      <w:tr>
        <w:trPr>
          <w:trHeight w:val="216"/>
        </w:trPr>
        <w:tc>
          <w:tcPr>
            <w:tcW w:w="2320" w:type="dxa"/>
            <w:vAlign w:val="bottom"/>
          </w:tcPr>
          <w:p>
            <w:pPr>
              <w:spacing w:after="0"/>
              <w:rPr>
                <w:sz w:val="18"/>
                <w:szCs w:val="18"/>
                <w:color w:val="auto"/>
              </w:rPr>
            </w:pPr>
          </w:p>
        </w:tc>
        <w:tc>
          <w:tcPr>
            <w:tcW w:w="5880" w:type="dxa"/>
            <w:vAlign w:val="bottom"/>
          </w:tcPr>
          <w:p>
            <w:pPr>
              <w:ind w:left="280"/>
              <w:spacing w:after="0"/>
              <w:rPr>
                <w:sz w:val="20"/>
                <w:szCs w:val="20"/>
                <w:color w:val="auto"/>
              </w:rPr>
            </w:pPr>
            <w:r>
              <w:rPr>
                <w:rFonts w:ascii="Arial" w:cs="Arial" w:eastAsia="Arial" w:hAnsi="Arial"/>
                <w:sz w:val="18"/>
                <w:szCs w:val="18"/>
                <w:color w:val="auto"/>
              </w:rPr>
              <w:t>Throughout his career, Mr. Drew has successfully completed over</w:t>
            </w:r>
          </w:p>
        </w:tc>
      </w:tr>
      <w:tr>
        <w:trPr>
          <w:trHeight w:val="239"/>
        </w:trPr>
        <w:tc>
          <w:tcPr>
            <w:tcW w:w="2320" w:type="dxa"/>
            <w:vAlign w:val="bottom"/>
          </w:tcPr>
          <w:p>
            <w:pPr>
              <w:spacing w:after="0"/>
              <w:rPr>
                <w:sz w:val="20"/>
                <w:szCs w:val="20"/>
                <w:color w:val="auto"/>
              </w:rPr>
            </w:pPr>
          </w:p>
        </w:tc>
        <w:tc>
          <w:tcPr>
            <w:tcW w:w="5880" w:type="dxa"/>
            <w:vAlign w:val="bottom"/>
          </w:tcPr>
          <w:p>
            <w:pPr>
              <w:ind w:left="280"/>
              <w:spacing w:after="0"/>
              <w:rPr>
                <w:sz w:val="20"/>
                <w:szCs w:val="20"/>
                <w:color w:val="auto"/>
              </w:rPr>
            </w:pPr>
            <w:r>
              <w:rPr>
                <w:rFonts w:ascii="Arial" w:cs="Arial" w:eastAsia="Arial" w:hAnsi="Arial"/>
                <w:sz w:val="18"/>
                <w:szCs w:val="18"/>
                <w:color w:val="auto"/>
              </w:rPr>
              <w:t>$10 billion in transactions.</w:t>
            </w:r>
          </w:p>
        </w:tc>
      </w:tr>
      <w:tr>
        <w:trPr>
          <w:trHeight w:val="301"/>
        </w:trPr>
        <w:tc>
          <w:tcPr>
            <w:tcW w:w="2320" w:type="dxa"/>
            <w:vAlign w:val="bottom"/>
          </w:tcPr>
          <w:p>
            <w:pPr>
              <w:spacing w:after="0"/>
              <w:rPr>
                <w:sz w:val="24"/>
                <w:szCs w:val="24"/>
                <w:color w:val="auto"/>
              </w:rPr>
            </w:pPr>
          </w:p>
        </w:tc>
        <w:tc>
          <w:tcPr>
            <w:tcW w:w="5880" w:type="dxa"/>
            <w:vAlign w:val="bottom"/>
          </w:tcPr>
          <w:p>
            <w:pPr>
              <w:ind w:left="280"/>
              <w:spacing w:after="0"/>
              <w:rPr>
                <w:sz w:val="20"/>
                <w:szCs w:val="20"/>
                <w:color w:val="auto"/>
              </w:rPr>
            </w:pPr>
            <w:r>
              <w:rPr>
                <w:rFonts w:ascii="Arial" w:cs="Arial" w:eastAsia="Arial" w:hAnsi="Arial"/>
                <w:sz w:val="18"/>
                <w:szCs w:val="18"/>
                <w:color w:val="auto"/>
              </w:rPr>
              <w:t>Prior to joining JLL, Mr. Drew held senior finance and leadership</w:t>
            </w:r>
          </w:p>
        </w:tc>
      </w:tr>
      <w:tr>
        <w:trPr>
          <w:trHeight w:val="216"/>
        </w:trPr>
        <w:tc>
          <w:tcPr>
            <w:tcW w:w="2320" w:type="dxa"/>
            <w:vAlign w:val="bottom"/>
          </w:tcPr>
          <w:p>
            <w:pPr>
              <w:spacing w:after="0"/>
              <w:rPr>
                <w:sz w:val="18"/>
                <w:szCs w:val="18"/>
                <w:color w:val="auto"/>
              </w:rPr>
            </w:pPr>
          </w:p>
        </w:tc>
        <w:tc>
          <w:tcPr>
            <w:tcW w:w="5880" w:type="dxa"/>
            <w:vAlign w:val="bottom"/>
          </w:tcPr>
          <w:p>
            <w:pPr>
              <w:ind w:left="280"/>
              <w:spacing w:after="0"/>
              <w:rPr>
                <w:sz w:val="20"/>
                <w:szCs w:val="20"/>
                <w:color w:val="auto"/>
              </w:rPr>
            </w:pPr>
            <w:r>
              <w:rPr>
                <w:rFonts w:ascii="Arial" w:cs="Arial" w:eastAsia="Arial" w:hAnsi="Arial"/>
                <w:sz w:val="18"/>
                <w:szCs w:val="18"/>
                <w:color w:val="auto"/>
              </w:rPr>
              <w:t>positions at renowned firms such as HFF and Cushman &amp; Wakefield.</w:t>
            </w:r>
          </w:p>
        </w:tc>
      </w:tr>
      <w:tr>
        <w:trPr>
          <w:trHeight w:val="216"/>
        </w:trPr>
        <w:tc>
          <w:tcPr>
            <w:tcW w:w="2320" w:type="dxa"/>
            <w:vAlign w:val="bottom"/>
          </w:tcPr>
          <w:p>
            <w:pPr>
              <w:spacing w:after="0"/>
              <w:rPr>
                <w:sz w:val="18"/>
                <w:szCs w:val="18"/>
                <w:color w:val="auto"/>
              </w:rPr>
            </w:pPr>
          </w:p>
        </w:tc>
        <w:tc>
          <w:tcPr>
            <w:tcW w:w="5880" w:type="dxa"/>
            <w:vAlign w:val="bottom"/>
          </w:tcPr>
          <w:p>
            <w:pPr>
              <w:ind w:left="280"/>
              <w:spacing w:after="0"/>
              <w:rPr>
                <w:sz w:val="20"/>
                <w:szCs w:val="20"/>
                <w:color w:val="auto"/>
              </w:rPr>
            </w:pPr>
            <w:r>
              <w:rPr>
                <w:rFonts w:ascii="Arial" w:cs="Arial" w:eastAsia="Arial" w:hAnsi="Arial"/>
                <w:sz w:val="18"/>
                <w:szCs w:val="18"/>
                <w:color w:val="auto"/>
              </w:rPr>
              <w:t>He holds an MBA and a Bachelor of Business Administration in</w:t>
            </w:r>
          </w:p>
        </w:tc>
      </w:tr>
      <w:tr>
        <w:trPr>
          <w:trHeight w:val="239"/>
        </w:trPr>
        <w:tc>
          <w:tcPr>
            <w:tcW w:w="2320" w:type="dxa"/>
            <w:vAlign w:val="bottom"/>
          </w:tcPr>
          <w:p>
            <w:pPr>
              <w:spacing w:after="0"/>
              <w:rPr>
                <w:sz w:val="20"/>
                <w:szCs w:val="20"/>
                <w:color w:val="auto"/>
              </w:rPr>
            </w:pPr>
          </w:p>
        </w:tc>
        <w:tc>
          <w:tcPr>
            <w:tcW w:w="5880" w:type="dxa"/>
            <w:vAlign w:val="bottom"/>
          </w:tcPr>
          <w:p>
            <w:pPr>
              <w:ind w:left="280"/>
              <w:spacing w:after="0"/>
              <w:rPr>
                <w:sz w:val="20"/>
                <w:szCs w:val="20"/>
                <w:color w:val="auto"/>
              </w:rPr>
            </w:pPr>
            <w:r>
              <w:rPr>
                <w:rFonts w:ascii="Arial" w:cs="Arial" w:eastAsia="Arial" w:hAnsi="Arial"/>
                <w:sz w:val="18"/>
                <w:szCs w:val="18"/>
                <w:color w:val="auto"/>
              </w:rPr>
              <w:t>Management degree from the University of Miami.</w:t>
            </w:r>
          </w:p>
        </w:tc>
      </w:tr>
    </w:tbl>
    <w:p>
      <w:pPr>
        <w:spacing w:after="0" w:line="85" w:lineRule="exact"/>
        <w:rPr>
          <w:sz w:val="20"/>
          <w:szCs w:val="20"/>
          <w:color w:val="auto"/>
        </w:rPr>
      </w:pP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LAURA M. FRANKLIN</w:t>
      </w:r>
    </w:p>
    <w:p>
      <w:pPr>
        <w:spacing w:after="0" w:line="3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 xml:space="preserve">Age: </w:t>
      </w:r>
      <w:r>
        <w:rPr>
          <w:rFonts w:ascii="Arial" w:cs="Arial" w:eastAsia="Arial" w:hAnsi="Arial"/>
          <w:sz w:val="18"/>
          <w:szCs w:val="18"/>
          <w:b w:val="1"/>
          <w:bCs w:val="1"/>
          <w:color w:val="auto"/>
        </w:rPr>
        <w:t>65</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 xml:space="preserve">Director Since: </w:t>
      </w:r>
      <w:r>
        <w:rPr>
          <w:rFonts w:ascii="Arial" w:cs="Arial" w:eastAsia="Arial" w:hAnsi="Arial"/>
          <w:sz w:val="18"/>
          <w:szCs w:val="18"/>
          <w:b w:val="1"/>
          <w:bCs w:val="1"/>
          <w:color w:val="auto"/>
        </w:rPr>
        <w:t>2016</w:t>
      </w:r>
    </w:p>
    <w:p>
      <w:pPr>
        <w:spacing w:after="0" w:line="20" w:lineRule="exact"/>
        <w:rPr>
          <w:sz w:val="20"/>
          <w:szCs w:val="20"/>
          <w:color w:val="auto"/>
        </w:rPr>
      </w:pPr>
      <w:r>
        <w:rPr>
          <w:sz w:val="20"/>
          <w:szCs w:val="20"/>
          <w:color w:val="auto"/>
        </w:rPr>
        <w:br w:type="column"/>
      </w:r>
    </w:p>
    <w:p>
      <w:pPr>
        <w:jc w:val="both"/>
        <w:ind w:right="419"/>
        <w:spacing w:after="0" w:line="287" w:lineRule="auto"/>
        <w:rPr>
          <w:sz w:val="20"/>
          <w:szCs w:val="20"/>
          <w:color w:val="auto"/>
        </w:rPr>
      </w:pPr>
      <w:r>
        <w:rPr>
          <w:rFonts w:ascii="Arial" w:cs="Arial" w:eastAsia="Arial" w:hAnsi="Arial"/>
          <w:sz w:val="18"/>
          <w:szCs w:val="18"/>
          <w:color w:val="auto"/>
        </w:rPr>
        <w:t>Mr. Drew is a member of the Compensation and Governance Committees.</w:t>
      </w:r>
    </w:p>
    <w:p>
      <w:pPr>
        <w:spacing w:after="0" w:line="200" w:lineRule="exact"/>
        <w:rPr>
          <w:sz w:val="20"/>
          <w:szCs w:val="20"/>
          <w:color w:val="auto"/>
        </w:rPr>
      </w:pPr>
    </w:p>
    <w:p>
      <w:pPr>
        <w:spacing w:after="0" w:line="236" w:lineRule="exact"/>
        <w:rPr>
          <w:sz w:val="20"/>
          <w:szCs w:val="20"/>
          <w:color w:val="auto"/>
        </w:rPr>
      </w:pPr>
    </w:p>
    <w:p>
      <w:pPr>
        <w:jc w:val="both"/>
        <w:ind w:right="419"/>
        <w:spacing w:after="0" w:line="257" w:lineRule="auto"/>
        <w:rPr>
          <w:sz w:val="20"/>
          <w:szCs w:val="20"/>
          <w:color w:val="auto"/>
        </w:rPr>
      </w:pPr>
      <w:r>
        <w:rPr>
          <w:rFonts w:ascii="Arial" w:cs="Arial" w:eastAsia="Arial" w:hAnsi="Arial"/>
          <w:sz w:val="18"/>
          <w:szCs w:val="18"/>
          <w:color w:val="auto"/>
        </w:rPr>
        <w:t>Chairman of the Board of the Company since May 2017. Former (Retired) Executive Vice President, Accounting and Administration and Corporate Secretary of Washington Real Estate Investment Trust (now Elme Communities) and, since 2017, a member of the Board of Directors of The Chevy Chase Land Company, a private mixed-use commercial real estate company in Chevy Chase, Maryland.</w:t>
      </w:r>
    </w:p>
    <w:p>
      <w:pPr>
        <w:spacing w:after="0" w:line="74" w:lineRule="exact"/>
        <w:rPr>
          <w:sz w:val="20"/>
          <w:szCs w:val="20"/>
          <w:color w:val="auto"/>
        </w:rPr>
      </w:pPr>
    </w:p>
    <w:p>
      <w:pPr>
        <w:jc w:val="both"/>
        <w:ind w:right="419"/>
        <w:spacing w:after="0" w:line="254" w:lineRule="auto"/>
        <w:rPr>
          <w:sz w:val="20"/>
          <w:szCs w:val="20"/>
          <w:color w:val="auto"/>
        </w:rPr>
      </w:pPr>
      <w:r>
        <w:rPr>
          <w:rFonts w:ascii="Arial" w:cs="Arial" w:eastAsia="Arial" w:hAnsi="Arial"/>
          <w:sz w:val="18"/>
          <w:szCs w:val="18"/>
          <w:color w:val="auto"/>
        </w:rPr>
        <w:t>Ms. Franklin is a graduate of University of Maryland with a B.S. in Accounting and is a Certified Public Accountant. During her 22-year tenure at Washington REIT, she led the financial, human capital and information technology (IT) functions including Accounting, Tax, SEC Reporting, Treasury, Human Resources and IT. As an executive, she played a key role in strategic planning as well as worked closely with the chairmen of the compensation and audit committees. Prior to joining Washington REIT, she was employed by the public accounting firm, CohnReznick (formerly The Reznick Group), specializing in audit and tax services for real estate clients. Ms. Franklin is a member of the American Institute of Certified Public Accountants (AICPA).</w:t>
      </w:r>
    </w:p>
    <w:p>
      <w:pPr>
        <w:spacing w:after="0" w:line="200" w:lineRule="exact"/>
        <w:rPr>
          <w:sz w:val="20"/>
          <w:szCs w:val="20"/>
          <w:color w:val="auto"/>
        </w:rPr>
      </w:pPr>
    </w:p>
    <w:p>
      <w:pPr>
        <w:sectPr>
          <w:pgSz w:w="11900" w:h="16838" w:orient="portrait"/>
          <w:cols w:equalWidth="0" w:num="2">
            <w:col w:w="3140" w:space="720"/>
            <w:col w:w="601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1260" w:type="dxa"/>
        <w:tblCellMar>
          <w:top w:w="0" w:type="dxa"/>
          <w:left w:w="0" w:type="dxa"/>
          <w:bottom w:w="0" w:type="dxa"/>
          <w:right w:w="0" w:type="dxa"/>
        </w:tblCellMar>
      </w:tblPr>
      <w:tr>
        <w:trPr>
          <w:trHeight w:val="205"/>
        </w:trPr>
        <w:tc>
          <w:tcPr>
            <w:tcW w:w="2280" w:type="dxa"/>
            <w:vAlign w:val="bottom"/>
            <w:tcBorders>
              <w:bottom w:val="single" w:sz="8" w:color="auto"/>
            </w:tcBorders>
          </w:tcPr>
          <w:p>
            <w:pPr>
              <w:spacing w:after="0"/>
              <w:rPr>
                <w:sz w:val="17"/>
                <w:szCs w:val="17"/>
                <w:color w:val="auto"/>
              </w:rPr>
            </w:pPr>
          </w:p>
        </w:tc>
        <w:tc>
          <w:tcPr>
            <w:tcW w:w="592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NOMINEES STANDING FOR ELECTION</w:t>
            </w:r>
          </w:p>
        </w:tc>
      </w:tr>
      <w:tr>
        <w:trPr>
          <w:trHeight w:val="224"/>
        </w:trPr>
        <w:tc>
          <w:tcPr>
            <w:tcW w:w="2280" w:type="dxa"/>
            <w:vAlign w:val="bottom"/>
          </w:tcPr>
          <w:p>
            <w:pPr>
              <w:spacing w:after="0"/>
              <w:rPr>
                <w:sz w:val="20"/>
                <w:szCs w:val="20"/>
                <w:color w:val="auto"/>
              </w:rPr>
            </w:pPr>
            <w:r>
              <w:rPr>
                <w:rFonts w:ascii="Arial" w:cs="Arial" w:eastAsia="Arial" w:hAnsi="Arial"/>
                <w:sz w:val="18"/>
                <w:szCs w:val="18"/>
                <w:b w:val="1"/>
                <w:bCs w:val="1"/>
                <w:color w:val="auto"/>
              </w:rPr>
              <w:t>R. BLAKESLEE GABLE</w:t>
            </w:r>
          </w:p>
        </w:tc>
        <w:tc>
          <w:tcPr>
            <w:tcW w:w="5920" w:type="dxa"/>
            <w:vAlign w:val="bottom"/>
          </w:tcPr>
          <w:p>
            <w:pPr>
              <w:ind w:left="320"/>
              <w:spacing w:after="0"/>
              <w:rPr>
                <w:sz w:val="20"/>
                <w:szCs w:val="20"/>
                <w:color w:val="auto"/>
              </w:rPr>
            </w:pPr>
            <w:r>
              <w:rPr>
                <w:rFonts w:ascii="Arial" w:cs="Arial" w:eastAsia="Arial" w:hAnsi="Arial"/>
                <w:sz w:val="18"/>
                <w:szCs w:val="18"/>
                <w:color w:val="auto"/>
              </w:rPr>
              <w:t>Chief  Executive  Officer  of  Barron  Collier  Companies,  a  fourth-</w:t>
            </w: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 xml:space="preserve">Age: </w:t>
            </w:r>
            <w:r>
              <w:rPr>
                <w:rFonts w:ascii="Arial" w:cs="Arial" w:eastAsia="Arial" w:hAnsi="Arial"/>
                <w:sz w:val="18"/>
                <w:szCs w:val="18"/>
                <w:b w:val="1"/>
                <w:bCs w:val="1"/>
                <w:color w:val="auto"/>
              </w:rPr>
              <w:t>55</w:t>
            </w:r>
          </w:p>
        </w:tc>
        <w:tc>
          <w:tcPr>
            <w:tcW w:w="5920" w:type="dxa"/>
            <w:vAlign w:val="bottom"/>
          </w:tcPr>
          <w:p>
            <w:pPr>
              <w:ind w:left="320"/>
              <w:spacing w:after="0"/>
              <w:rPr>
                <w:sz w:val="20"/>
                <w:szCs w:val="20"/>
                <w:color w:val="auto"/>
              </w:rPr>
            </w:pPr>
            <w:r>
              <w:rPr>
                <w:rFonts w:ascii="Arial" w:cs="Arial" w:eastAsia="Arial" w:hAnsi="Arial"/>
                <w:sz w:val="18"/>
                <w:szCs w:val="18"/>
                <w:color w:val="auto"/>
              </w:rPr>
              <w:t>generation  private  investment,  agriculture,  and  land  development</w:t>
            </w: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 xml:space="preserve">Director Since: </w:t>
            </w:r>
            <w:r>
              <w:rPr>
                <w:rFonts w:ascii="Arial" w:cs="Arial" w:eastAsia="Arial" w:hAnsi="Arial"/>
                <w:sz w:val="18"/>
                <w:szCs w:val="18"/>
                <w:b w:val="1"/>
                <w:bCs w:val="1"/>
                <w:color w:val="auto"/>
              </w:rPr>
              <w:t>2018</w:t>
            </w:r>
          </w:p>
        </w:tc>
        <w:tc>
          <w:tcPr>
            <w:tcW w:w="5920" w:type="dxa"/>
            <w:vAlign w:val="bottom"/>
          </w:tcPr>
          <w:p>
            <w:pPr>
              <w:ind w:left="320"/>
              <w:spacing w:after="0"/>
              <w:rPr>
                <w:sz w:val="20"/>
                <w:szCs w:val="20"/>
                <w:color w:val="auto"/>
              </w:rPr>
            </w:pPr>
            <w:r>
              <w:rPr>
                <w:rFonts w:ascii="Arial" w:cs="Arial" w:eastAsia="Arial" w:hAnsi="Arial"/>
                <w:sz w:val="18"/>
                <w:szCs w:val="18"/>
                <w:color w:val="auto"/>
              </w:rPr>
              <w:t>company based in Naples, Florida, which he joined in 1999. As CEO,</w:t>
            </w:r>
          </w:p>
        </w:tc>
      </w:tr>
      <w:tr>
        <w:trPr>
          <w:trHeight w:val="216"/>
        </w:trPr>
        <w:tc>
          <w:tcPr>
            <w:tcW w:w="2280" w:type="dxa"/>
            <w:vAlign w:val="bottom"/>
          </w:tcPr>
          <w:p>
            <w:pPr>
              <w:spacing w:after="0"/>
              <w:rPr>
                <w:sz w:val="18"/>
                <w:szCs w:val="18"/>
                <w:color w:val="auto"/>
              </w:rPr>
            </w:pPr>
          </w:p>
        </w:tc>
        <w:tc>
          <w:tcPr>
            <w:tcW w:w="5920" w:type="dxa"/>
            <w:vAlign w:val="bottom"/>
          </w:tcPr>
          <w:p>
            <w:pPr>
              <w:ind w:left="320"/>
              <w:spacing w:after="0"/>
              <w:rPr>
                <w:sz w:val="20"/>
                <w:szCs w:val="20"/>
                <w:color w:val="auto"/>
              </w:rPr>
            </w:pPr>
            <w:r>
              <w:rPr>
                <w:rFonts w:ascii="Arial" w:cs="Arial" w:eastAsia="Arial" w:hAnsi="Arial"/>
                <w:sz w:val="18"/>
                <w:szCs w:val="18"/>
                <w:color w:val="auto"/>
              </w:rPr>
              <w:t>Mr. Gable oversees a team of 200 employees, over 2.5 million square</w:t>
            </w:r>
          </w:p>
        </w:tc>
      </w:tr>
      <w:tr>
        <w:trPr>
          <w:trHeight w:val="216"/>
        </w:trPr>
        <w:tc>
          <w:tcPr>
            <w:tcW w:w="2280" w:type="dxa"/>
            <w:vAlign w:val="bottom"/>
          </w:tcPr>
          <w:p>
            <w:pPr>
              <w:spacing w:after="0"/>
              <w:rPr>
                <w:sz w:val="18"/>
                <w:szCs w:val="18"/>
                <w:color w:val="auto"/>
              </w:rPr>
            </w:pPr>
          </w:p>
        </w:tc>
        <w:tc>
          <w:tcPr>
            <w:tcW w:w="5920" w:type="dxa"/>
            <w:vAlign w:val="bottom"/>
          </w:tcPr>
          <w:p>
            <w:pPr>
              <w:ind w:left="320"/>
              <w:spacing w:after="0"/>
              <w:rPr>
                <w:sz w:val="20"/>
                <w:szCs w:val="20"/>
                <w:color w:val="auto"/>
              </w:rPr>
            </w:pPr>
            <w:r>
              <w:rPr>
                <w:rFonts w:ascii="Arial" w:cs="Arial" w:eastAsia="Arial" w:hAnsi="Arial"/>
                <w:sz w:val="18"/>
                <w:szCs w:val="18"/>
                <w:color w:val="auto"/>
              </w:rPr>
              <w:t>feet of commercial properties, and private land holdings of more than</w:t>
            </w:r>
          </w:p>
        </w:tc>
      </w:tr>
      <w:tr>
        <w:trPr>
          <w:trHeight w:val="216"/>
        </w:trPr>
        <w:tc>
          <w:tcPr>
            <w:tcW w:w="2280" w:type="dxa"/>
            <w:vAlign w:val="bottom"/>
          </w:tcPr>
          <w:p>
            <w:pPr>
              <w:spacing w:after="0"/>
              <w:rPr>
                <w:sz w:val="18"/>
                <w:szCs w:val="18"/>
                <w:color w:val="auto"/>
              </w:rPr>
            </w:pPr>
          </w:p>
        </w:tc>
        <w:tc>
          <w:tcPr>
            <w:tcW w:w="5920" w:type="dxa"/>
            <w:vAlign w:val="bottom"/>
          </w:tcPr>
          <w:p>
            <w:pPr>
              <w:ind w:left="320"/>
              <w:spacing w:after="0"/>
              <w:rPr>
                <w:sz w:val="20"/>
                <w:szCs w:val="20"/>
                <w:color w:val="auto"/>
              </w:rPr>
            </w:pPr>
            <w:r>
              <w:rPr>
                <w:rFonts w:ascii="Arial" w:cs="Arial" w:eastAsia="Arial" w:hAnsi="Arial"/>
                <w:sz w:val="18"/>
                <w:szCs w:val="18"/>
                <w:color w:val="auto"/>
                <w:w w:val="99"/>
              </w:rPr>
              <w:t>80,000 acres. Prior to becoming CEO, he served in various leadership</w:t>
            </w:r>
          </w:p>
        </w:tc>
      </w:tr>
      <w:tr>
        <w:trPr>
          <w:trHeight w:val="216"/>
        </w:trPr>
        <w:tc>
          <w:tcPr>
            <w:tcW w:w="2280" w:type="dxa"/>
            <w:vAlign w:val="bottom"/>
          </w:tcPr>
          <w:p>
            <w:pPr>
              <w:spacing w:after="0"/>
              <w:rPr>
                <w:sz w:val="18"/>
                <w:szCs w:val="18"/>
                <w:color w:val="auto"/>
              </w:rPr>
            </w:pPr>
          </w:p>
        </w:tc>
        <w:tc>
          <w:tcPr>
            <w:tcW w:w="5920" w:type="dxa"/>
            <w:vAlign w:val="bottom"/>
          </w:tcPr>
          <w:p>
            <w:pPr>
              <w:ind w:left="320"/>
              <w:spacing w:after="0"/>
              <w:rPr>
                <w:sz w:val="20"/>
                <w:szCs w:val="20"/>
                <w:color w:val="auto"/>
              </w:rPr>
            </w:pPr>
            <w:r>
              <w:rPr>
                <w:rFonts w:ascii="Arial" w:cs="Arial" w:eastAsia="Arial" w:hAnsi="Arial"/>
                <w:sz w:val="18"/>
                <w:szCs w:val="18"/>
                <w:color w:val="auto"/>
              </w:rPr>
              <w:t>roles, including project manager during the establishment of the new</w:t>
            </w:r>
          </w:p>
        </w:tc>
      </w:tr>
      <w:tr>
        <w:trPr>
          <w:trHeight w:val="216"/>
        </w:trPr>
        <w:tc>
          <w:tcPr>
            <w:tcW w:w="2280" w:type="dxa"/>
            <w:vAlign w:val="bottom"/>
          </w:tcPr>
          <w:p>
            <w:pPr>
              <w:spacing w:after="0"/>
              <w:rPr>
                <w:sz w:val="18"/>
                <w:szCs w:val="18"/>
                <w:color w:val="auto"/>
              </w:rPr>
            </w:pPr>
          </w:p>
        </w:tc>
        <w:tc>
          <w:tcPr>
            <w:tcW w:w="5920" w:type="dxa"/>
            <w:vAlign w:val="bottom"/>
          </w:tcPr>
          <w:p>
            <w:pPr>
              <w:ind w:left="320"/>
              <w:spacing w:after="0"/>
              <w:rPr>
                <w:sz w:val="20"/>
                <w:szCs w:val="20"/>
                <w:color w:val="auto"/>
              </w:rPr>
            </w:pPr>
            <w:r>
              <w:rPr>
                <w:rFonts w:ascii="Arial" w:cs="Arial" w:eastAsia="Arial" w:hAnsi="Arial"/>
                <w:sz w:val="18"/>
                <w:szCs w:val="18"/>
                <w:color w:val="auto"/>
              </w:rPr>
              <w:t>hometown,  Ave  Maria,  Florida;  and  vice  president  of  mineral</w:t>
            </w:r>
          </w:p>
        </w:tc>
      </w:tr>
      <w:tr>
        <w:trPr>
          <w:trHeight w:val="239"/>
        </w:trPr>
        <w:tc>
          <w:tcPr>
            <w:tcW w:w="2280" w:type="dxa"/>
            <w:vAlign w:val="bottom"/>
          </w:tcPr>
          <w:p>
            <w:pPr>
              <w:spacing w:after="0"/>
              <w:rPr>
                <w:sz w:val="20"/>
                <w:szCs w:val="20"/>
                <w:color w:val="auto"/>
              </w:rPr>
            </w:pPr>
          </w:p>
        </w:tc>
        <w:tc>
          <w:tcPr>
            <w:tcW w:w="5920" w:type="dxa"/>
            <w:vAlign w:val="bottom"/>
          </w:tcPr>
          <w:p>
            <w:pPr>
              <w:ind w:left="320"/>
              <w:spacing w:after="0"/>
              <w:rPr>
                <w:sz w:val="20"/>
                <w:szCs w:val="20"/>
                <w:color w:val="auto"/>
              </w:rPr>
            </w:pPr>
            <w:r>
              <w:rPr>
                <w:rFonts w:ascii="Arial" w:cs="Arial" w:eastAsia="Arial" w:hAnsi="Arial"/>
                <w:sz w:val="18"/>
                <w:szCs w:val="18"/>
                <w:color w:val="auto"/>
              </w:rPr>
              <w:t>management and real estate.</w:t>
            </w:r>
          </w:p>
        </w:tc>
      </w:tr>
      <w:tr>
        <w:trPr>
          <w:trHeight w:val="301"/>
        </w:trPr>
        <w:tc>
          <w:tcPr>
            <w:tcW w:w="2280" w:type="dxa"/>
            <w:vAlign w:val="bottom"/>
          </w:tcPr>
          <w:p>
            <w:pPr>
              <w:spacing w:after="0"/>
              <w:rPr>
                <w:sz w:val="24"/>
                <w:szCs w:val="24"/>
                <w:color w:val="auto"/>
              </w:rPr>
            </w:pPr>
          </w:p>
        </w:tc>
        <w:tc>
          <w:tcPr>
            <w:tcW w:w="5920" w:type="dxa"/>
            <w:vAlign w:val="bottom"/>
          </w:tcPr>
          <w:p>
            <w:pPr>
              <w:ind w:left="320"/>
              <w:spacing w:after="0"/>
              <w:rPr>
                <w:sz w:val="20"/>
                <w:szCs w:val="20"/>
                <w:color w:val="auto"/>
              </w:rPr>
            </w:pPr>
            <w:r>
              <w:rPr>
                <w:rFonts w:ascii="Arial" w:cs="Arial" w:eastAsia="Arial" w:hAnsi="Arial"/>
                <w:sz w:val="18"/>
                <w:szCs w:val="18"/>
                <w:color w:val="auto"/>
                <w:w w:val="99"/>
              </w:rPr>
              <w:t>Mr. Gable is a graduate of Tulane University with a B.A. in History. For</w:t>
            </w:r>
          </w:p>
        </w:tc>
      </w:tr>
      <w:tr>
        <w:trPr>
          <w:trHeight w:val="239"/>
        </w:trPr>
        <w:tc>
          <w:tcPr>
            <w:tcW w:w="2280" w:type="dxa"/>
            <w:vAlign w:val="bottom"/>
          </w:tcPr>
          <w:p>
            <w:pPr>
              <w:spacing w:after="0"/>
              <w:rPr>
                <w:sz w:val="20"/>
                <w:szCs w:val="20"/>
                <w:color w:val="auto"/>
              </w:rPr>
            </w:pPr>
          </w:p>
        </w:tc>
        <w:tc>
          <w:tcPr>
            <w:tcW w:w="5920" w:type="dxa"/>
            <w:vAlign w:val="bottom"/>
          </w:tcPr>
          <w:p>
            <w:pPr>
              <w:ind w:left="320"/>
              <w:spacing w:after="0"/>
              <w:rPr>
                <w:sz w:val="20"/>
                <w:szCs w:val="20"/>
                <w:color w:val="auto"/>
              </w:rPr>
            </w:pPr>
            <w:r>
              <w:rPr>
                <w:rFonts w:ascii="Arial" w:cs="Arial" w:eastAsia="Arial" w:hAnsi="Arial"/>
                <w:sz w:val="18"/>
                <w:szCs w:val="18"/>
                <w:color w:val="auto"/>
              </w:rPr>
              <w:t>five years after having received</w:t>
            </w:r>
          </w:p>
        </w:tc>
      </w:tr>
      <w:tr>
        <w:trPr>
          <w:trHeight w:val="261"/>
        </w:trPr>
        <w:tc>
          <w:tcPr>
            <w:tcW w:w="2280" w:type="dxa"/>
            <w:vAlign w:val="bottom"/>
          </w:tcPr>
          <w:p>
            <w:pPr>
              <w:spacing w:after="0"/>
              <w:rPr>
                <w:sz w:val="22"/>
                <w:szCs w:val="22"/>
                <w:color w:val="auto"/>
              </w:rPr>
            </w:pPr>
          </w:p>
        </w:tc>
        <w:tc>
          <w:tcPr>
            <w:tcW w:w="5920" w:type="dxa"/>
            <w:vAlign w:val="bottom"/>
          </w:tcPr>
          <w:p>
            <w:pPr>
              <w:ind w:left="320"/>
              <w:spacing w:after="0"/>
              <w:rPr>
                <w:sz w:val="20"/>
                <w:szCs w:val="20"/>
                <w:color w:val="auto"/>
              </w:rPr>
            </w:pPr>
            <w:r>
              <w:rPr>
                <w:rFonts w:ascii="Arial" w:cs="Arial" w:eastAsia="Arial" w:hAnsi="Arial"/>
                <w:sz w:val="18"/>
                <w:szCs w:val="18"/>
                <w:color w:val="auto"/>
                <w:w w:val="98"/>
              </w:rPr>
              <w:t>his undergraduate degree, Mr. Gable was Legislative Director of United</w:t>
            </w:r>
          </w:p>
        </w:tc>
      </w:tr>
      <w:tr>
        <w:trPr>
          <w:trHeight w:val="216"/>
        </w:trPr>
        <w:tc>
          <w:tcPr>
            <w:tcW w:w="2280" w:type="dxa"/>
            <w:vAlign w:val="bottom"/>
          </w:tcPr>
          <w:p>
            <w:pPr>
              <w:spacing w:after="0"/>
              <w:rPr>
                <w:sz w:val="18"/>
                <w:szCs w:val="18"/>
                <w:color w:val="auto"/>
              </w:rPr>
            </w:pPr>
          </w:p>
        </w:tc>
        <w:tc>
          <w:tcPr>
            <w:tcW w:w="5920" w:type="dxa"/>
            <w:vAlign w:val="bottom"/>
          </w:tcPr>
          <w:p>
            <w:pPr>
              <w:ind w:left="320"/>
              <w:spacing w:after="0"/>
              <w:rPr>
                <w:sz w:val="20"/>
                <w:szCs w:val="20"/>
                <w:color w:val="auto"/>
              </w:rPr>
            </w:pPr>
            <w:r>
              <w:rPr>
                <w:rFonts w:ascii="Arial" w:cs="Arial" w:eastAsia="Arial" w:hAnsi="Arial"/>
                <w:sz w:val="18"/>
                <w:szCs w:val="18"/>
                <w:color w:val="auto"/>
              </w:rPr>
              <w:t>States Representative Ed Pastor (AZ) in Washington, D.C. Upon</w:t>
            </w:r>
          </w:p>
        </w:tc>
      </w:tr>
      <w:tr>
        <w:trPr>
          <w:trHeight w:val="216"/>
        </w:trPr>
        <w:tc>
          <w:tcPr>
            <w:tcW w:w="2280" w:type="dxa"/>
            <w:vAlign w:val="bottom"/>
          </w:tcPr>
          <w:p>
            <w:pPr>
              <w:spacing w:after="0"/>
              <w:rPr>
                <w:sz w:val="18"/>
                <w:szCs w:val="18"/>
                <w:color w:val="auto"/>
              </w:rPr>
            </w:pPr>
          </w:p>
        </w:tc>
        <w:tc>
          <w:tcPr>
            <w:tcW w:w="5920" w:type="dxa"/>
            <w:vAlign w:val="bottom"/>
          </w:tcPr>
          <w:p>
            <w:pPr>
              <w:ind w:left="320"/>
              <w:spacing w:after="0"/>
              <w:rPr>
                <w:sz w:val="20"/>
                <w:szCs w:val="20"/>
                <w:color w:val="auto"/>
              </w:rPr>
            </w:pPr>
            <w:r>
              <w:rPr>
                <w:rFonts w:ascii="Arial" w:cs="Arial" w:eastAsia="Arial" w:hAnsi="Arial"/>
                <w:sz w:val="18"/>
                <w:szCs w:val="18"/>
                <w:color w:val="auto"/>
              </w:rPr>
              <w:t>moving back to Florida, he received a Master’s degree in Business</w:t>
            </w:r>
          </w:p>
        </w:tc>
      </w:tr>
      <w:tr>
        <w:trPr>
          <w:trHeight w:val="216"/>
        </w:trPr>
        <w:tc>
          <w:tcPr>
            <w:tcW w:w="2280" w:type="dxa"/>
            <w:vAlign w:val="bottom"/>
          </w:tcPr>
          <w:p>
            <w:pPr>
              <w:spacing w:after="0"/>
              <w:rPr>
                <w:sz w:val="18"/>
                <w:szCs w:val="18"/>
                <w:color w:val="auto"/>
              </w:rPr>
            </w:pPr>
          </w:p>
        </w:tc>
        <w:tc>
          <w:tcPr>
            <w:tcW w:w="5920" w:type="dxa"/>
            <w:vAlign w:val="bottom"/>
          </w:tcPr>
          <w:p>
            <w:pPr>
              <w:ind w:left="320"/>
              <w:spacing w:after="0"/>
              <w:rPr>
                <w:sz w:val="20"/>
                <w:szCs w:val="20"/>
                <w:color w:val="auto"/>
              </w:rPr>
            </w:pPr>
            <w:r>
              <w:rPr>
                <w:rFonts w:ascii="Arial" w:cs="Arial" w:eastAsia="Arial" w:hAnsi="Arial"/>
                <w:sz w:val="18"/>
                <w:szCs w:val="18"/>
                <w:color w:val="auto"/>
              </w:rPr>
              <w:t>Administration from the Executive MBA program of Florida Gulf Coast</w:t>
            </w:r>
          </w:p>
        </w:tc>
      </w:tr>
      <w:tr>
        <w:trPr>
          <w:trHeight w:val="216"/>
        </w:trPr>
        <w:tc>
          <w:tcPr>
            <w:tcW w:w="2280" w:type="dxa"/>
            <w:vAlign w:val="bottom"/>
          </w:tcPr>
          <w:p>
            <w:pPr>
              <w:spacing w:after="0"/>
              <w:rPr>
                <w:sz w:val="18"/>
                <w:szCs w:val="18"/>
                <w:color w:val="auto"/>
              </w:rPr>
            </w:pPr>
          </w:p>
        </w:tc>
        <w:tc>
          <w:tcPr>
            <w:tcW w:w="5920" w:type="dxa"/>
            <w:vAlign w:val="bottom"/>
          </w:tcPr>
          <w:p>
            <w:pPr>
              <w:ind w:left="320"/>
              <w:spacing w:after="0"/>
              <w:rPr>
                <w:sz w:val="20"/>
                <w:szCs w:val="20"/>
                <w:color w:val="auto"/>
              </w:rPr>
            </w:pPr>
            <w:r>
              <w:rPr>
                <w:rFonts w:ascii="Arial" w:cs="Arial" w:eastAsia="Arial" w:hAnsi="Arial"/>
                <w:sz w:val="18"/>
                <w:szCs w:val="18"/>
                <w:color w:val="auto"/>
                <w:w w:val="99"/>
              </w:rPr>
              <w:t>University. Mr. Gable currently sits on the Board at Naples Community</w:t>
            </w:r>
          </w:p>
        </w:tc>
      </w:tr>
      <w:tr>
        <w:trPr>
          <w:trHeight w:val="216"/>
        </w:trPr>
        <w:tc>
          <w:tcPr>
            <w:tcW w:w="2280" w:type="dxa"/>
            <w:vAlign w:val="bottom"/>
          </w:tcPr>
          <w:p>
            <w:pPr>
              <w:spacing w:after="0"/>
              <w:rPr>
                <w:sz w:val="18"/>
                <w:szCs w:val="18"/>
                <w:color w:val="auto"/>
              </w:rPr>
            </w:pPr>
          </w:p>
        </w:tc>
        <w:tc>
          <w:tcPr>
            <w:tcW w:w="5920" w:type="dxa"/>
            <w:vAlign w:val="bottom"/>
          </w:tcPr>
          <w:p>
            <w:pPr>
              <w:ind w:left="320"/>
              <w:spacing w:after="0"/>
              <w:rPr>
                <w:sz w:val="20"/>
                <w:szCs w:val="20"/>
                <w:color w:val="auto"/>
              </w:rPr>
            </w:pPr>
            <w:r>
              <w:rPr>
                <w:rFonts w:ascii="Arial" w:cs="Arial" w:eastAsia="Arial" w:hAnsi="Arial"/>
                <w:sz w:val="18"/>
                <w:szCs w:val="18"/>
                <w:color w:val="auto"/>
              </w:rPr>
              <w:t>Hospital, a local not-for-profit healthcare system, and is Chair of the</w:t>
            </w:r>
          </w:p>
        </w:tc>
      </w:tr>
      <w:tr>
        <w:trPr>
          <w:trHeight w:val="216"/>
        </w:trPr>
        <w:tc>
          <w:tcPr>
            <w:tcW w:w="2280" w:type="dxa"/>
            <w:vAlign w:val="bottom"/>
          </w:tcPr>
          <w:p>
            <w:pPr>
              <w:spacing w:after="0"/>
              <w:rPr>
                <w:sz w:val="18"/>
                <w:szCs w:val="18"/>
                <w:color w:val="auto"/>
              </w:rPr>
            </w:pPr>
          </w:p>
        </w:tc>
        <w:tc>
          <w:tcPr>
            <w:tcW w:w="5920" w:type="dxa"/>
            <w:vAlign w:val="bottom"/>
          </w:tcPr>
          <w:p>
            <w:pPr>
              <w:ind w:left="320"/>
              <w:spacing w:after="0"/>
              <w:rPr>
                <w:sz w:val="20"/>
                <w:szCs w:val="20"/>
                <w:color w:val="auto"/>
              </w:rPr>
            </w:pPr>
            <w:r>
              <w:rPr>
                <w:rFonts w:ascii="Arial" w:cs="Arial" w:eastAsia="Arial" w:hAnsi="Arial"/>
                <w:sz w:val="18"/>
                <w:szCs w:val="18"/>
                <w:color w:val="auto"/>
              </w:rPr>
              <w:t>Greater  Naples  Chamber,  a  nonprofit  organization  that  works  to</w:t>
            </w:r>
          </w:p>
        </w:tc>
      </w:tr>
      <w:tr>
        <w:trPr>
          <w:trHeight w:val="216"/>
        </w:trPr>
        <w:tc>
          <w:tcPr>
            <w:tcW w:w="2280" w:type="dxa"/>
            <w:vAlign w:val="bottom"/>
          </w:tcPr>
          <w:p>
            <w:pPr>
              <w:spacing w:after="0"/>
              <w:rPr>
                <w:sz w:val="18"/>
                <w:szCs w:val="18"/>
                <w:color w:val="auto"/>
              </w:rPr>
            </w:pPr>
          </w:p>
        </w:tc>
        <w:tc>
          <w:tcPr>
            <w:tcW w:w="5920" w:type="dxa"/>
            <w:vAlign w:val="bottom"/>
          </w:tcPr>
          <w:p>
            <w:pPr>
              <w:ind w:left="320"/>
              <w:spacing w:after="0"/>
              <w:rPr>
                <w:sz w:val="20"/>
                <w:szCs w:val="20"/>
                <w:color w:val="auto"/>
              </w:rPr>
            </w:pPr>
            <w:r>
              <w:rPr>
                <w:rFonts w:ascii="Arial" w:cs="Arial" w:eastAsia="Arial" w:hAnsi="Arial"/>
                <w:sz w:val="18"/>
                <w:szCs w:val="18"/>
                <w:color w:val="auto"/>
              </w:rPr>
              <w:t>strengthen the local economy and promote the business community.</w:t>
            </w:r>
          </w:p>
        </w:tc>
      </w:tr>
      <w:tr>
        <w:trPr>
          <w:trHeight w:val="216"/>
        </w:trPr>
        <w:tc>
          <w:tcPr>
            <w:tcW w:w="2280" w:type="dxa"/>
            <w:vAlign w:val="bottom"/>
          </w:tcPr>
          <w:p>
            <w:pPr>
              <w:spacing w:after="0"/>
              <w:rPr>
                <w:sz w:val="18"/>
                <w:szCs w:val="18"/>
                <w:color w:val="auto"/>
              </w:rPr>
            </w:pPr>
          </w:p>
        </w:tc>
        <w:tc>
          <w:tcPr>
            <w:tcW w:w="5920" w:type="dxa"/>
            <w:vAlign w:val="bottom"/>
          </w:tcPr>
          <w:p>
            <w:pPr>
              <w:ind w:left="320"/>
              <w:spacing w:after="0"/>
              <w:rPr>
                <w:sz w:val="20"/>
                <w:szCs w:val="20"/>
                <w:color w:val="auto"/>
              </w:rPr>
            </w:pPr>
            <w:r>
              <w:rPr>
                <w:rFonts w:ascii="Arial" w:cs="Arial" w:eastAsia="Arial" w:hAnsi="Arial"/>
                <w:sz w:val="18"/>
                <w:szCs w:val="18"/>
                <w:color w:val="auto"/>
              </w:rPr>
              <w:t>He  previously  served  as  Chairperson  of  the  Florida  Gulf  Coast</w:t>
            </w:r>
          </w:p>
        </w:tc>
      </w:tr>
      <w:tr>
        <w:trPr>
          <w:trHeight w:val="216"/>
        </w:trPr>
        <w:tc>
          <w:tcPr>
            <w:tcW w:w="2280" w:type="dxa"/>
            <w:vAlign w:val="bottom"/>
          </w:tcPr>
          <w:p>
            <w:pPr>
              <w:spacing w:after="0"/>
              <w:rPr>
                <w:sz w:val="18"/>
                <w:szCs w:val="18"/>
                <w:color w:val="auto"/>
              </w:rPr>
            </w:pPr>
          </w:p>
        </w:tc>
        <w:tc>
          <w:tcPr>
            <w:tcW w:w="5920" w:type="dxa"/>
            <w:vAlign w:val="bottom"/>
          </w:tcPr>
          <w:p>
            <w:pPr>
              <w:ind w:left="320"/>
              <w:spacing w:after="0"/>
              <w:rPr>
                <w:sz w:val="20"/>
                <w:szCs w:val="20"/>
                <w:color w:val="auto"/>
              </w:rPr>
            </w:pPr>
            <w:r>
              <w:rPr>
                <w:rFonts w:ascii="Arial" w:cs="Arial" w:eastAsia="Arial" w:hAnsi="Arial"/>
                <w:sz w:val="18"/>
                <w:szCs w:val="18"/>
                <w:color w:val="auto"/>
              </w:rPr>
              <w:t>University Board of Trustees. He has also served on the Board of</w:t>
            </w:r>
          </w:p>
        </w:tc>
      </w:tr>
      <w:tr>
        <w:trPr>
          <w:trHeight w:val="216"/>
        </w:trPr>
        <w:tc>
          <w:tcPr>
            <w:tcW w:w="2280" w:type="dxa"/>
            <w:vAlign w:val="bottom"/>
          </w:tcPr>
          <w:p>
            <w:pPr>
              <w:spacing w:after="0"/>
              <w:rPr>
                <w:sz w:val="18"/>
                <w:szCs w:val="18"/>
                <w:color w:val="auto"/>
              </w:rPr>
            </w:pPr>
          </w:p>
        </w:tc>
        <w:tc>
          <w:tcPr>
            <w:tcW w:w="5920" w:type="dxa"/>
            <w:vAlign w:val="bottom"/>
          </w:tcPr>
          <w:p>
            <w:pPr>
              <w:ind w:left="320"/>
              <w:spacing w:after="0"/>
              <w:rPr>
                <w:sz w:val="20"/>
                <w:szCs w:val="20"/>
                <w:color w:val="auto"/>
              </w:rPr>
            </w:pPr>
            <w:r>
              <w:rPr>
                <w:rFonts w:ascii="Arial" w:cs="Arial" w:eastAsia="Arial" w:hAnsi="Arial"/>
                <w:sz w:val="18"/>
                <w:szCs w:val="18"/>
                <w:color w:val="auto"/>
                <w:w w:val="98"/>
              </w:rPr>
              <w:t>Enterprise Florida, as a Trustee of the area YMCA, and as a Director of</w:t>
            </w:r>
          </w:p>
        </w:tc>
      </w:tr>
      <w:tr>
        <w:trPr>
          <w:trHeight w:val="239"/>
        </w:trPr>
        <w:tc>
          <w:tcPr>
            <w:tcW w:w="2280" w:type="dxa"/>
            <w:vAlign w:val="bottom"/>
          </w:tcPr>
          <w:p>
            <w:pPr>
              <w:spacing w:after="0"/>
              <w:rPr>
                <w:sz w:val="20"/>
                <w:szCs w:val="20"/>
                <w:color w:val="auto"/>
              </w:rPr>
            </w:pPr>
          </w:p>
        </w:tc>
        <w:tc>
          <w:tcPr>
            <w:tcW w:w="5920" w:type="dxa"/>
            <w:vAlign w:val="bottom"/>
          </w:tcPr>
          <w:p>
            <w:pPr>
              <w:ind w:left="320"/>
              <w:spacing w:after="0"/>
              <w:rPr>
                <w:sz w:val="20"/>
                <w:szCs w:val="20"/>
                <w:color w:val="auto"/>
              </w:rPr>
            </w:pPr>
            <w:r>
              <w:rPr>
                <w:rFonts w:ascii="Arial" w:cs="Arial" w:eastAsia="Arial" w:hAnsi="Arial"/>
                <w:sz w:val="18"/>
                <w:szCs w:val="18"/>
                <w:color w:val="auto"/>
              </w:rPr>
              <w:t>The Immokalee Foundation.</w:t>
            </w:r>
          </w:p>
        </w:tc>
      </w:tr>
      <w:tr>
        <w:trPr>
          <w:trHeight w:val="301"/>
        </w:trPr>
        <w:tc>
          <w:tcPr>
            <w:tcW w:w="2280" w:type="dxa"/>
            <w:vAlign w:val="bottom"/>
          </w:tcPr>
          <w:p>
            <w:pPr>
              <w:spacing w:after="0"/>
              <w:rPr>
                <w:sz w:val="24"/>
                <w:szCs w:val="24"/>
                <w:color w:val="auto"/>
              </w:rPr>
            </w:pPr>
          </w:p>
        </w:tc>
        <w:tc>
          <w:tcPr>
            <w:tcW w:w="5920" w:type="dxa"/>
            <w:vAlign w:val="bottom"/>
          </w:tcPr>
          <w:p>
            <w:pPr>
              <w:ind w:left="320"/>
              <w:spacing w:after="0"/>
              <w:rPr>
                <w:sz w:val="20"/>
                <w:szCs w:val="20"/>
                <w:color w:val="auto"/>
              </w:rPr>
            </w:pPr>
            <w:r>
              <w:rPr>
                <w:rFonts w:ascii="Arial" w:cs="Arial" w:eastAsia="Arial" w:hAnsi="Arial"/>
                <w:sz w:val="18"/>
                <w:szCs w:val="18"/>
                <w:color w:val="auto"/>
              </w:rPr>
              <w:t>Mr. Gable is a member of the Audit Committee and member and</w:t>
            </w:r>
          </w:p>
        </w:tc>
      </w:tr>
      <w:tr>
        <w:trPr>
          <w:trHeight w:val="239"/>
        </w:trPr>
        <w:tc>
          <w:tcPr>
            <w:tcW w:w="2280" w:type="dxa"/>
            <w:vAlign w:val="bottom"/>
          </w:tcPr>
          <w:p>
            <w:pPr>
              <w:spacing w:after="0"/>
              <w:rPr>
                <w:sz w:val="20"/>
                <w:szCs w:val="20"/>
                <w:color w:val="auto"/>
              </w:rPr>
            </w:pPr>
          </w:p>
        </w:tc>
        <w:tc>
          <w:tcPr>
            <w:tcW w:w="5920" w:type="dxa"/>
            <w:vAlign w:val="bottom"/>
          </w:tcPr>
          <w:p>
            <w:pPr>
              <w:ind w:left="320"/>
              <w:spacing w:after="0"/>
              <w:rPr>
                <w:sz w:val="20"/>
                <w:szCs w:val="20"/>
                <w:color w:val="auto"/>
              </w:rPr>
            </w:pPr>
            <w:r>
              <w:rPr>
                <w:rFonts w:ascii="Arial" w:cs="Arial" w:eastAsia="Arial" w:hAnsi="Arial"/>
                <w:sz w:val="18"/>
                <w:szCs w:val="18"/>
                <w:color w:val="auto"/>
              </w:rPr>
              <w:t>chairman of the Governance Committee.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1260" w:type="dxa"/>
        <w:tblCellMar>
          <w:top w:w="0" w:type="dxa"/>
          <w:left w:w="0" w:type="dxa"/>
          <w:bottom w:w="0" w:type="dxa"/>
          <w:right w:w="0" w:type="dxa"/>
        </w:tblCellMar>
      </w:tblPr>
      <w:tr>
        <w:trPr>
          <w:trHeight w:val="205"/>
        </w:trPr>
        <w:tc>
          <w:tcPr>
            <w:tcW w:w="2340" w:type="dxa"/>
            <w:vAlign w:val="bottom"/>
            <w:tcBorders>
              <w:bottom w:val="single" w:sz="8" w:color="auto"/>
            </w:tcBorders>
          </w:tcPr>
          <w:p>
            <w:pPr>
              <w:spacing w:after="0"/>
              <w:rPr>
                <w:sz w:val="17"/>
                <w:szCs w:val="17"/>
                <w:color w:val="auto"/>
              </w:rPr>
            </w:pPr>
          </w:p>
        </w:tc>
        <w:tc>
          <w:tcPr>
            <w:tcW w:w="586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NOMINEES STANDING FOR ELECTION</w:t>
            </w:r>
          </w:p>
        </w:tc>
      </w:tr>
      <w:tr>
        <w:trPr>
          <w:trHeight w:val="224"/>
        </w:trPr>
        <w:tc>
          <w:tcPr>
            <w:tcW w:w="2340" w:type="dxa"/>
            <w:vAlign w:val="bottom"/>
          </w:tcPr>
          <w:p>
            <w:pPr>
              <w:spacing w:after="0"/>
              <w:rPr>
                <w:sz w:val="20"/>
                <w:szCs w:val="20"/>
                <w:color w:val="auto"/>
              </w:rPr>
            </w:pPr>
            <w:r>
              <w:rPr>
                <w:rFonts w:ascii="Arial" w:cs="Arial" w:eastAsia="Arial" w:hAnsi="Arial"/>
                <w:sz w:val="18"/>
                <w:szCs w:val="18"/>
                <w:b w:val="1"/>
                <w:bCs w:val="1"/>
                <w:color w:val="auto"/>
              </w:rPr>
              <w:t>CHRISTOPHER W. HAGA</w:t>
            </w:r>
          </w:p>
        </w:tc>
        <w:tc>
          <w:tcPr>
            <w:tcW w:w="5860" w:type="dxa"/>
            <w:vAlign w:val="bottom"/>
          </w:tcPr>
          <w:p>
            <w:pPr>
              <w:ind w:left="260"/>
              <w:spacing w:after="0"/>
              <w:rPr>
                <w:sz w:val="20"/>
                <w:szCs w:val="20"/>
                <w:color w:val="auto"/>
              </w:rPr>
            </w:pPr>
            <w:r>
              <w:rPr>
                <w:rFonts w:ascii="Arial" w:cs="Arial" w:eastAsia="Arial" w:hAnsi="Arial"/>
                <w:sz w:val="18"/>
                <w:szCs w:val="18"/>
                <w:color w:val="auto"/>
                <w:w w:val="99"/>
              </w:rPr>
              <w:t>Mr. Haga is currently an Operating Partner at MGG Investment Group,</w:t>
            </w:r>
          </w:p>
        </w:tc>
      </w:tr>
      <w:tr>
        <w:trPr>
          <w:trHeight w:val="216"/>
        </w:trPr>
        <w:tc>
          <w:tcPr>
            <w:tcW w:w="2340" w:type="dxa"/>
            <w:vAlign w:val="bottom"/>
          </w:tcPr>
          <w:p>
            <w:pPr>
              <w:spacing w:after="0"/>
              <w:rPr>
                <w:sz w:val="20"/>
                <w:szCs w:val="20"/>
                <w:color w:val="auto"/>
              </w:rPr>
            </w:pPr>
            <w:r>
              <w:rPr>
                <w:rFonts w:ascii="Arial" w:cs="Arial" w:eastAsia="Arial" w:hAnsi="Arial"/>
                <w:sz w:val="18"/>
                <w:szCs w:val="18"/>
                <w:color w:val="auto"/>
              </w:rPr>
              <w:t xml:space="preserve">Age: </w:t>
            </w:r>
            <w:r>
              <w:rPr>
                <w:rFonts w:ascii="Arial" w:cs="Arial" w:eastAsia="Arial" w:hAnsi="Arial"/>
                <w:sz w:val="18"/>
                <w:szCs w:val="18"/>
                <w:b w:val="1"/>
                <w:bCs w:val="1"/>
                <w:color w:val="auto"/>
              </w:rPr>
              <w:t>58</w:t>
            </w:r>
          </w:p>
        </w:tc>
        <w:tc>
          <w:tcPr>
            <w:tcW w:w="5860" w:type="dxa"/>
            <w:vAlign w:val="bottom"/>
          </w:tcPr>
          <w:p>
            <w:pPr>
              <w:ind w:left="260"/>
              <w:spacing w:after="0"/>
              <w:rPr>
                <w:sz w:val="20"/>
                <w:szCs w:val="20"/>
                <w:color w:val="auto"/>
              </w:rPr>
            </w:pPr>
            <w:r>
              <w:rPr>
                <w:rFonts w:ascii="Arial" w:cs="Arial" w:eastAsia="Arial" w:hAnsi="Arial"/>
                <w:sz w:val="18"/>
                <w:szCs w:val="18"/>
                <w:color w:val="auto"/>
              </w:rPr>
              <w:t>a direct lending and private equity investment firm, a position he has</w:t>
            </w:r>
          </w:p>
        </w:tc>
      </w:tr>
      <w:tr>
        <w:trPr>
          <w:trHeight w:val="216"/>
        </w:trPr>
        <w:tc>
          <w:tcPr>
            <w:tcW w:w="2340" w:type="dxa"/>
            <w:vAlign w:val="bottom"/>
          </w:tcPr>
          <w:p>
            <w:pPr>
              <w:spacing w:after="0"/>
              <w:rPr>
                <w:sz w:val="20"/>
                <w:szCs w:val="20"/>
                <w:color w:val="auto"/>
              </w:rPr>
            </w:pPr>
            <w:r>
              <w:rPr>
                <w:rFonts w:ascii="Arial" w:cs="Arial" w:eastAsia="Arial" w:hAnsi="Arial"/>
                <w:sz w:val="18"/>
                <w:szCs w:val="18"/>
                <w:color w:val="auto"/>
              </w:rPr>
              <w:t xml:space="preserve">Director Since: </w:t>
            </w:r>
            <w:r>
              <w:rPr>
                <w:rFonts w:ascii="Arial" w:cs="Arial" w:eastAsia="Arial" w:hAnsi="Arial"/>
                <w:sz w:val="18"/>
                <w:szCs w:val="18"/>
                <w:b w:val="1"/>
                <w:bCs w:val="1"/>
                <w:color w:val="auto"/>
              </w:rPr>
              <w:t>2017</w:t>
            </w:r>
          </w:p>
        </w:tc>
        <w:tc>
          <w:tcPr>
            <w:tcW w:w="5860" w:type="dxa"/>
            <w:vAlign w:val="bottom"/>
          </w:tcPr>
          <w:p>
            <w:pPr>
              <w:ind w:left="260"/>
              <w:spacing w:after="0"/>
              <w:rPr>
                <w:sz w:val="20"/>
                <w:szCs w:val="20"/>
                <w:color w:val="auto"/>
              </w:rPr>
            </w:pPr>
            <w:r>
              <w:rPr>
                <w:rFonts w:ascii="Arial" w:cs="Arial" w:eastAsia="Arial" w:hAnsi="Arial"/>
                <w:sz w:val="18"/>
                <w:szCs w:val="18"/>
                <w:color w:val="auto"/>
                <w:w w:val="98"/>
              </w:rPr>
              <w:t>held since November 2022. He also serves as Chairman of MGG RMC</w:t>
            </w:r>
          </w:p>
        </w:tc>
      </w:tr>
      <w:tr>
        <w:trPr>
          <w:trHeight w:val="216"/>
        </w:trPr>
        <w:tc>
          <w:tcPr>
            <w:tcW w:w="2340" w:type="dxa"/>
            <w:vAlign w:val="bottom"/>
          </w:tcPr>
          <w:p>
            <w:pPr>
              <w:spacing w:after="0"/>
              <w:rPr>
                <w:sz w:val="18"/>
                <w:szCs w:val="18"/>
                <w:color w:val="auto"/>
              </w:rPr>
            </w:pPr>
          </w:p>
        </w:tc>
        <w:tc>
          <w:tcPr>
            <w:tcW w:w="5860" w:type="dxa"/>
            <w:vAlign w:val="bottom"/>
          </w:tcPr>
          <w:p>
            <w:pPr>
              <w:ind w:left="260"/>
              <w:spacing w:after="0"/>
              <w:rPr>
                <w:sz w:val="20"/>
                <w:szCs w:val="20"/>
                <w:color w:val="auto"/>
              </w:rPr>
            </w:pPr>
            <w:r>
              <w:rPr>
                <w:rFonts w:ascii="Arial" w:cs="Arial" w:eastAsia="Arial" w:hAnsi="Arial"/>
                <w:sz w:val="18"/>
                <w:szCs w:val="18"/>
                <w:color w:val="auto"/>
              </w:rPr>
              <w:t>SPV LLC, the holding company for the manager of Citizens United</w:t>
            </w:r>
          </w:p>
        </w:tc>
      </w:tr>
      <w:tr>
        <w:trPr>
          <w:trHeight w:val="216"/>
        </w:trPr>
        <w:tc>
          <w:tcPr>
            <w:tcW w:w="2340" w:type="dxa"/>
            <w:vAlign w:val="bottom"/>
          </w:tcPr>
          <w:p>
            <w:pPr>
              <w:spacing w:after="0"/>
              <w:rPr>
                <w:sz w:val="18"/>
                <w:szCs w:val="18"/>
                <w:color w:val="auto"/>
              </w:rPr>
            </w:pPr>
          </w:p>
        </w:tc>
        <w:tc>
          <w:tcPr>
            <w:tcW w:w="5860" w:type="dxa"/>
            <w:vAlign w:val="bottom"/>
          </w:tcPr>
          <w:p>
            <w:pPr>
              <w:ind w:left="260"/>
              <w:spacing w:after="0"/>
              <w:rPr>
                <w:sz w:val="20"/>
                <w:szCs w:val="20"/>
                <w:color w:val="auto"/>
              </w:rPr>
            </w:pPr>
            <w:r>
              <w:rPr>
                <w:rFonts w:ascii="Arial" w:cs="Arial" w:eastAsia="Arial" w:hAnsi="Arial"/>
                <w:sz w:val="18"/>
                <w:szCs w:val="18"/>
                <w:color w:val="auto"/>
              </w:rPr>
              <w:t>Reciprocal Exchange, an insurance provider offering property and</w:t>
            </w:r>
          </w:p>
        </w:tc>
      </w:tr>
      <w:tr>
        <w:trPr>
          <w:trHeight w:val="239"/>
        </w:trPr>
        <w:tc>
          <w:tcPr>
            <w:tcW w:w="2340" w:type="dxa"/>
            <w:vAlign w:val="bottom"/>
          </w:tcPr>
          <w:p>
            <w:pPr>
              <w:spacing w:after="0"/>
              <w:rPr>
                <w:sz w:val="20"/>
                <w:szCs w:val="20"/>
                <w:color w:val="auto"/>
              </w:rPr>
            </w:pPr>
          </w:p>
        </w:tc>
        <w:tc>
          <w:tcPr>
            <w:tcW w:w="5860" w:type="dxa"/>
            <w:vAlign w:val="bottom"/>
          </w:tcPr>
          <w:p>
            <w:pPr>
              <w:ind w:left="260"/>
              <w:spacing w:after="0"/>
              <w:rPr>
                <w:sz w:val="20"/>
                <w:szCs w:val="20"/>
                <w:color w:val="auto"/>
              </w:rPr>
            </w:pPr>
            <w:r>
              <w:rPr>
                <w:rFonts w:ascii="Arial" w:cs="Arial" w:eastAsia="Arial" w:hAnsi="Arial"/>
                <w:sz w:val="18"/>
                <w:szCs w:val="18"/>
                <w:color w:val="auto"/>
              </w:rPr>
              <w:t>casualty insurance products, since January 2023.</w:t>
            </w:r>
          </w:p>
        </w:tc>
      </w:tr>
      <w:tr>
        <w:trPr>
          <w:trHeight w:val="301"/>
        </w:trPr>
        <w:tc>
          <w:tcPr>
            <w:tcW w:w="2340" w:type="dxa"/>
            <w:vAlign w:val="bottom"/>
          </w:tcPr>
          <w:p>
            <w:pPr>
              <w:spacing w:after="0"/>
              <w:rPr>
                <w:sz w:val="24"/>
                <w:szCs w:val="24"/>
                <w:color w:val="auto"/>
              </w:rPr>
            </w:pPr>
          </w:p>
        </w:tc>
        <w:tc>
          <w:tcPr>
            <w:tcW w:w="5860" w:type="dxa"/>
            <w:vAlign w:val="bottom"/>
          </w:tcPr>
          <w:p>
            <w:pPr>
              <w:ind w:left="260"/>
              <w:spacing w:after="0"/>
              <w:rPr>
                <w:sz w:val="20"/>
                <w:szCs w:val="20"/>
                <w:color w:val="auto"/>
              </w:rPr>
            </w:pPr>
            <w:r>
              <w:rPr>
                <w:rFonts w:ascii="Arial" w:cs="Arial" w:eastAsia="Arial" w:hAnsi="Arial"/>
                <w:sz w:val="18"/>
                <w:szCs w:val="18"/>
                <w:color w:val="auto"/>
                <w:w w:val="99"/>
              </w:rPr>
              <w:t>Mr. Haga has over 25 years of experience in finance and investments,</w:t>
            </w:r>
          </w:p>
        </w:tc>
      </w:tr>
      <w:tr>
        <w:trPr>
          <w:trHeight w:val="216"/>
        </w:trPr>
        <w:tc>
          <w:tcPr>
            <w:tcW w:w="2340" w:type="dxa"/>
            <w:vAlign w:val="bottom"/>
          </w:tcPr>
          <w:p>
            <w:pPr>
              <w:spacing w:after="0"/>
              <w:rPr>
                <w:sz w:val="18"/>
                <w:szCs w:val="18"/>
                <w:color w:val="auto"/>
              </w:rPr>
            </w:pPr>
          </w:p>
        </w:tc>
        <w:tc>
          <w:tcPr>
            <w:tcW w:w="5860" w:type="dxa"/>
            <w:vAlign w:val="bottom"/>
          </w:tcPr>
          <w:p>
            <w:pPr>
              <w:ind w:left="260"/>
              <w:spacing w:after="0"/>
              <w:rPr>
                <w:sz w:val="20"/>
                <w:szCs w:val="20"/>
                <w:color w:val="auto"/>
              </w:rPr>
            </w:pPr>
            <w:r>
              <w:rPr>
                <w:rFonts w:ascii="Arial" w:cs="Arial" w:eastAsia="Arial" w:hAnsi="Arial"/>
                <w:sz w:val="18"/>
                <w:szCs w:val="18"/>
                <w:color w:val="auto"/>
              </w:rPr>
              <w:t>including over 20 years of managing risk in traded credit and private</w:t>
            </w:r>
          </w:p>
        </w:tc>
      </w:tr>
      <w:tr>
        <w:trPr>
          <w:trHeight w:val="216"/>
        </w:trPr>
        <w:tc>
          <w:tcPr>
            <w:tcW w:w="2340" w:type="dxa"/>
            <w:vAlign w:val="bottom"/>
          </w:tcPr>
          <w:p>
            <w:pPr>
              <w:spacing w:after="0"/>
              <w:rPr>
                <w:sz w:val="18"/>
                <w:szCs w:val="18"/>
                <w:color w:val="auto"/>
              </w:rPr>
            </w:pPr>
          </w:p>
        </w:tc>
        <w:tc>
          <w:tcPr>
            <w:tcW w:w="5860" w:type="dxa"/>
            <w:vAlign w:val="bottom"/>
          </w:tcPr>
          <w:p>
            <w:pPr>
              <w:ind w:left="260"/>
              <w:spacing w:after="0"/>
              <w:rPr>
                <w:sz w:val="20"/>
                <w:szCs w:val="20"/>
                <w:color w:val="auto"/>
              </w:rPr>
            </w:pPr>
            <w:r>
              <w:rPr>
                <w:rFonts w:ascii="Arial" w:cs="Arial" w:eastAsia="Arial" w:hAnsi="Arial"/>
                <w:sz w:val="18"/>
                <w:szCs w:val="18"/>
                <w:color w:val="auto"/>
              </w:rPr>
              <w:t>debt and equity. Mr. Haga served as a director for Fortress Value</w:t>
            </w:r>
          </w:p>
        </w:tc>
      </w:tr>
      <w:tr>
        <w:trPr>
          <w:trHeight w:val="216"/>
        </w:trPr>
        <w:tc>
          <w:tcPr>
            <w:tcW w:w="2340" w:type="dxa"/>
            <w:vAlign w:val="bottom"/>
          </w:tcPr>
          <w:p>
            <w:pPr>
              <w:spacing w:after="0"/>
              <w:rPr>
                <w:sz w:val="18"/>
                <w:szCs w:val="18"/>
                <w:color w:val="auto"/>
              </w:rPr>
            </w:pPr>
          </w:p>
        </w:tc>
        <w:tc>
          <w:tcPr>
            <w:tcW w:w="5860" w:type="dxa"/>
            <w:vAlign w:val="bottom"/>
          </w:tcPr>
          <w:p>
            <w:pPr>
              <w:ind w:left="260"/>
              <w:spacing w:after="0"/>
              <w:rPr>
                <w:sz w:val="20"/>
                <w:szCs w:val="20"/>
                <w:color w:val="auto"/>
              </w:rPr>
            </w:pPr>
            <w:r>
              <w:rPr>
                <w:rFonts w:ascii="Arial" w:cs="Arial" w:eastAsia="Arial" w:hAnsi="Arial"/>
                <w:sz w:val="18"/>
                <w:szCs w:val="18"/>
                <w:color w:val="auto"/>
              </w:rPr>
              <w:t>Acquisition  Corp.  III  (NYSE:  FVT),  a  special  purpose  acquisition</w:t>
            </w:r>
          </w:p>
        </w:tc>
      </w:tr>
      <w:tr>
        <w:trPr>
          <w:trHeight w:val="216"/>
        </w:trPr>
        <w:tc>
          <w:tcPr>
            <w:tcW w:w="2340" w:type="dxa"/>
            <w:vAlign w:val="bottom"/>
          </w:tcPr>
          <w:p>
            <w:pPr>
              <w:spacing w:after="0"/>
              <w:rPr>
                <w:sz w:val="18"/>
                <w:szCs w:val="18"/>
                <w:color w:val="auto"/>
              </w:rPr>
            </w:pPr>
          </w:p>
        </w:tc>
        <w:tc>
          <w:tcPr>
            <w:tcW w:w="5860" w:type="dxa"/>
            <w:vAlign w:val="bottom"/>
          </w:tcPr>
          <w:p>
            <w:pPr>
              <w:ind w:left="260"/>
              <w:spacing w:after="0"/>
              <w:rPr>
                <w:sz w:val="20"/>
                <w:szCs w:val="20"/>
                <w:color w:val="auto"/>
              </w:rPr>
            </w:pPr>
            <w:r>
              <w:rPr>
                <w:rFonts w:ascii="Arial" w:cs="Arial" w:eastAsia="Arial" w:hAnsi="Arial"/>
                <w:sz w:val="18"/>
                <w:szCs w:val="18"/>
                <w:color w:val="auto"/>
              </w:rPr>
              <w:t>company,  from  December  2021  to  November  2022.  In  addition,</w:t>
            </w:r>
          </w:p>
        </w:tc>
      </w:tr>
      <w:tr>
        <w:trPr>
          <w:trHeight w:val="216"/>
        </w:trPr>
        <w:tc>
          <w:tcPr>
            <w:tcW w:w="2340" w:type="dxa"/>
            <w:vAlign w:val="bottom"/>
          </w:tcPr>
          <w:p>
            <w:pPr>
              <w:spacing w:after="0"/>
              <w:rPr>
                <w:sz w:val="18"/>
                <w:szCs w:val="18"/>
                <w:color w:val="auto"/>
              </w:rPr>
            </w:pPr>
          </w:p>
        </w:tc>
        <w:tc>
          <w:tcPr>
            <w:tcW w:w="5860" w:type="dxa"/>
            <w:vAlign w:val="bottom"/>
          </w:tcPr>
          <w:p>
            <w:pPr>
              <w:ind w:left="260"/>
              <w:spacing w:after="0"/>
              <w:rPr>
                <w:sz w:val="20"/>
                <w:szCs w:val="20"/>
                <w:color w:val="auto"/>
              </w:rPr>
            </w:pPr>
            <w:r>
              <w:rPr>
                <w:rFonts w:ascii="Arial" w:cs="Arial" w:eastAsia="Arial" w:hAnsi="Arial"/>
                <w:sz w:val="18"/>
                <w:szCs w:val="18"/>
                <w:color w:val="auto"/>
              </w:rPr>
              <w:t>Mr. Haga served as Head of Strategic Investments with Carlson</w:t>
            </w:r>
          </w:p>
        </w:tc>
      </w:tr>
      <w:tr>
        <w:trPr>
          <w:trHeight w:val="216"/>
        </w:trPr>
        <w:tc>
          <w:tcPr>
            <w:tcW w:w="2340" w:type="dxa"/>
            <w:vAlign w:val="bottom"/>
          </w:tcPr>
          <w:p>
            <w:pPr>
              <w:spacing w:after="0"/>
              <w:rPr>
                <w:sz w:val="18"/>
                <w:szCs w:val="18"/>
                <w:color w:val="auto"/>
              </w:rPr>
            </w:pPr>
          </w:p>
        </w:tc>
        <w:tc>
          <w:tcPr>
            <w:tcW w:w="5860" w:type="dxa"/>
            <w:vAlign w:val="bottom"/>
          </w:tcPr>
          <w:p>
            <w:pPr>
              <w:ind w:left="260"/>
              <w:spacing w:after="0"/>
              <w:rPr>
                <w:sz w:val="20"/>
                <w:szCs w:val="20"/>
                <w:color w:val="auto"/>
              </w:rPr>
            </w:pPr>
            <w:r>
              <w:rPr>
                <w:rFonts w:ascii="Arial" w:cs="Arial" w:eastAsia="Arial" w:hAnsi="Arial"/>
                <w:sz w:val="18"/>
                <w:szCs w:val="18"/>
                <w:color w:val="auto"/>
                <w:w w:val="97"/>
              </w:rPr>
              <w:t>Capital, L.P., an alternative asset management firm, from 2003 to 2020.</w:t>
            </w:r>
          </w:p>
        </w:tc>
      </w:tr>
      <w:tr>
        <w:trPr>
          <w:trHeight w:val="216"/>
        </w:trPr>
        <w:tc>
          <w:tcPr>
            <w:tcW w:w="2340" w:type="dxa"/>
            <w:vAlign w:val="bottom"/>
          </w:tcPr>
          <w:p>
            <w:pPr>
              <w:spacing w:after="0"/>
              <w:rPr>
                <w:sz w:val="18"/>
                <w:szCs w:val="18"/>
                <w:color w:val="auto"/>
              </w:rPr>
            </w:pPr>
          </w:p>
        </w:tc>
        <w:tc>
          <w:tcPr>
            <w:tcW w:w="5860" w:type="dxa"/>
            <w:vAlign w:val="bottom"/>
          </w:tcPr>
          <w:p>
            <w:pPr>
              <w:ind w:left="260"/>
              <w:spacing w:after="0"/>
              <w:rPr>
                <w:sz w:val="20"/>
                <w:szCs w:val="20"/>
                <w:color w:val="auto"/>
              </w:rPr>
            </w:pPr>
            <w:r>
              <w:rPr>
                <w:rFonts w:ascii="Arial" w:cs="Arial" w:eastAsia="Arial" w:hAnsi="Arial"/>
                <w:sz w:val="18"/>
                <w:szCs w:val="18"/>
                <w:color w:val="auto"/>
              </w:rPr>
              <w:t>Mr. Haga has also served on a number of public and private company</w:t>
            </w:r>
          </w:p>
        </w:tc>
      </w:tr>
      <w:tr>
        <w:trPr>
          <w:trHeight w:val="216"/>
        </w:trPr>
        <w:tc>
          <w:tcPr>
            <w:tcW w:w="2340" w:type="dxa"/>
            <w:vAlign w:val="bottom"/>
          </w:tcPr>
          <w:p>
            <w:pPr>
              <w:spacing w:after="0"/>
              <w:rPr>
                <w:sz w:val="18"/>
                <w:szCs w:val="18"/>
                <w:color w:val="auto"/>
              </w:rPr>
            </w:pPr>
          </w:p>
        </w:tc>
        <w:tc>
          <w:tcPr>
            <w:tcW w:w="5860" w:type="dxa"/>
            <w:vAlign w:val="bottom"/>
          </w:tcPr>
          <w:p>
            <w:pPr>
              <w:ind w:left="260"/>
              <w:spacing w:after="0"/>
              <w:rPr>
                <w:sz w:val="20"/>
                <w:szCs w:val="20"/>
                <w:color w:val="auto"/>
              </w:rPr>
            </w:pPr>
            <w:r>
              <w:rPr>
                <w:rFonts w:ascii="Arial" w:cs="Arial" w:eastAsia="Arial" w:hAnsi="Arial"/>
                <w:sz w:val="18"/>
                <w:szCs w:val="18"/>
                <w:color w:val="auto"/>
              </w:rPr>
              <w:t>boards, including as chairman of the board of directors for Barbican</w:t>
            </w:r>
          </w:p>
        </w:tc>
      </w:tr>
      <w:tr>
        <w:trPr>
          <w:trHeight w:val="216"/>
        </w:trPr>
        <w:tc>
          <w:tcPr>
            <w:tcW w:w="2340" w:type="dxa"/>
            <w:vAlign w:val="bottom"/>
          </w:tcPr>
          <w:p>
            <w:pPr>
              <w:spacing w:after="0"/>
              <w:rPr>
                <w:sz w:val="18"/>
                <w:szCs w:val="18"/>
                <w:color w:val="auto"/>
              </w:rPr>
            </w:pPr>
          </w:p>
        </w:tc>
        <w:tc>
          <w:tcPr>
            <w:tcW w:w="5860" w:type="dxa"/>
            <w:vAlign w:val="bottom"/>
          </w:tcPr>
          <w:p>
            <w:pPr>
              <w:ind w:left="260"/>
              <w:spacing w:after="0"/>
              <w:rPr>
                <w:sz w:val="20"/>
                <w:szCs w:val="20"/>
                <w:color w:val="auto"/>
              </w:rPr>
            </w:pPr>
            <w:r>
              <w:rPr>
                <w:rFonts w:ascii="Arial" w:cs="Arial" w:eastAsia="Arial" w:hAnsi="Arial"/>
                <w:sz w:val="18"/>
                <w:szCs w:val="18"/>
                <w:color w:val="auto"/>
                <w:w w:val="98"/>
              </w:rPr>
              <w:t>Group Holdings Limited, a Lloyd’s-based reinsurance group, from 2007</w:t>
            </w:r>
          </w:p>
        </w:tc>
      </w:tr>
      <w:tr>
        <w:trPr>
          <w:trHeight w:val="216"/>
        </w:trPr>
        <w:tc>
          <w:tcPr>
            <w:tcW w:w="2340" w:type="dxa"/>
            <w:vAlign w:val="bottom"/>
          </w:tcPr>
          <w:p>
            <w:pPr>
              <w:spacing w:after="0"/>
              <w:rPr>
                <w:sz w:val="18"/>
                <w:szCs w:val="18"/>
                <w:color w:val="auto"/>
              </w:rPr>
            </w:pPr>
          </w:p>
        </w:tc>
        <w:tc>
          <w:tcPr>
            <w:tcW w:w="5860" w:type="dxa"/>
            <w:vAlign w:val="bottom"/>
          </w:tcPr>
          <w:p>
            <w:pPr>
              <w:ind w:left="260"/>
              <w:spacing w:after="0"/>
              <w:rPr>
                <w:sz w:val="20"/>
                <w:szCs w:val="20"/>
                <w:color w:val="auto"/>
              </w:rPr>
            </w:pPr>
            <w:r>
              <w:rPr>
                <w:rFonts w:ascii="Arial" w:cs="Arial" w:eastAsia="Arial" w:hAnsi="Arial"/>
                <w:sz w:val="18"/>
                <w:szCs w:val="18"/>
                <w:color w:val="auto"/>
                <w:w w:val="99"/>
              </w:rPr>
              <w:t>to 2019, and the board of SWK Holdings Corporation (OTC: SWKH), a</w:t>
            </w:r>
          </w:p>
        </w:tc>
      </w:tr>
      <w:tr>
        <w:trPr>
          <w:trHeight w:val="216"/>
        </w:trPr>
        <w:tc>
          <w:tcPr>
            <w:tcW w:w="2340" w:type="dxa"/>
            <w:vAlign w:val="bottom"/>
          </w:tcPr>
          <w:p>
            <w:pPr>
              <w:spacing w:after="0"/>
              <w:rPr>
                <w:sz w:val="18"/>
                <w:szCs w:val="18"/>
                <w:color w:val="auto"/>
              </w:rPr>
            </w:pPr>
          </w:p>
        </w:tc>
        <w:tc>
          <w:tcPr>
            <w:tcW w:w="5860" w:type="dxa"/>
            <w:vAlign w:val="bottom"/>
          </w:tcPr>
          <w:p>
            <w:pPr>
              <w:ind w:left="260"/>
              <w:spacing w:after="0"/>
              <w:rPr>
                <w:sz w:val="20"/>
                <w:szCs w:val="20"/>
                <w:color w:val="auto"/>
              </w:rPr>
            </w:pPr>
            <w:r>
              <w:rPr>
                <w:rFonts w:ascii="Arial" w:cs="Arial" w:eastAsia="Arial" w:hAnsi="Arial"/>
                <w:sz w:val="18"/>
                <w:szCs w:val="18"/>
                <w:color w:val="auto"/>
              </w:rPr>
              <w:t>public company, from 2014 to 2021. Prior to his tenure at Carlson, he</w:t>
            </w:r>
          </w:p>
        </w:tc>
      </w:tr>
      <w:tr>
        <w:trPr>
          <w:trHeight w:val="216"/>
        </w:trPr>
        <w:tc>
          <w:tcPr>
            <w:tcW w:w="2340" w:type="dxa"/>
            <w:vAlign w:val="bottom"/>
          </w:tcPr>
          <w:p>
            <w:pPr>
              <w:spacing w:after="0"/>
              <w:rPr>
                <w:sz w:val="18"/>
                <w:szCs w:val="18"/>
                <w:color w:val="auto"/>
              </w:rPr>
            </w:pPr>
          </w:p>
        </w:tc>
        <w:tc>
          <w:tcPr>
            <w:tcW w:w="5860" w:type="dxa"/>
            <w:vAlign w:val="bottom"/>
          </w:tcPr>
          <w:p>
            <w:pPr>
              <w:ind w:left="260"/>
              <w:spacing w:after="0"/>
              <w:rPr>
                <w:sz w:val="20"/>
                <w:szCs w:val="20"/>
                <w:color w:val="auto"/>
              </w:rPr>
            </w:pPr>
            <w:r>
              <w:rPr>
                <w:rFonts w:ascii="Arial" w:cs="Arial" w:eastAsia="Arial" w:hAnsi="Arial"/>
                <w:sz w:val="18"/>
                <w:szCs w:val="18"/>
                <w:color w:val="auto"/>
              </w:rPr>
              <w:t>spent five years in London with Lehman Brothers, primarily in the</w:t>
            </w:r>
          </w:p>
        </w:tc>
      </w:tr>
      <w:tr>
        <w:trPr>
          <w:trHeight w:val="216"/>
        </w:trPr>
        <w:tc>
          <w:tcPr>
            <w:tcW w:w="2340" w:type="dxa"/>
            <w:vAlign w:val="bottom"/>
          </w:tcPr>
          <w:p>
            <w:pPr>
              <w:spacing w:after="0"/>
              <w:rPr>
                <w:sz w:val="18"/>
                <w:szCs w:val="18"/>
                <w:color w:val="auto"/>
              </w:rPr>
            </w:pPr>
          </w:p>
        </w:tc>
        <w:tc>
          <w:tcPr>
            <w:tcW w:w="5860" w:type="dxa"/>
            <w:vAlign w:val="bottom"/>
          </w:tcPr>
          <w:p>
            <w:pPr>
              <w:ind w:left="260"/>
              <w:spacing w:after="0"/>
              <w:rPr>
                <w:sz w:val="20"/>
                <w:szCs w:val="20"/>
                <w:color w:val="auto"/>
              </w:rPr>
            </w:pPr>
            <w:r>
              <w:rPr>
                <w:rFonts w:ascii="Arial" w:cs="Arial" w:eastAsia="Arial" w:hAnsi="Arial"/>
                <w:sz w:val="18"/>
                <w:szCs w:val="18"/>
                <w:color w:val="auto"/>
                <w:w w:val="98"/>
              </w:rPr>
              <w:t>structured finance department. He has also been an investment banker</w:t>
            </w:r>
          </w:p>
        </w:tc>
      </w:tr>
      <w:tr>
        <w:trPr>
          <w:trHeight w:val="216"/>
        </w:trPr>
        <w:tc>
          <w:tcPr>
            <w:tcW w:w="2340" w:type="dxa"/>
            <w:vAlign w:val="bottom"/>
          </w:tcPr>
          <w:p>
            <w:pPr>
              <w:spacing w:after="0"/>
              <w:rPr>
                <w:sz w:val="18"/>
                <w:szCs w:val="18"/>
                <w:color w:val="auto"/>
              </w:rPr>
            </w:pPr>
          </w:p>
        </w:tc>
        <w:tc>
          <w:tcPr>
            <w:tcW w:w="5860" w:type="dxa"/>
            <w:vAlign w:val="bottom"/>
          </w:tcPr>
          <w:p>
            <w:pPr>
              <w:ind w:left="260"/>
              <w:spacing w:after="0"/>
              <w:rPr>
                <w:sz w:val="20"/>
                <w:szCs w:val="20"/>
                <w:color w:val="auto"/>
              </w:rPr>
            </w:pPr>
            <w:r>
              <w:rPr>
                <w:rFonts w:ascii="Arial" w:cs="Arial" w:eastAsia="Arial" w:hAnsi="Arial"/>
                <w:sz w:val="18"/>
                <w:szCs w:val="18"/>
                <w:color w:val="auto"/>
                <w:w w:val="98"/>
              </w:rPr>
              <w:t>or principal investor at RBC Capital Markets, Stephens &amp; Co. and Alex.</w:t>
            </w:r>
          </w:p>
        </w:tc>
      </w:tr>
      <w:tr>
        <w:trPr>
          <w:trHeight w:val="239"/>
        </w:trPr>
        <w:tc>
          <w:tcPr>
            <w:tcW w:w="2340" w:type="dxa"/>
            <w:vAlign w:val="bottom"/>
          </w:tcPr>
          <w:p>
            <w:pPr>
              <w:spacing w:after="0"/>
              <w:rPr>
                <w:sz w:val="20"/>
                <w:szCs w:val="20"/>
                <w:color w:val="auto"/>
              </w:rPr>
            </w:pPr>
          </w:p>
        </w:tc>
        <w:tc>
          <w:tcPr>
            <w:tcW w:w="5860" w:type="dxa"/>
            <w:vAlign w:val="bottom"/>
          </w:tcPr>
          <w:p>
            <w:pPr>
              <w:ind w:left="260"/>
              <w:spacing w:after="0"/>
              <w:rPr>
                <w:sz w:val="20"/>
                <w:szCs w:val="20"/>
                <w:color w:val="auto"/>
              </w:rPr>
            </w:pPr>
            <w:r>
              <w:rPr>
                <w:rFonts w:ascii="Arial" w:cs="Arial" w:eastAsia="Arial" w:hAnsi="Arial"/>
                <w:sz w:val="18"/>
                <w:szCs w:val="18"/>
                <w:color w:val="auto"/>
              </w:rPr>
              <w:t>Brown &amp; Sons.</w:t>
            </w:r>
          </w:p>
        </w:tc>
      </w:tr>
      <w:tr>
        <w:trPr>
          <w:trHeight w:val="301"/>
        </w:trPr>
        <w:tc>
          <w:tcPr>
            <w:tcW w:w="2340" w:type="dxa"/>
            <w:vAlign w:val="bottom"/>
          </w:tcPr>
          <w:p>
            <w:pPr>
              <w:spacing w:after="0"/>
              <w:rPr>
                <w:sz w:val="24"/>
                <w:szCs w:val="24"/>
                <w:color w:val="auto"/>
              </w:rPr>
            </w:pPr>
          </w:p>
        </w:tc>
        <w:tc>
          <w:tcPr>
            <w:tcW w:w="5860" w:type="dxa"/>
            <w:vAlign w:val="bottom"/>
          </w:tcPr>
          <w:p>
            <w:pPr>
              <w:ind w:left="260"/>
              <w:spacing w:after="0"/>
              <w:rPr>
                <w:sz w:val="20"/>
                <w:szCs w:val="20"/>
                <w:color w:val="auto"/>
              </w:rPr>
            </w:pPr>
            <w:r>
              <w:rPr>
                <w:rFonts w:ascii="Arial" w:cs="Arial" w:eastAsia="Arial" w:hAnsi="Arial"/>
                <w:sz w:val="18"/>
                <w:szCs w:val="18"/>
                <w:color w:val="auto"/>
                <w:w w:val="97"/>
              </w:rPr>
              <w:t>Mr. Haga is a graduate of the University of North Carolina at Chapel Hill</w:t>
            </w:r>
          </w:p>
        </w:tc>
      </w:tr>
      <w:tr>
        <w:trPr>
          <w:trHeight w:val="216"/>
        </w:trPr>
        <w:tc>
          <w:tcPr>
            <w:tcW w:w="2340" w:type="dxa"/>
            <w:vAlign w:val="bottom"/>
          </w:tcPr>
          <w:p>
            <w:pPr>
              <w:spacing w:after="0"/>
              <w:rPr>
                <w:sz w:val="18"/>
                <w:szCs w:val="18"/>
                <w:color w:val="auto"/>
              </w:rPr>
            </w:pPr>
          </w:p>
        </w:tc>
        <w:tc>
          <w:tcPr>
            <w:tcW w:w="5860" w:type="dxa"/>
            <w:vAlign w:val="bottom"/>
          </w:tcPr>
          <w:p>
            <w:pPr>
              <w:ind w:left="260"/>
              <w:spacing w:after="0"/>
              <w:rPr>
                <w:sz w:val="20"/>
                <w:szCs w:val="20"/>
                <w:color w:val="auto"/>
              </w:rPr>
            </w:pPr>
            <w:r>
              <w:rPr>
                <w:rFonts w:ascii="Arial" w:cs="Arial" w:eastAsia="Arial" w:hAnsi="Arial"/>
                <w:sz w:val="18"/>
                <w:szCs w:val="18"/>
                <w:color w:val="auto"/>
              </w:rPr>
              <w:t>with a B.S. in Business Administration, and also received an M.B.A.</w:t>
            </w:r>
          </w:p>
        </w:tc>
      </w:tr>
      <w:tr>
        <w:trPr>
          <w:trHeight w:val="239"/>
        </w:trPr>
        <w:tc>
          <w:tcPr>
            <w:tcW w:w="2340" w:type="dxa"/>
            <w:vAlign w:val="bottom"/>
          </w:tcPr>
          <w:p>
            <w:pPr>
              <w:spacing w:after="0"/>
              <w:rPr>
                <w:sz w:val="20"/>
                <w:szCs w:val="20"/>
                <w:color w:val="auto"/>
              </w:rPr>
            </w:pPr>
          </w:p>
        </w:tc>
        <w:tc>
          <w:tcPr>
            <w:tcW w:w="5860" w:type="dxa"/>
            <w:vAlign w:val="bottom"/>
          </w:tcPr>
          <w:p>
            <w:pPr>
              <w:ind w:left="260"/>
              <w:spacing w:after="0"/>
              <w:rPr>
                <w:sz w:val="20"/>
                <w:szCs w:val="20"/>
                <w:color w:val="auto"/>
              </w:rPr>
            </w:pPr>
            <w:r>
              <w:rPr>
                <w:rFonts w:ascii="Arial" w:cs="Arial" w:eastAsia="Arial" w:hAnsi="Arial"/>
                <w:sz w:val="18"/>
                <w:szCs w:val="18"/>
                <w:color w:val="auto"/>
              </w:rPr>
              <w:t>from the Darden School at the University of Virginia.</w:t>
            </w:r>
          </w:p>
        </w:tc>
      </w:tr>
      <w:tr>
        <w:trPr>
          <w:trHeight w:val="301"/>
        </w:trPr>
        <w:tc>
          <w:tcPr>
            <w:tcW w:w="2340" w:type="dxa"/>
            <w:vAlign w:val="bottom"/>
          </w:tcPr>
          <w:p>
            <w:pPr>
              <w:spacing w:after="0"/>
              <w:rPr>
                <w:sz w:val="24"/>
                <w:szCs w:val="24"/>
                <w:color w:val="auto"/>
              </w:rPr>
            </w:pPr>
          </w:p>
        </w:tc>
        <w:tc>
          <w:tcPr>
            <w:tcW w:w="5860" w:type="dxa"/>
            <w:vAlign w:val="bottom"/>
          </w:tcPr>
          <w:p>
            <w:pPr>
              <w:ind w:left="260"/>
              <w:spacing w:after="0"/>
              <w:rPr>
                <w:sz w:val="20"/>
                <w:szCs w:val="20"/>
                <w:color w:val="auto"/>
              </w:rPr>
            </w:pPr>
            <w:r>
              <w:rPr>
                <w:rFonts w:ascii="Arial" w:cs="Arial" w:eastAsia="Arial" w:hAnsi="Arial"/>
                <w:sz w:val="18"/>
                <w:szCs w:val="18"/>
                <w:color w:val="auto"/>
              </w:rPr>
              <w:t>Mr. Haga is a member of the Audit and Governance Committees and</w:t>
            </w:r>
          </w:p>
        </w:tc>
      </w:tr>
      <w:tr>
        <w:trPr>
          <w:trHeight w:val="239"/>
        </w:trPr>
        <w:tc>
          <w:tcPr>
            <w:tcW w:w="2340" w:type="dxa"/>
            <w:vAlign w:val="bottom"/>
          </w:tcPr>
          <w:p>
            <w:pPr>
              <w:spacing w:after="0"/>
              <w:rPr>
                <w:sz w:val="20"/>
                <w:szCs w:val="20"/>
                <w:color w:val="auto"/>
              </w:rPr>
            </w:pPr>
          </w:p>
        </w:tc>
        <w:tc>
          <w:tcPr>
            <w:tcW w:w="5860" w:type="dxa"/>
            <w:vAlign w:val="bottom"/>
          </w:tcPr>
          <w:p>
            <w:pPr>
              <w:ind w:left="260"/>
              <w:spacing w:after="0"/>
              <w:rPr>
                <w:sz w:val="20"/>
                <w:szCs w:val="20"/>
                <w:color w:val="auto"/>
              </w:rPr>
            </w:pPr>
            <w:r>
              <w:rPr>
                <w:rFonts w:ascii="Arial" w:cs="Arial" w:eastAsia="Arial" w:hAnsi="Arial"/>
                <w:sz w:val="18"/>
                <w:szCs w:val="18"/>
                <w:color w:val="auto"/>
              </w:rPr>
              <w:t>member and chairman of the Compensation Committee.</w:t>
            </w:r>
          </w:p>
        </w:tc>
      </w:tr>
    </w:tbl>
    <w:p>
      <w:pPr>
        <w:spacing w:after="0" w:line="31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There are no family relationships among our directors or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DIRECTOR COMPENSATION FOR 2025</w:t>
      </w:r>
    </w:p>
    <w:p>
      <w:pPr>
        <w:spacing w:after="0" w:line="158" w:lineRule="exact"/>
        <w:rPr>
          <w:sz w:val="20"/>
          <w:szCs w:val="20"/>
          <w:color w:val="auto"/>
        </w:rPr>
      </w:pPr>
    </w:p>
    <w:p>
      <w:pPr>
        <w:ind w:left="1260" w:right="419"/>
        <w:spacing w:after="0" w:line="287" w:lineRule="auto"/>
        <w:rPr>
          <w:sz w:val="20"/>
          <w:szCs w:val="20"/>
          <w:color w:val="auto"/>
        </w:rPr>
      </w:pPr>
      <w:r>
        <w:rPr>
          <w:rFonts w:ascii="Arial" w:cs="Arial" w:eastAsia="Arial" w:hAnsi="Arial"/>
          <w:sz w:val="18"/>
          <w:szCs w:val="18"/>
          <w:color w:val="auto"/>
        </w:rPr>
        <w:t>The following table shows the annual compensation paid to non-employee directors for services performed in the fiscal year ended December 31, 2025:</w:t>
      </w:r>
    </w:p>
    <w:p>
      <w:pPr>
        <w:spacing w:after="0" w:line="12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4"/>
          </w:tcPr>
          <w:p>
            <w:pPr>
              <w:jc w:val="center"/>
              <w:spacing w:after="0"/>
              <w:rPr>
                <w:sz w:val="20"/>
                <w:szCs w:val="20"/>
                <w:color w:val="auto"/>
              </w:rPr>
            </w:pPr>
            <w:r>
              <w:rPr>
                <w:rFonts w:ascii="Arial" w:cs="Arial" w:eastAsia="Arial" w:hAnsi="Arial"/>
                <w:sz w:val="14"/>
                <w:szCs w:val="14"/>
                <w:b w:val="1"/>
                <w:bCs w:val="1"/>
                <w:color w:val="auto"/>
              </w:rPr>
              <w:t>Fees Earned or</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Stock</w:t>
            </w:r>
          </w:p>
        </w:tc>
        <w:tc>
          <w:tcPr>
            <w:tcW w:w="760" w:type="dxa"/>
            <w:vAlign w:val="bottom"/>
          </w:tcPr>
          <w:p>
            <w:pPr>
              <w:spacing w:after="0"/>
              <w:rPr>
                <w:sz w:val="14"/>
                <w:szCs w:val="14"/>
                <w:color w:val="auto"/>
              </w:rPr>
            </w:pPr>
          </w:p>
        </w:tc>
      </w:tr>
      <w:tr>
        <w:trPr>
          <w:trHeight w:val="162"/>
        </w:trPr>
        <w:tc>
          <w:tcPr>
            <w:tcW w:w="19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4"/>
          </w:tcPr>
          <w:p>
            <w:pPr>
              <w:jc w:val="center"/>
              <w:spacing w:after="0"/>
              <w:rPr>
                <w:sz w:val="20"/>
                <w:szCs w:val="20"/>
                <w:color w:val="auto"/>
              </w:rPr>
            </w:pPr>
            <w:r>
              <w:rPr>
                <w:rFonts w:ascii="Arial" w:cs="Arial" w:eastAsia="Arial" w:hAnsi="Arial"/>
                <w:sz w:val="14"/>
                <w:szCs w:val="14"/>
                <w:b w:val="1"/>
                <w:bCs w:val="1"/>
                <w:color w:val="auto"/>
              </w:rPr>
              <w:t>Paid in Cash</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Awards</w:t>
            </w:r>
          </w:p>
        </w:tc>
        <w:tc>
          <w:tcPr>
            <w:tcW w:w="760" w:type="dxa"/>
            <w:vAlign w:val="bottom"/>
          </w:tcPr>
          <w:p>
            <w:pPr>
              <w:spacing w:after="0"/>
              <w:rPr>
                <w:sz w:val="14"/>
                <w:szCs w:val="14"/>
                <w:color w:val="auto"/>
              </w:rPr>
            </w:pPr>
          </w:p>
        </w:tc>
      </w:tr>
      <w:tr>
        <w:trPr>
          <w:trHeight w:val="198"/>
        </w:trPr>
        <w:tc>
          <w:tcPr>
            <w:tcW w:w="49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NAME</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83"/>
              </w:rPr>
              <w:t>($)</w:t>
            </w:r>
            <w:r>
              <w:rPr>
                <w:rFonts w:ascii="Arial" w:cs="Arial" w:eastAsia="Arial" w:hAnsi="Arial"/>
                <w:sz w:val="17"/>
                <w:szCs w:val="17"/>
                <w:b w:val="1"/>
                <w:bCs w:val="1"/>
                <w:color w:val="auto"/>
                <w:w w:val="83"/>
                <w:vertAlign w:val="superscript"/>
              </w:rPr>
              <w:t>(1)</w:t>
            </w:r>
          </w:p>
        </w:tc>
        <w:tc>
          <w:tcPr>
            <w:tcW w:w="1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0"/>
              </w:rPr>
              <w:t>($)</w:t>
            </w:r>
            <w:r>
              <w:rPr>
                <w:rFonts w:ascii="Arial" w:cs="Arial" w:eastAsia="Arial" w:hAnsi="Arial"/>
                <w:sz w:val="17"/>
                <w:szCs w:val="17"/>
                <w:b w:val="1"/>
                <w:bCs w:val="1"/>
                <w:color w:val="auto"/>
                <w:w w:val="90"/>
                <w:vertAlign w:val="superscript"/>
              </w:rPr>
              <w:t>(2)</w:t>
            </w:r>
          </w:p>
        </w:tc>
        <w:tc>
          <w:tcPr>
            <w:tcW w:w="24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Total ($)</w:t>
            </w:r>
          </w:p>
        </w:tc>
      </w:tr>
      <w:tr>
        <w:trPr>
          <w:trHeight w:val="250"/>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George R. Brokaw</w:t>
            </w:r>
          </w:p>
        </w:tc>
        <w:tc>
          <w:tcPr>
            <w:tcW w:w="200" w:type="dxa"/>
            <w:vAlign w:val="bottom"/>
            <w:shd w:val="clear" w:color="auto" w:fill="CCEEFF"/>
          </w:tcPr>
          <w:p>
            <w:pPr>
              <w:spacing w:after="0"/>
              <w:rPr>
                <w:sz w:val="21"/>
                <w:szCs w:val="21"/>
                <w:color w:val="auto"/>
              </w:rPr>
            </w:pP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79,985</w:t>
            </w:r>
          </w:p>
        </w:tc>
        <w:tc>
          <w:tcPr>
            <w:tcW w:w="26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62,483</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​$142,468</w:t>
            </w:r>
          </w:p>
        </w:tc>
      </w:tr>
      <w:tr>
        <w:trPr>
          <w:trHeight w:val="257"/>
        </w:trPr>
        <w:tc>
          <w:tcPr>
            <w:tcW w:w="4920" w:type="dxa"/>
            <w:vAlign w:val="bottom"/>
            <w:gridSpan w:val="2"/>
          </w:tcPr>
          <w:p>
            <w:pPr>
              <w:spacing w:after="0"/>
              <w:rPr>
                <w:sz w:val="20"/>
                <w:szCs w:val="20"/>
                <w:color w:val="auto"/>
              </w:rPr>
            </w:pPr>
            <w:r>
              <w:rPr>
                <w:rFonts w:ascii="Arial" w:cs="Arial" w:eastAsia="Arial" w:hAnsi="Arial"/>
                <w:sz w:val="18"/>
                <w:szCs w:val="18"/>
                <w:color w:val="auto"/>
              </w:rPr>
              <w:t>Christopher J. Drew</w:t>
            </w:r>
          </w:p>
        </w:tc>
        <w:tc>
          <w:tcPr>
            <w:tcW w:w="200" w:type="dxa"/>
            <w:vAlign w:val="bottom"/>
          </w:tcPr>
          <w:p>
            <w:pPr>
              <w:spacing w:after="0"/>
              <w:rPr>
                <w:sz w:val="22"/>
                <w:szCs w:val="22"/>
                <w:color w:val="auto"/>
              </w:rPr>
            </w:pPr>
          </w:p>
        </w:tc>
        <w:tc>
          <w:tcPr>
            <w:tcW w:w="3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64,977</w:t>
            </w:r>
          </w:p>
        </w:tc>
        <w:tc>
          <w:tcPr>
            <w:tcW w:w="2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62,483</w:t>
            </w:r>
          </w:p>
        </w:tc>
        <w:tc>
          <w:tcPr>
            <w:tcW w:w="760" w:type="dxa"/>
            <w:vAlign w:val="bottom"/>
          </w:tcPr>
          <w:p>
            <w:pPr>
              <w:jc w:val="center"/>
              <w:spacing w:after="0"/>
              <w:rPr>
                <w:sz w:val="20"/>
                <w:szCs w:val="20"/>
                <w:color w:val="auto"/>
              </w:rPr>
            </w:pPr>
            <w:r>
              <w:rPr>
                <w:rFonts w:ascii="Arial" w:cs="Arial" w:eastAsia="Arial" w:hAnsi="Arial"/>
                <w:sz w:val="18"/>
                <w:szCs w:val="18"/>
                <w:color w:val="auto"/>
              </w:rPr>
              <w:t>​$127,460</w:t>
            </w:r>
          </w:p>
        </w:tc>
      </w:tr>
      <w:tr>
        <w:trPr>
          <w:trHeight w:val="256"/>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Laura M. Franklin</w:t>
            </w:r>
          </w:p>
        </w:tc>
        <w:tc>
          <w:tcPr>
            <w:tcW w:w="200" w:type="dxa"/>
            <w:vAlign w:val="bottom"/>
            <w:shd w:val="clear" w:color="auto" w:fill="CCEEFF"/>
          </w:tcPr>
          <w:p>
            <w:pPr>
              <w:spacing w:after="0"/>
              <w:rPr>
                <w:sz w:val="22"/>
                <w:szCs w:val="22"/>
                <w:color w:val="auto"/>
              </w:rPr>
            </w:pPr>
          </w:p>
        </w:tc>
        <w:tc>
          <w:tcPr>
            <w:tcW w:w="10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​$147,468</w:t>
            </w:r>
          </w:p>
        </w:tc>
        <w:tc>
          <w:tcPr>
            <w:tcW w:w="26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62,483</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​$209,951</w:t>
            </w:r>
          </w:p>
        </w:tc>
      </w:tr>
      <w:tr>
        <w:trPr>
          <w:trHeight w:val="257"/>
        </w:trPr>
        <w:tc>
          <w:tcPr>
            <w:tcW w:w="4920" w:type="dxa"/>
            <w:vAlign w:val="bottom"/>
            <w:gridSpan w:val="2"/>
          </w:tcPr>
          <w:p>
            <w:pPr>
              <w:spacing w:after="0"/>
              <w:rPr>
                <w:sz w:val="20"/>
                <w:szCs w:val="20"/>
                <w:color w:val="auto"/>
              </w:rPr>
            </w:pPr>
            <w:r>
              <w:rPr>
                <w:rFonts w:ascii="Arial" w:cs="Arial" w:eastAsia="Arial" w:hAnsi="Arial"/>
                <w:sz w:val="18"/>
                <w:szCs w:val="18"/>
                <w:color w:val="auto"/>
              </w:rPr>
              <w:t>R. Blakeslee Gable</w:t>
            </w:r>
          </w:p>
        </w:tc>
        <w:tc>
          <w:tcPr>
            <w:tcW w:w="200" w:type="dxa"/>
            <w:vAlign w:val="bottom"/>
          </w:tcPr>
          <w:p>
            <w:pPr>
              <w:spacing w:after="0"/>
              <w:rPr>
                <w:sz w:val="22"/>
                <w:szCs w:val="22"/>
                <w:color w:val="auto"/>
              </w:rPr>
            </w:pPr>
          </w:p>
        </w:tc>
        <w:tc>
          <w:tcPr>
            <w:tcW w:w="3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76,216</w:t>
            </w:r>
          </w:p>
        </w:tc>
        <w:tc>
          <w:tcPr>
            <w:tcW w:w="2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62,483</w:t>
            </w:r>
          </w:p>
        </w:tc>
        <w:tc>
          <w:tcPr>
            <w:tcW w:w="760" w:type="dxa"/>
            <w:vAlign w:val="bottom"/>
          </w:tcPr>
          <w:p>
            <w:pPr>
              <w:jc w:val="center"/>
              <w:spacing w:after="0"/>
              <w:rPr>
                <w:sz w:val="20"/>
                <w:szCs w:val="20"/>
                <w:color w:val="auto"/>
              </w:rPr>
            </w:pPr>
            <w:r>
              <w:rPr>
                <w:rFonts w:ascii="Arial" w:cs="Arial" w:eastAsia="Arial" w:hAnsi="Arial"/>
                <w:sz w:val="18"/>
                <w:szCs w:val="18"/>
                <w:color w:val="auto"/>
              </w:rPr>
              <w:t>​$138,699</w:t>
            </w:r>
          </w:p>
        </w:tc>
      </w:tr>
      <w:tr>
        <w:trPr>
          <w:trHeight w:val="270"/>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Christopher W. Haga</w:t>
            </w:r>
          </w:p>
        </w:tc>
        <w:tc>
          <w:tcPr>
            <w:tcW w:w="200" w:type="dxa"/>
            <w:vAlign w:val="bottom"/>
            <w:shd w:val="clear" w:color="auto" w:fill="CCEEFF"/>
          </w:tcPr>
          <w:p>
            <w:pPr>
              <w:spacing w:after="0"/>
              <w:rPr>
                <w:sz w:val="23"/>
                <w:szCs w:val="23"/>
                <w:color w:val="auto"/>
              </w:rPr>
            </w:pPr>
          </w:p>
        </w:tc>
        <w:tc>
          <w:tcPr>
            <w:tcW w:w="320" w:type="dxa"/>
            <w:vAlign w:val="bottom"/>
            <w:gridSpan w:val="2"/>
            <w:shd w:val="clear" w:color="auto" w:fill="CCEEFF"/>
          </w:tcPr>
          <w:p>
            <w:pPr>
              <w:ind w:left="160"/>
              <w:spacing w:after="0" w:line="269" w:lineRule="exact"/>
              <w:rPr>
                <w:sz w:val="20"/>
                <w:szCs w:val="20"/>
                <w:color w:val="auto"/>
              </w:rPr>
            </w:pPr>
            <w:r>
              <w:rPr>
                <w:rFonts w:ascii="Arial" w:cs="Arial" w:eastAsia="Arial" w:hAnsi="Arial"/>
                <w:sz w:val="17"/>
                <w:szCs w:val="17"/>
                <w:color w:val="auto"/>
              </w:rPr>
              <w:t>​</w:t>
            </w:r>
            <w:r>
              <w:rPr>
                <w:rFonts w:ascii="Arial" w:cs="Arial" w:eastAsia="Arial" w:hAnsi="Arial"/>
                <w:sz w:val="31"/>
                <w:szCs w:val="31"/>
                <w:color w:val="auto"/>
                <w:vertAlign w:val="superscript"/>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83,722</w:t>
            </w:r>
          </w:p>
        </w:tc>
        <w:tc>
          <w:tcPr>
            <w:tcW w:w="26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line="269" w:lineRule="exact"/>
              <w:rPr>
                <w:sz w:val="20"/>
                <w:szCs w:val="20"/>
                <w:color w:val="auto"/>
              </w:rPr>
            </w:pPr>
            <w:r>
              <w:rPr>
                <w:rFonts w:ascii="Arial" w:cs="Arial" w:eastAsia="Arial" w:hAnsi="Arial"/>
                <w:sz w:val="17"/>
                <w:szCs w:val="17"/>
                <w:color w:val="auto"/>
              </w:rPr>
              <w:t>​</w:t>
            </w:r>
            <w:r>
              <w:rPr>
                <w:rFonts w:ascii="Arial" w:cs="Arial" w:eastAsia="Arial" w:hAnsi="Arial"/>
                <w:sz w:val="31"/>
                <w:szCs w:val="31"/>
                <w:color w:val="auto"/>
                <w:vertAlign w:val="superscript"/>
              </w:rPr>
              <w:t>$</w:t>
            </w:r>
          </w:p>
        </w:tc>
        <w:tc>
          <w:tcPr>
            <w:tcW w:w="8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62,483</w:t>
            </w:r>
          </w:p>
        </w:tc>
        <w:tc>
          <w:tcPr>
            <w:tcW w:w="760" w:type="dxa"/>
            <w:vAlign w:val="bottom"/>
            <w:shd w:val="clear" w:color="auto" w:fill="CCEEFF"/>
          </w:tcPr>
          <w:p>
            <w:pPr>
              <w:jc w:val="center"/>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u w:val="single" w:color="auto"/>
                <w:color w:val="auto"/>
              </w:rPr>
              <w:t>$</w:t>
            </w:r>
            <w:r>
              <w:rPr>
                <w:rFonts w:ascii="Arial" w:cs="Arial" w:eastAsia="Arial" w:hAnsi="Arial"/>
                <w:sz w:val="17"/>
                <w:szCs w:val="17"/>
                <w:color w:val="auto"/>
              </w:rPr>
              <w:t>146,205</w:t>
            </w:r>
          </w:p>
        </w:tc>
      </w:tr>
      <w:tr>
        <w:trPr>
          <w:trHeight w:val="20"/>
        </w:trPr>
        <w:tc>
          <w:tcPr>
            <w:tcW w:w="1940" w:type="dxa"/>
            <w:vAlign w:val="bottom"/>
            <w:shd w:val="clear" w:color="auto" w:fill="CCEEFF"/>
          </w:tcPr>
          <w:p>
            <w:pPr>
              <w:spacing w:after="0" w:line="20" w:lineRule="exact"/>
              <w:rPr>
                <w:sz w:val="1"/>
                <w:szCs w:val="1"/>
                <w:color w:val="auto"/>
              </w:rPr>
            </w:pPr>
          </w:p>
        </w:tc>
        <w:tc>
          <w:tcPr>
            <w:tcW w:w="29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63"/>
        </w:trPr>
        <w:tc>
          <w:tcPr>
            <w:tcW w:w="4920" w:type="dxa"/>
            <w:vAlign w:val="bottom"/>
            <w:gridSpan w:val="2"/>
          </w:tcPr>
          <w:p>
            <w:pPr>
              <w:spacing w:after="0"/>
              <w:rPr>
                <w:sz w:val="20"/>
                <w:szCs w:val="20"/>
                <w:color w:val="auto"/>
              </w:rPr>
            </w:pPr>
            <w:r>
              <w:rPr>
                <w:rFonts w:ascii="Arial" w:cs="Arial" w:eastAsia="Arial" w:hAnsi="Arial"/>
                <w:sz w:val="18"/>
                <w:szCs w:val="18"/>
                <w:b w:val="1"/>
                <w:bCs w:val="1"/>
                <w:color w:val="auto"/>
              </w:rPr>
              <w:t>Total 2025 Director Compensation</w:t>
            </w:r>
          </w:p>
        </w:tc>
        <w:tc>
          <w:tcPr>
            <w:tcW w:w="200" w:type="dxa"/>
            <w:vAlign w:val="bottom"/>
          </w:tcPr>
          <w:p>
            <w:pPr>
              <w:spacing w:after="0"/>
              <w:rPr>
                <w:sz w:val="22"/>
                <w:szCs w:val="22"/>
                <w:color w:val="auto"/>
              </w:rPr>
            </w:pPr>
          </w:p>
        </w:tc>
        <w:tc>
          <w:tcPr>
            <w:tcW w:w="1060" w:type="dxa"/>
            <w:vAlign w:val="bottom"/>
            <w:gridSpan w:val="4"/>
          </w:tcPr>
          <w:p>
            <w:pPr>
              <w:jc w:val="right"/>
              <w:ind w:right="1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b w:val="1"/>
                <w:bCs w:val="1"/>
                <w:u w:val="single" w:color="auto"/>
                <w:color w:val="auto"/>
              </w:rPr>
              <w:t>$</w:t>
            </w:r>
            <w:r>
              <w:rPr>
                <w:rFonts w:ascii="Arial" w:cs="Arial" w:eastAsia="Arial" w:hAnsi="Arial"/>
                <w:sz w:val="15"/>
                <w:szCs w:val="15"/>
                <w:b w:val="1"/>
                <w:bCs w:val="1"/>
                <w:color w:val="auto"/>
              </w:rPr>
              <w:t>452,368</w:t>
            </w:r>
          </w:p>
        </w:tc>
        <w:tc>
          <w:tcPr>
            <w:tcW w:w="2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2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b w:val="1"/>
                <w:bCs w:val="1"/>
                <w:u w:val="single" w:color="auto"/>
                <w:color w:val="auto"/>
              </w:rPr>
              <w:t>$</w:t>
            </w:r>
            <w:r>
              <w:rPr>
                <w:rFonts w:ascii="Arial" w:cs="Arial" w:eastAsia="Arial" w:hAnsi="Arial"/>
                <w:sz w:val="15"/>
                <w:szCs w:val="15"/>
                <w:b w:val="1"/>
                <w:bCs w:val="1"/>
                <w:color w:val="auto"/>
              </w:rPr>
              <w:t>312,415</w:t>
            </w:r>
          </w:p>
        </w:tc>
        <w:tc>
          <w:tcPr>
            <w:tcW w:w="760" w:type="dxa"/>
            <w:vAlign w:val="bottom"/>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b w:val="1"/>
                <w:bCs w:val="1"/>
                <w:u w:val="single" w:color="auto"/>
                <w:color w:val="auto"/>
              </w:rPr>
              <w:t>$</w:t>
            </w:r>
            <w:r>
              <w:rPr>
                <w:rFonts w:ascii="Arial" w:cs="Arial" w:eastAsia="Arial" w:hAnsi="Arial"/>
                <w:sz w:val="15"/>
                <w:szCs w:val="15"/>
                <w:b w:val="1"/>
                <w:bCs w:val="1"/>
                <w:color w:val="auto"/>
              </w:rPr>
              <w:t>764,783</w:t>
            </w:r>
          </w:p>
        </w:tc>
      </w:tr>
      <w:tr>
        <w:trPr>
          <w:trHeight w:val="21"/>
        </w:trPr>
        <w:tc>
          <w:tcPr>
            <w:tcW w:w="19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r>
        <w:trPr>
          <w:trHeight w:val="102"/>
        </w:trPr>
        <w:tc>
          <w:tcPr>
            <w:tcW w:w="1940" w:type="dxa"/>
            <w:vAlign w:val="bottom"/>
            <w:tcBorders>
              <w:bottom w:val="single" w:sz="8" w:color="auto"/>
            </w:tcBorders>
          </w:tcPr>
          <w:p>
            <w:pPr>
              <w:spacing w:after="0"/>
              <w:rPr>
                <w:sz w:val="8"/>
                <w:szCs w:val="8"/>
                <w:color w:val="auto"/>
              </w:rPr>
            </w:pPr>
          </w:p>
        </w:tc>
        <w:tc>
          <w:tcPr>
            <w:tcW w:w="2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5377815</wp:posOffset>
            </wp:positionH>
            <wp:positionV relativeFrom="paragraph">
              <wp:posOffset>-1122045</wp:posOffset>
            </wp:positionV>
            <wp:extent cx="1371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4743450</wp:posOffset>
            </wp:positionH>
            <wp:positionV relativeFrom="paragraph">
              <wp:posOffset>-1122045</wp:posOffset>
            </wp:positionV>
            <wp:extent cx="1371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3920490</wp:posOffset>
            </wp:positionH>
            <wp:positionV relativeFrom="paragraph">
              <wp:posOffset>-1122045</wp:posOffset>
            </wp:positionV>
            <wp:extent cx="1371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19" w:lineRule="exact"/>
        <w:rPr>
          <w:sz w:val="20"/>
          <w:szCs w:val="20"/>
          <w:color w:val="auto"/>
        </w:rPr>
      </w:pPr>
    </w:p>
    <w:p>
      <w:pPr>
        <w:jc w:val="both"/>
        <w:ind w:left="1620" w:right="419" w:hanging="360"/>
        <w:spacing w:after="0" w:line="274" w:lineRule="auto"/>
        <w:tabs>
          <w:tab w:leader="none" w:pos="16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For 2025, Ms. Franklin and Messrs. Drew, Gable and Haga elected to receive their annual $50,000 cash retainer payment and their cash retainer fees for committee service in common stock of the Company, and Mr. Brokaw elected to receive such payments and fees in common stock of the Company for the first half of 2025, which resulted in such directors being awarded the following amounts of fully vested, unrestricted shares in lieu of cash: Ms. Franklin: 2,796; Mr. Brokaw: 2,158; Mr. Drew: 3,636; Mr. Gable: 4,265; Mr. Haga: 4,686. See below under “Stock Compensation” for the methodology used to calculate the number of shares of common stock awarded to each director.</w:t>
      </w:r>
    </w:p>
    <w:p>
      <w:pPr>
        <w:spacing w:after="0" w:line="44" w:lineRule="exact"/>
        <w:rPr>
          <w:rFonts w:ascii="Arial" w:cs="Arial" w:eastAsia="Arial" w:hAnsi="Arial"/>
          <w:sz w:val="14"/>
          <w:szCs w:val="14"/>
          <w:color w:val="auto"/>
        </w:rPr>
      </w:pPr>
    </w:p>
    <w:p>
      <w:pPr>
        <w:jc w:val="both"/>
        <w:ind w:left="1620" w:right="419" w:hanging="360"/>
        <w:spacing w:after="0" w:line="275" w:lineRule="auto"/>
        <w:tabs>
          <w:tab w:leader="none" w:pos="16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amounts included in this column reflect the aggregate grant date fair value of restricted stock granted to non-employee directors during 2025, computed in accordance with Financial Accounting Standards Board Accounting Standards Codification Topic 718 (“FASB ASC 718”), disregarding the estimate of forfeitures. See below under “Stock Compensation” for the methodology used to calculate the number of shares awarded to each non-employee director. The restricted stock granted to our non-employee directors vests immediately when granted, and the disposition thereof is prohibited until the recipient’s service as a Company director has concluded. As of December 31, 2025, none of our non-employee directors held unvested shares.</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Non-Employee Director Compensation</w:t>
      </w:r>
    </w:p>
    <w:p>
      <w:pPr>
        <w:spacing w:after="0" w:line="158" w:lineRule="exact"/>
        <w:rPr>
          <w:sz w:val="20"/>
          <w:szCs w:val="20"/>
          <w:color w:val="auto"/>
        </w:rPr>
      </w:pPr>
    </w:p>
    <w:p>
      <w:pPr>
        <w:jc w:val="both"/>
        <w:ind w:left="1260" w:right="419"/>
        <w:spacing w:after="0" w:line="259" w:lineRule="auto"/>
        <w:rPr>
          <w:sz w:val="20"/>
          <w:szCs w:val="20"/>
          <w:color w:val="auto"/>
        </w:rPr>
      </w:pPr>
      <w:r>
        <w:rPr>
          <w:rFonts w:ascii="Arial" w:cs="Arial" w:eastAsia="Arial" w:hAnsi="Arial"/>
          <w:sz w:val="18"/>
          <w:szCs w:val="18"/>
          <w:color w:val="auto"/>
        </w:rPr>
        <w:t>The Compensation Committee of the Board of Directors (the “Compensation Committee”), with assistance from its independent compensation consultant, oversees director compensation and reviews the appropriateness of our non-employee directors’ compensation on an annual basis. Our director compensation program consists of both cash and equity compensation components to align the interests of our directors with our stockholders.</w:t>
      </w:r>
    </w:p>
    <w:p>
      <w:pPr>
        <w:spacing w:after="0" w:line="112" w:lineRule="exact"/>
        <w:rPr>
          <w:sz w:val="20"/>
          <w:szCs w:val="20"/>
          <w:color w:val="auto"/>
        </w:rPr>
      </w:pPr>
    </w:p>
    <w:p>
      <w:pPr>
        <w:jc w:val="both"/>
        <w:ind w:left="1260" w:right="419"/>
        <w:spacing w:after="0" w:line="278" w:lineRule="auto"/>
        <w:rPr>
          <w:sz w:val="20"/>
          <w:szCs w:val="20"/>
          <w:color w:val="auto"/>
        </w:rPr>
      </w:pPr>
      <w:r>
        <w:rPr>
          <w:rFonts w:ascii="Arial" w:cs="Arial" w:eastAsia="Arial" w:hAnsi="Arial"/>
          <w:sz w:val="17"/>
          <w:szCs w:val="17"/>
          <w:color w:val="auto"/>
        </w:rPr>
        <w:t>It is our policy that our employee-directors do not receive compensation for their service as members of our Board of Directors. As an employee of the Company, Mr. Albright, our President and Chief Executive Officer (“CEO”), did not receive any compensation for serving as a director and is not a member of any committee of the Board. Therefore, he is omitted from the Director Compensation for 2025 table above and his compensation as CEO is reported within the Summary Compensation Table below.</w:t>
      </w:r>
    </w:p>
    <w:p>
      <w:pPr>
        <w:spacing w:after="0" w:line="83" w:lineRule="exact"/>
        <w:rPr>
          <w:sz w:val="20"/>
          <w:szCs w:val="20"/>
          <w:color w:val="auto"/>
        </w:rPr>
      </w:pPr>
    </w:p>
    <w:p>
      <w:pPr>
        <w:jc w:val="both"/>
        <w:ind w:left="1260" w:right="419"/>
        <w:spacing w:after="0" w:line="287" w:lineRule="auto"/>
        <w:rPr>
          <w:sz w:val="20"/>
          <w:szCs w:val="20"/>
          <w:color w:val="auto"/>
        </w:rPr>
      </w:pPr>
      <w:r>
        <w:rPr>
          <w:rFonts w:ascii="Arial" w:cs="Arial" w:eastAsia="Arial" w:hAnsi="Arial"/>
          <w:sz w:val="18"/>
          <w:szCs w:val="18"/>
          <w:color w:val="auto"/>
        </w:rPr>
        <w:t>A copy of our current Non-Employee Director Compensation Policy is available in the Governance section of our website (www.ctoreit.com).</w:t>
      </w:r>
    </w:p>
    <w:p>
      <w:pPr>
        <w:spacing w:after="0" w:line="85"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Cash Compensation</w:t>
      </w:r>
    </w:p>
    <w:p>
      <w:pPr>
        <w:spacing w:after="0" w:line="144" w:lineRule="exact"/>
        <w:rPr>
          <w:sz w:val="20"/>
          <w:szCs w:val="20"/>
          <w:color w:val="auto"/>
        </w:rPr>
      </w:pPr>
    </w:p>
    <w:p>
      <w:pPr>
        <w:jc w:val="both"/>
        <w:ind w:left="1260" w:right="419"/>
        <w:spacing w:after="0" w:line="262" w:lineRule="auto"/>
        <w:rPr>
          <w:sz w:val="20"/>
          <w:szCs w:val="20"/>
          <w:color w:val="auto"/>
        </w:rPr>
      </w:pPr>
      <w:r>
        <w:rPr>
          <w:rFonts w:ascii="Arial" w:cs="Arial" w:eastAsia="Arial" w:hAnsi="Arial"/>
          <w:sz w:val="18"/>
          <w:szCs w:val="18"/>
          <w:color w:val="auto"/>
        </w:rPr>
        <w:t>In 2025, each non-employee director earned an annual cash retainer of $50,000 as compensation for services as director, plus the additional cash retainers listed below for service on the Board’s standing committees, or as chairman of the Board. Under our non-employee director cash compensation program, non-employee members of our Board earn cash retainer fees quarterly in arrears.</w:t>
      </w:r>
    </w:p>
    <w:p>
      <w:pPr>
        <w:spacing w:after="0" w:line="109" w:lineRule="exact"/>
        <w:rPr>
          <w:sz w:val="20"/>
          <w:szCs w:val="20"/>
          <w:color w:val="auto"/>
        </w:rPr>
      </w:pPr>
    </w:p>
    <w:p>
      <w:pPr>
        <w:jc w:val="both"/>
        <w:ind w:left="1260" w:right="419"/>
        <w:spacing w:after="0" w:line="268" w:lineRule="auto"/>
        <w:rPr>
          <w:sz w:val="20"/>
          <w:szCs w:val="20"/>
          <w:color w:val="auto"/>
        </w:rPr>
      </w:pPr>
      <w:r>
        <w:rPr>
          <w:rFonts w:ascii="Arial" w:cs="Arial" w:eastAsia="Arial" w:hAnsi="Arial"/>
          <w:sz w:val="18"/>
          <w:szCs w:val="18"/>
          <w:color w:val="auto"/>
        </w:rPr>
        <w:t>We also reimburse directors for reasonable expenses incurred in attending Board or Committee meetings, such as automobile mileage or airfare, which amounts are not included as fees or other compensation.</w:t>
      </w:r>
    </w:p>
    <w:p>
      <w:pPr>
        <w:spacing w:after="0" w:line="34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262255</wp:posOffset>
            </wp:positionV>
            <wp:extent cx="68319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Stock Compensation</w:t>
      </w:r>
    </w:p>
    <w:p>
      <w:pPr>
        <w:spacing w:after="0" w:line="158" w:lineRule="exact"/>
        <w:rPr>
          <w:sz w:val="20"/>
          <w:szCs w:val="20"/>
          <w:color w:val="auto"/>
        </w:rPr>
      </w:pPr>
    </w:p>
    <w:p>
      <w:pPr>
        <w:jc w:val="both"/>
        <w:ind w:left="1260" w:right="419"/>
        <w:spacing w:after="0" w:line="255" w:lineRule="auto"/>
        <w:rPr>
          <w:sz w:val="20"/>
          <w:szCs w:val="20"/>
          <w:color w:val="auto"/>
        </w:rPr>
      </w:pPr>
      <w:r>
        <w:rPr>
          <w:rFonts w:ascii="Arial" w:cs="Arial" w:eastAsia="Arial" w:hAnsi="Arial"/>
          <w:sz w:val="18"/>
          <w:szCs w:val="18"/>
          <w:color w:val="auto"/>
        </w:rPr>
        <w:t>The Director Compensation Policy provides for an annual award to each director of the Company’s common stock valued at $62,500 (the “Annual Award”). The number of shares awarded in 2025 was calculated based on the 20-day trailing average closing price of the Company’s common stock as of the date two business days prior to the date of the award, rounded down to the nearest whole share. For 2025, this resulted in an award of 3,185 shares to each of our non-employee directors then serving on our Board as of February 12, 2025. In accordance with the Company’s stock ownership guidelines, shares constituting the Annual Award may not be sold or otherwise disposed of for the duration of such non-employee director’s service as a member of the Board.</w:t>
      </w:r>
    </w:p>
    <w:p>
      <w:pPr>
        <w:spacing w:after="0" w:line="117" w:lineRule="exact"/>
        <w:rPr>
          <w:sz w:val="20"/>
          <w:szCs w:val="20"/>
          <w:color w:val="auto"/>
        </w:rPr>
      </w:pPr>
    </w:p>
    <w:p>
      <w:pPr>
        <w:jc w:val="both"/>
        <w:ind w:left="1260" w:right="419"/>
        <w:spacing w:after="0" w:line="271" w:lineRule="auto"/>
        <w:rPr>
          <w:sz w:val="20"/>
          <w:szCs w:val="20"/>
          <w:color w:val="auto"/>
        </w:rPr>
      </w:pPr>
      <w:r>
        <w:rPr>
          <w:rFonts w:ascii="Arial" w:cs="Arial" w:eastAsia="Arial" w:hAnsi="Arial"/>
          <w:sz w:val="17"/>
          <w:szCs w:val="17"/>
          <w:color w:val="auto"/>
        </w:rPr>
        <w:t>The Director Compensation Policy also provides each director the option to receive his or her cash compensation in shares of Company common stock rather than cash. For 2025, Ms. Franklin and Messrs. Drew, Gable and Haga all elected this option with respect to their annual Board and committee retainers. Mr. Brokaw elected to receive his cash compensation in shares of Company common stock for the first half of 2025 and cash for the second half of 2025. The number of shares awarded to the directors making such election was calculated by dividing (i) the sum of (A) the amount of the quarterly retainer payment due to such director plus (B) committee service fees earned by such director during the quarter, by (ii) the 20-day trailing average closing price of the Company’s common stock as of the last business day of the quarter for which such payment applied, rounded down to the nearest whole share.</w:t>
      </w:r>
    </w:p>
    <w:p>
      <w:pPr>
        <w:spacing w:after="0" w:line="125" w:lineRule="exact"/>
        <w:rPr>
          <w:sz w:val="20"/>
          <w:szCs w:val="20"/>
          <w:color w:val="auto"/>
        </w:rPr>
      </w:pPr>
    </w:p>
    <w:tbl>
      <w:tblPr>
        <w:tblLayout w:type="fixed"/>
        <w:tblInd w:w="1450" w:type="dxa"/>
        <w:tblCellMar>
          <w:top w:w="0" w:type="dxa"/>
          <w:left w:w="0" w:type="dxa"/>
          <w:bottom w:w="0" w:type="dxa"/>
          <w:right w:w="0" w:type="dxa"/>
        </w:tblCellMar>
      </w:tblPr>
      <w:tr>
        <w:trPr>
          <w:trHeight w:val="290"/>
        </w:trPr>
        <w:tc>
          <w:tcPr>
            <w:tcW w:w="60" w:type="dxa"/>
            <w:vAlign w:val="bottom"/>
            <w:tcBorders>
              <w:top w:val="single" w:sz="8" w:color="auto"/>
              <w:left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0"/>
                <w:szCs w:val="20"/>
                <w:color w:val="auto"/>
              </w:rPr>
            </w:pPr>
            <w:r>
              <w:rPr>
                <w:rFonts w:ascii="Arial" w:cs="Arial" w:eastAsia="Arial" w:hAnsi="Arial"/>
                <w:sz w:val="22"/>
                <w:szCs w:val="22"/>
                <w:color w:val="auto"/>
              </w:rPr>
              <w:t>​</w:t>
            </w:r>
          </w:p>
        </w:tc>
        <w:tc>
          <w:tcPr>
            <w:tcW w:w="6420" w:type="dxa"/>
            <w:vAlign w:val="bottom"/>
            <w:tcBorders>
              <w:top w:val="single" w:sz="8" w:color="auto"/>
            </w:tcBorders>
            <w:gridSpan w:val="2"/>
            <w:vMerge w:val="restart"/>
          </w:tcPr>
          <w:p>
            <w:pPr>
              <w:ind w:left="1000"/>
              <w:spacing w:after="0"/>
              <w:rPr>
                <w:sz w:val="20"/>
                <w:szCs w:val="20"/>
                <w:color w:val="auto"/>
              </w:rPr>
            </w:pPr>
            <w:r>
              <w:rPr>
                <w:rFonts w:ascii="Arial" w:cs="Arial" w:eastAsia="Arial" w:hAnsi="Arial"/>
                <w:sz w:val="22"/>
                <w:szCs w:val="22"/>
                <w:color w:val="auto"/>
              </w:rPr>
              <w:t>Non-Employee Director Compensation</w:t>
            </w:r>
          </w:p>
        </w:tc>
        <w:tc>
          <w:tcPr>
            <w:tcW w:w="320" w:type="dxa"/>
            <w:vAlign w:val="bottom"/>
            <w:tcBorders>
              <w:top w:val="single" w:sz="8" w:color="auto"/>
              <w:right w:val="single" w:sz="8" w:color="auto"/>
            </w:tcBorders>
          </w:tcPr>
          <w:p>
            <w:pPr>
              <w:ind w:left="260"/>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6"/>
        </w:trPr>
        <w:tc>
          <w:tcPr>
            <w:tcW w:w="60" w:type="dxa"/>
            <w:vAlign w:val="bottom"/>
            <w:tcBorders>
              <w:left w:val="single" w:sz="8" w:color="auto"/>
            </w:tcBorders>
          </w:tcPr>
          <w:p>
            <w:pPr>
              <w:spacing w:after="0"/>
              <w:rPr>
                <w:sz w:val="2"/>
                <w:szCs w:val="2"/>
                <w:color w:val="auto"/>
              </w:rPr>
            </w:pPr>
          </w:p>
        </w:tc>
        <w:tc>
          <w:tcPr>
            <w:tcW w:w="1040" w:type="dxa"/>
            <w:vAlign w:val="bottom"/>
          </w:tcPr>
          <w:p>
            <w:pPr>
              <w:spacing w:after="0"/>
              <w:rPr>
                <w:sz w:val="2"/>
                <w:szCs w:val="2"/>
                <w:color w:val="auto"/>
              </w:rPr>
            </w:pPr>
          </w:p>
        </w:tc>
        <w:tc>
          <w:tcPr>
            <w:tcW w:w="6420" w:type="dxa"/>
            <w:vAlign w:val="bottom"/>
            <w:gridSpan w:val="2"/>
            <w:vMerge w:val="continue"/>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3"/>
        </w:trPr>
        <w:tc>
          <w:tcPr>
            <w:tcW w:w="60" w:type="dxa"/>
            <w:vAlign w:val="bottom"/>
            <w:tcBorders>
              <w:left w:val="single" w:sz="8" w:color="auto"/>
            </w:tcBorders>
          </w:tcPr>
          <w:p>
            <w:pPr>
              <w:ind w:left="20"/>
              <w:spacing w:after="0" w:line="163" w:lineRule="exact"/>
              <w:rPr>
                <w:sz w:val="20"/>
                <w:szCs w:val="20"/>
                <w:color w:val="auto"/>
              </w:rPr>
            </w:pPr>
            <w:r>
              <w:rPr>
                <w:rFonts w:ascii="Arial" w:cs="Arial" w:eastAsia="Arial" w:hAnsi="Arial"/>
                <w:sz w:val="16"/>
                <w:szCs w:val="16"/>
                <w:color w:val="auto"/>
              </w:rPr>
              <w:t>​</w:t>
            </w:r>
          </w:p>
        </w:tc>
        <w:tc>
          <w:tcPr>
            <w:tcW w:w="1040" w:type="dxa"/>
            <w:vAlign w:val="bottom"/>
          </w:tcPr>
          <w:p>
            <w:pPr>
              <w:spacing w:after="0"/>
              <w:rPr>
                <w:sz w:val="14"/>
                <w:szCs w:val="14"/>
                <w:color w:val="auto"/>
              </w:rPr>
            </w:pPr>
          </w:p>
        </w:tc>
        <w:tc>
          <w:tcPr>
            <w:tcW w:w="3720" w:type="dxa"/>
            <w:vAlign w:val="bottom"/>
          </w:tcPr>
          <w:p>
            <w:pPr>
              <w:ind w:left="1420"/>
              <w:spacing w:after="0" w:line="163" w:lineRule="exact"/>
              <w:rPr>
                <w:sz w:val="20"/>
                <w:szCs w:val="20"/>
                <w:color w:val="auto"/>
              </w:rPr>
            </w:pPr>
            <w:r>
              <w:rPr>
                <w:rFonts w:ascii="Arial" w:cs="Arial" w:eastAsia="Arial" w:hAnsi="Arial"/>
                <w:sz w:val="16"/>
                <w:szCs w:val="16"/>
                <w:color w:val="auto"/>
              </w:rPr>
              <w:t>​ ​</w:t>
            </w:r>
          </w:p>
        </w:tc>
        <w:tc>
          <w:tcPr>
            <w:tcW w:w="2700" w:type="dxa"/>
            <w:vAlign w:val="bottom"/>
          </w:tcPr>
          <w:p>
            <w:pPr>
              <w:ind w:left="280"/>
              <w:spacing w:after="0" w:line="163" w:lineRule="exact"/>
              <w:rPr>
                <w:sz w:val="20"/>
                <w:szCs w:val="20"/>
                <w:color w:val="auto"/>
              </w:rPr>
            </w:pPr>
            <w:r>
              <w:rPr>
                <w:rFonts w:ascii="Arial" w:cs="Arial" w:eastAsia="Arial" w:hAnsi="Arial"/>
                <w:sz w:val="16"/>
                <w:szCs w:val="16"/>
                <w:color w:val="auto"/>
              </w:rPr>
              <w:t>​ ​</w:t>
            </w:r>
          </w:p>
        </w:tc>
        <w:tc>
          <w:tcPr>
            <w:tcW w:w="320" w:type="dxa"/>
            <w:vAlign w:val="bottom"/>
            <w:tcBorders>
              <w:right w:val="single" w:sz="8" w:color="auto"/>
            </w:tcBorders>
          </w:tcPr>
          <w:p>
            <w:pPr>
              <w:ind w:left="200"/>
              <w:spacing w:after="0" w:line="16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5"/>
        </w:trPr>
        <w:tc>
          <w:tcPr>
            <w:tcW w:w="60" w:type="dxa"/>
            <w:vAlign w:val="bottom"/>
            <w:tcBorders>
              <w:left w:val="single" w:sz="8" w:color="auto"/>
            </w:tcBorders>
          </w:tcPr>
          <w:p>
            <w:pPr>
              <w:spacing w:after="0"/>
              <w:rPr>
                <w:sz w:val="15"/>
                <w:szCs w:val="15"/>
                <w:color w:val="auto"/>
              </w:rPr>
            </w:pPr>
          </w:p>
        </w:tc>
        <w:tc>
          <w:tcPr>
            <w:tcW w:w="1040" w:type="dxa"/>
            <w:vAlign w:val="bottom"/>
          </w:tcPr>
          <w:p>
            <w:pPr>
              <w:spacing w:after="0"/>
              <w:rPr>
                <w:sz w:val="15"/>
                <w:szCs w:val="15"/>
                <w:color w:val="auto"/>
              </w:rPr>
            </w:pPr>
          </w:p>
        </w:tc>
        <w:tc>
          <w:tcPr>
            <w:tcW w:w="3720" w:type="dxa"/>
            <w:vAlign w:val="bottom"/>
          </w:tcPr>
          <w:p>
            <w:pPr>
              <w:ind w:left="1620"/>
              <w:spacing w:after="0" w:line="175" w:lineRule="exact"/>
              <w:rPr>
                <w:sz w:val="20"/>
                <w:szCs w:val="20"/>
                <w:color w:val="auto"/>
              </w:rPr>
            </w:pPr>
            <w:r>
              <w:rPr>
                <w:rFonts w:ascii="Arial" w:cs="Arial" w:eastAsia="Arial" w:hAnsi="Arial"/>
                <w:sz w:val="16"/>
                <w:szCs w:val="16"/>
                <w:b w:val="1"/>
                <w:bCs w:val="1"/>
                <w:color w:val="auto"/>
              </w:rPr>
              <w:t>Audit Committee</w:t>
            </w:r>
          </w:p>
        </w:tc>
        <w:tc>
          <w:tcPr>
            <w:tcW w:w="2700" w:type="dxa"/>
            <w:vAlign w:val="bottom"/>
          </w:tcPr>
          <w:p>
            <w:pPr>
              <w:ind w:left="500"/>
              <w:spacing w:after="0" w:line="175" w:lineRule="exact"/>
              <w:rPr>
                <w:sz w:val="20"/>
                <w:szCs w:val="20"/>
                <w:color w:val="auto"/>
              </w:rPr>
            </w:pPr>
            <w:r>
              <w:rPr>
                <w:rFonts w:ascii="Arial" w:cs="Arial" w:eastAsia="Arial" w:hAnsi="Arial"/>
                <w:sz w:val="16"/>
                <w:szCs w:val="16"/>
                <w:b w:val="1"/>
                <w:bCs w:val="1"/>
                <w:color w:val="auto"/>
              </w:rPr>
              <w:t>Compensation Committee</w:t>
            </w:r>
          </w:p>
        </w:tc>
        <w:tc>
          <w:tcPr>
            <w:tcW w:w="3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0" w:type="dxa"/>
            <w:vAlign w:val="bottom"/>
            <w:tcBorders>
              <w:left w:val="single" w:sz="8" w:color="auto"/>
            </w:tcBorders>
          </w:tcPr>
          <w:p>
            <w:pPr>
              <w:spacing w:after="0"/>
              <w:rPr>
                <w:sz w:val="16"/>
                <w:szCs w:val="16"/>
                <w:color w:val="auto"/>
              </w:rPr>
            </w:pPr>
          </w:p>
        </w:tc>
        <w:tc>
          <w:tcPr>
            <w:tcW w:w="1040" w:type="dxa"/>
            <w:vAlign w:val="bottom"/>
          </w:tcPr>
          <w:p>
            <w:pPr>
              <w:spacing w:after="0"/>
              <w:rPr>
                <w:sz w:val="16"/>
                <w:szCs w:val="16"/>
                <w:color w:val="auto"/>
              </w:rPr>
            </w:pPr>
          </w:p>
        </w:tc>
        <w:tc>
          <w:tcPr>
            <w:tcW w:w="3720" w:type="dxa"/>
            <w:vAlign w:val="bottom"/>
          </w:tcPr>
          <w:p>
            <w:pPr>
              <w:ind w:left="1620"/>
              <w:spacing w:after="0"/>
              <w:rPr>
                <w:sz w:val="20"/>
                <w:szCs w:val="20"/>
                <w:color w:val="auto"/>
              </w:rPr>
            </w:pPr>
            <w:r>
              <w:rPr>
                <w:rFonts w:ascii="Arial" w:cs="Arial" w:eastAsia="Arial" w:hAnsi="Arial"/>
                <w:sz w:val="16"/>
                <w:szCs w:val="16"/>
                <w:color w:val="auto"/>
              </w:rPr>
              <w:t>Chair: $22,500</w:t>
            </w:r>
          </w:p>
        </w:tc>
        <w:tc>
          <w:tcPr>
            <w:tcW w:w="2700" w:type="dxa"/>
            <w:vAlign w:val="bottom"/>
          </w:tcPr>
          <w:p>
            <w:pPr>
              <w:ind w:left="500"/>
              <w:spacing w:after="0"/>
              <w:rPr>
                <w:sz w:val="20"/>
                <w:szCs w:val="20"/>
                <w:color w:val="auto"/>
              </w:rPr>
            </w:pPr>
            <w:r>
              <w:rPr>
                <w:rFonts w:ascii="Arial" w:cs="Arial" w:eastAsia="Arial" w:hAnsi="Arial"/>
                <w:sz w:val="16"/>
                <w:szCs w:val="16"/>
                <w:color w:val="auto"/>
              </w:rPr>
              <w:t>Chair: $15,000</w:t>
            </w:r>
          </w:p>
        </w:tc>
        <w:tc>
          <w:tcPr>
            <w:tcW w:w="3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0" w:type="dxa"/>
            <w:vAlign w:val="bottom"/>
            <w:tcBorders>
              <w:left w:val="single" w:sz="8" w:color="auto"/>
            </w:tcBorders>
          </w:tcPr>
          <w:p>
            <w:pPr>
              <w:spacing w:after="0"/>
              <w:rPr>
                <w:sz w:val="17"/>
                <w:szCs w:val="17"/>
                <w:color w:val="auto"/>
              </w:rPr>
            </w:pPr>
          </w:p>
        </w:tc>
        <w:tc>
          <w:tcPr>
            <w:tcW w:w="1040" w:type="dxa"/>
            <w:vAlign w:val="bottom"/>
          </w:tcPr>
          <w:p>
            <w:pPr>
              <w:spacing w:after="0"/>
              <w:rPr>
                <w:sz w:val="17"/>
                <w:szCs w:val="17"/>
                <w:color w:val="auto"/>
              </w:rPr>
            </w:pPr>
          </w:p>
        </w:tc>
        <w:tc>
          <w:tcPr>
            <w:tcW w:w="3720" w:type="dxa"/>
            <w:vAlign w:val="bottom"/>
          </w:tcPr>
          <w:p>
            <w:pPr>
              <w:ind w:left="1620"/>
              <w:spacing w:after="0"/>
              <w:rPr>
                <w:sz w:val="20"/>
                <w:szCs w:val="20"/>
                <w:color w:val="auto"/>
              </w:rPr>
            </w:pPr>
            <w:r>
              <w:rPr>
                <w:rFonts w:ascii="Arial" w:cs="Arial" w:eastAsia="Arial" w:hAnsi="Arial"/>
                <w:sz w:val="16"/>
                <w:szCs w:val="16"/>
                <w:color w:val="auto"/>
              </w:rPr>
              <w:t>Member: $11,250</w:t>
            </w:r>
          </w:p>
        </w:tc>
        <w:tc>
          <w:tcPr>
            <w:tcW w:w="2700" w:type="dxa"/>
            <w:vAlign w:val="bottom"/>
          </w:tcPr>
          <w:p>
            <w:pPr>
              <w:ind w:left="500"/>
              <w:spacing w:after="0"/>
              <w:rPr>
                <w:sz w:val="20"/>
                <w:szCs w:val="20"/>
                <w:color w:val="auto"/>
              </w:rPr>
            </w:pPr>
            <w:r>
              <w:rPr>
                <w:rFonts w:ascii="Arial" w:cs="Arial" w:eastAsia="Arial" w:hAnsi="Arial"/>
                <w:sz w:val="16"/>
                <w:szCs w:val="16"/>
                <w:color w:val="auto"/>
              </w:rPr>
              <w:t>Member: $7,500</w:t>
            </w:r>
          </w:p>
        </w:tc>
        <w:tc>
          <w:tcPr>
            <w:tcW w:w="3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0" w:type="dxa"/>
            <w:vAlign w:val="bottom"/>
            <w:tcBorders>
              <w:left w:val="single" w:sz="8" w:color="auto"/>
            </w:tcBorders>
          </w:tcPr>
          <w:p>
            <w:pPr>
              <w:spacing w:after="0"/>
              <w:rPr>
                <w:sz w:val="16"/>
                <w:szCs w:val="16"/>
                <w:color w:val="auto"/>
              </w:rPr>
            </w:pPr>
          </w:p>
        </w:tc>
        <w:tc>
          <w:tcPr>
            <w:tcW w:w="1040" w:type="dxa"/>
            <w:vAlign w:val="bottom"/>
          </w:tcPr>
          <w:p>
            <w:pPr>
              <w:spacing w:after="0"/>
              <w:rPr>
                <w:sz w:val="16"/>
                <w:szCs w:val="16"/>
                <w:color w:val="auto"/>
              </w:rPr>
            </w:pPr>
          </w:p>
        </w:tc>
        <w:tc>
          <w:tcPr>
            <w:tcW w:w="3720" w:type="dxa"/>
            <w:vAlign w:val="bottom"/>
          </w:tcPr>
          <w:p>
            <w:pPr>
              <w:ind w:left="1620"/>
              <w:spacing w:after="0"/>
              <w:rPr>
                <w:sz w:val="20"/>
                <w:szCs w:val="20"/>
                <w:color w:val="auto"/>
              </w:rPr>
            </w:pPr>
            <w:r>
              <w:rPr>
                <w:rFonts w:ascii="Arial" w:cs="Arial" w:eastAsia="Arial" w:hAnsi="Arial"/>
                <w:sz w:val="16"/>
                <w:szCs w:val="16"/>
                <w:color w:val="auto"/>
              </w:rPr>
              <w:t> </w:t>
            </w:r>
          </w:p>
        </w:tc>
        <w:tc>
          <w:tcPr>
            <w:tcW w:w="2700" w:type="dxa"/>
            <w:vAlign w:val="bottom"/>
          </w:tcPr>
          <w:p>
            <w:pPr>
              <w:ind w:left="500"/>
              <w:spacing w:after="0"/>
              <w:rPr>
                <w:sz w:val="20"/>
                <w:szCs w:val="20"/>
                <w:color w:val="auto"/>
              </w:rPr>
            </w:pPr>
            <w:r>
              <w:rPr>
                <w:rFonts w:ascii="Arial" w:cs="Arial" w:eastAsia="Arial" w:hAnsi="Arial"/>
                <w:sz w:val="16"/>
                <w:szCs w:val="16"/>
                <w:color w:val="auto"/>
              </w:rPr>
              <w:t> </w:t>
            </w:r>
          </w:p>
        </w:tc>
        <w:tc>
          <w:tcPr>
            <w:tcW w:w="3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 w:type="dxa"/>
            <w:vAlign w:val="bottom"/>
            <w:tcBorders>
              <w:left w:val="single" w:sz="8" w:color="auto"/>
            </w:tcBorders>
          </w:tcPr>
          <w:p>
            <w:pPr>
              <w:spacing w:after="0"/>
              <w:rPr>
                <w:sz w:val="16"/>
                <w:szCs w:val="16"/>
                <w:color w:val="auto"/>
              </w:rPr>
            </w:pPr>
          </w:p>
        </w:tc>
        <w:tc>
          <w:tcPr>
            <w:tcW w:w="1040" w:type="dxa"/>
            <w:vAlign w:val="bottom"/>
          </w:tcPr>
          <w:p>
            <w:pPr>
              <w:spacing w:after="0"/>
              <w:rPr>
                <w:sz w:val="16"/>
                <w:szCs w:val="16"/>
                <w:color w:val="auto"/>
              </w:rPr>
            </w:pPr>
          </w:p>
        </w:tc>
        <w:tc>
          <w:tcPr>
            <w:tcW w:w="3720" w:type="dxa"/>
            <w:vAlign w:val="bottom"/>
          </w:tcPr>
          <w:p>
            <w:pPr>
              <w:ind w:left="1620"/>
              <w:spacing w:after="0"/>
              <w:rPr>
                <w:sz w:val="20"/>
                <w:szCs w:val="20"/>
                <w:color w:val="auto"/>
              </w:rPr>
            </w:pPr>
            <w:r>
              <w:rPr>
                <w:rFonts w:ascii="Arial" w:cs="Arial" w:eastAsia="Arial" w:hAnsi="Arial"/>
                <w:sz w:val="16"/>
                <w:szCs w:val="16"/>
                <w:b w:val="1"/>
                <w:bCs w:val="1"/>
                <w:color w:val="auto"/>
              </w:rPr>
              <w:t>Governance Committee</w:t>
            </w:r>
          </w:p>
        </w:tc>
        <w:tc>
          <w:tcPr>
            <w:tcW w:w="2700" w:type="dxa"/>
            <w:vAlign w:val="bottom"/>
          </w:tcPr>
          <w:p>
            <w:pPr>
              <w:ind w:left="500"/>
              <w:spacing w:after="0"/>
              <w:rPr>
                <w:sz w:val="20"/>
                <w:szCs w:val="20"/>
                <w:color w:val="auto"/>
              </w:rPr>
            </w:pPr>
            <w:r>
              <w:rPr>
                <w:rFonts w:ascii="Arial" w:cs="Arial" w:eastAsia="Arial" w:hAnsi="Arial"/>
                <w:sz w:val="16"/>
                <w:szCs w:val="16"/>
                <w:b w:val="1"/>
                <w:bCs w:val="1"/>
                <w:color w:val="auto"/>
              </w:rPr>
              <w:t>Board Chair</w:t>
            </w:r>
          </w:p>
        </w:tc>
        <w:tc>
          <w:tcPr>
            <w:tcW w:w="3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0" w:type="dxa"/>
            <w:vAlign w:val="bottom"/>
            <w:tcBorders>
              <w:left w:val="single" w:sz="8" w:color="auto"/>
            </w:tcBorders>
          </w:tcPr>
          <w:p>
            <w:pPr>
              <w:spacing w:after="0"/>
              <w:rPr>
                <w:sz w:val="17"/>
                <w:szCs w:val="17"/>
                <w:color w:val="auto"/>
              </w:rPr>
            </w:pPr>
          </w:p>
        </w:tc>
        <w:tc>
          <w:tcPr>
            <w:tcW w:w="1040" w:type="dxa"/>
            <w:vAlign w:val="bottom"/>
          </w:tcPr>
          <w:p>
            <w:pPr>
              <w:spacing w:after="0"/>
              <w:rPr>
                <w:sz w:val="17"/>
                <w:szCs w:val="17"/>
                <w:color w:val="auto"/>
              </w:rPr>
            </w:pPr>
          </w:p>
        </w:tc>
        <w:tc>
          <w:tcPr>
            <w:tcW w:w="3720" w:type="dxa"/>
            <w:vAlign w:val="bottom"/>
          </w:tcPr>
          <w:p>
            <w:pPr>
              <w:ind w:left="1620"/>
              <w:spacing w:after="0"/>
              <w:rPr>
                <w:sz w:val="20"/>
                <w:szCs w:val="20"/>
                <w:color w:val="auto"/>
              </w:rPr>
            </w:pPr>
            <w:r>
              <w:rPr>
                <w:rFonts w:ascii="Arial" w:cs="Arial" w:eastAsia="Arial" w:hAnsi="Arial"/>
                <w:sz w:val="16"/>
                <w:szCs w:val="16"/>
                <w:color w:val="auto"/>
              </w:rPr>
              <w:t>Chair: $15,000</w:t>
            </w:r>
          </w:p>
        </w:tc>
        <w:tc>
          <w:tcPr>
            <w:tcW w:w="2700" w:type="dxa"/>
            <w:vAlign w:val="bottom"/>
          </w:tcPr>
          <w:p>
            <w:pPr>
              <w:ind w:left="500"/>
              <w:spacing w:after="0"/>
              <w:rPr>
                <w:sz w:val="20"/>
                <w:szCs w:val="20"/>
                <w:color w:val="auto"/>
              </w:rPr>
            </w:pPr>
            <w:r>
              <w:rPr>
                <w:rFonts w:ascii="Arial" w:cs="Arial" w:eastAsia="Arial" w:hAnsi="Arial"/>
                <w:sz w:val="16"/>
                <w:szCs w:val="16"/>
                <w:color w:val="auto"/>
              </w:rPr>
              <w:t>$97,500</w:t>
            </w:r>
          </w:p>
        </w:tc>
        <w:tc>
          <w:tcPr>
            <w:tcW w:w="3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0" w:type="dxa"/>
            <w:vAlign w:val="bottom"/>
            <w:tcBorders>
              <w:left w:val="single" w:sz="8" w:color="auto"/>
            </w:tcBorders>
          </w:tcPr>
          <w:p>
            <w:pPr>
              <w:spacing w:after="0"/>
              <w:rPr>
                <w:sz w:val="18"/>
                <w:szCs w:val="18"/>
                <w:color w:val="auto"/>
              </w:rPr>
            </w:pPr>
          </w:p>
        </w:tc>
        <w:tc>
          <w:tcPr>
            <w:tcW w:w="1040" w:type="dxa"/>
            <w:vAlign w:val="bottom"/>
          </w:tcPr>
          <w:p>
            <w:pPr>
              <w:spacing w:after="0"/>
              <w:rPr>
                <w:sz w:val="18"/>
                <w:szCs w:val="18"/>
                <w:color w:val="auto"/>
              </w:rPr>
            </w:pPr>
          </w:p>
        </w:tc>
        <w:tc>
          <w:tcPr>
            <w:tcW w:w="3720" w:type="dxa"/>
            <w:vAlign w:val="bottom"/>
          </w:tcPr>
          <w:p>
            <w:pPr>
              <w:ind w:left="1620"/>
              <w:spacing w:after="0"/>
              <w:rPr>
                <w:sz w:val="20"/>
                <w:szCs w:val="20"/>
                <w:color w:val="auto"/>
              </w:rPr>
            </w:pPr>
            <w:r>
              <w:rPr>
                <w:rFonts w:ascii="Arial" w:cs="Arial" w:eastAsia="Arial" w:hAnsi="Arial"/>
                <w:sz w:val="16"/>
                <w:szCs w:val="16"/>
                <w:color w:val="auto"/>
              </w:rPr>
              <w:t>Member: $7,500</w:t>
            </w:r>
          </w:p>
        </w:tc>
        <w:tc>
          <w:tcPr>
            <w:tcW w:w="270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3"/>
        </w:trPr>
        <w:tc>
          <w:tcPr>
            <w:tcW w:w="60" w:type="dxa"/>
            <w:vAlign w:val="bottom"/>
            <w:tcBorders>
              <w:left w:val="single" w:sz="8" w:color="auto"/>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1022985</wp:posOffset>
            </wp:positionH>
            <wp:positionV relativeFrom="paragraph">
              <wp:posOffset>-1113790</wp:posOffset>
            </wp:positionV>
            <wp:extent cx="1440180" cy="1037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440180" cy="1037590"/>
                    </a:xfrm>
                    <a:prstGeom prst="rect">
                      <a:avLst/>
                    </a:prstGeom>
                    <a:noFill/>
                  </pic:spPr>
                </pic:pic>
              </a:graphicData>
            </a:graphic>
          </wp:anchor>
        </w:drawing>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Director Stock Ownership Guidelines</w:t>
      </w:r>
    </w:p>
    <w:p>
      <w:pPr>
        <w:spacing w:after="0" w:line="158" w:lineRule="exact"/>
        <w:rPr>
          <w:sz w:val="20"/>
          <w:szCs w:val="20"/>
          <w:color w:val="auto"/>
        </w:rPr>
      </w:pPr>
    </w:p>
    <w:p>
      <w:pPr>
        <w:jc w:val="both"/>
        <w:ind w:left="1260" w:right="419"/>
        <w:spacing w:after="0" w:line="256" w:lineRule="auto"/>
        <w:rPr>
          <w:sz w:val="20"/>
          <w:szCs w:val="20"/>
          <w:color w:val="auto"/>
        </w:rPr>
      </w:pPr>
      <w:r>
        <w:rPr>
          <w:rFonts w:ascii="Arial" w:cs="Arial" w:eastAsia="Arial" w:hAnsi="Arial"/>
          <w:sz w:val="18"/>
          <w:szCs w:val="18"/>
          <w:color w:val="auto"/>
        </w:rPr>
        <w:t>To further align the interests of our directors with stockholders, the Board has adopted stock ownership guidelines for our non-employee directors. Pursuant to these guidelines, each non-employee director is required to own shares of our common stock equal in value to five times the non-employee directors’ annual retainer. New directors are expected to meet the standards set forth in the guidelines within five years after the date of his or her election to the Board. Compliance is measured on the first trading day of each calendar year. A copy of our stock ownership guidelines is available in the Governance section of our website (www.ctoreit.com).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CORPORATE GOVERNANCE — HIGHLIGHTS AND OVERVIEW</w:t>
      </w:r>
    </w:p>
    <w:p>
      <w:pPr>
        <w:spacing w:after="0" w:line="158" w:lineRule="exact"/>
        <w:rPr>
          <w:sz w:val="20"/>
          <w:szCs w:val="20"/>
          <w:color w:val="auto"/>
        </w:rPr>
      </w:pPr>
    </w:p>
    <w:p>
      <w:pPr>
        <w:jc w:val="both"/>
        <w:ind w:left="1260" w:right="419"/>
        <w:spacing w:after="0" w:line="244" w:lineRule="auto"/>
        <w:rPr>
          <w:sz w:val="20"/>
          <w:szCs w:val="20"/>
          <w:color w:val="auto"/>
        </w:rPr>
      </w:pPr>
      <w:r>
        <w:rPr>
          <w:rFonts w:ascii="Arial" w:cs="Arial" w:eastAsia="Arial" w:hAnsi="Arial"/>
          <w:sz w:val="18"/>
          <w:szCs w:val="18"/>
          <w:color w:val="auto"/>
        </w:rPr>
        <w:t>The Company regularly monitors developments in the area of corporate governance and seeks to enhance the Company’s corporate governance structure based upon a review of new developments and recommended best practices, taking into account investor feedback. Our Corporate Governance Guidelines compile governance policies and procedures described in our governing documents, various charters and policies, and memorialize other policies and principles that we follow, and we believe they represent best practices in public company corporate governance. The Governance Committee is responsible for reviewing the Corporate Governance Guidelines at least annually. A copy of our Corporate Governance Guidelines is available in the Governance section of our website (www.ctoreit.com) and may also be obtained free of charge upon written request to our Corporate Secretary at 369 N. New York Avenue, Suite 201, Winter Park, Florida 32789.</w:t>
      </w:r>
    </w:p>
    <w:p>
      <w:pPr>
        <w:spacing w:after="0" w:line="11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Below are the highlights of our independent Board and leadership practices:</w:t>
      </w:r>
    </w:p>
    <w:p>
      <w:pPr>
        <w:spacing w:after="0" w:line="117" w:lineRule="exact"/>
        <w:rPr>
          <w:sz w:val="20"/>
          <w:szCs w:val="20"/>
          <w:color w:val="auto"/>
        </w:rPr>
      </w:pPr>
    </w:p>
    <w:p>
      <w:pPr>
        <w:jc w:val="both"/>
        <w:ind w:left="1800" w:right="419" w:hanging="180"/>
        <w:spacing w:after="0" w:line="257" w:lineRule="auto"/>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Independent and Diverse Board. </w:t>
      </w:r>
      <w:r>
        <w:rPr>
          <w:rFonts w:ascii="Arial" w:cs="Arial" w:eastAsia="Arial" w:hAnsi="Arial"/>
          <w:sz w:val="18"/>
          <w:szCs w:val="18"/>
          <w:color w:val="auto"/>
        </w:rPr>
        <w:t>We seek to maintain a diverse board primarily comprised of</w:t>
      </w:r>
      <w:r>
        <w:rPr>
          <w:rFonts w:ascii="Arial" w:cs="Arial" w:eastAsia="Arial" w:hAnsi="Arial"/>
          <w:sz w:val="18"/>
          <w:szCs w:val="18"/>
          <w:b w:val="1"/>
          <w:bCs w:val="1"/>
          <w:color w:val="auto"/>
        </w:rPr>
        <w:t xml:space="preserve"> </w:t>
      </w:r>
      <w:r>
        <w:rPr>
          <w:rFonts w:ascii="Arial" w:cs="Arial" w:eastAsia="Arial" w:hAnsi="Arial"/>
          <w:sz w:val="18"/>
          <w:szCs w:val="18"/>
          <w:color w:val="auto"/>
        </w:rPr>
        <w:t>independent directors who represent a mix of varied experience, backgrounds, tenure and skills to ensure a broad range of perspectives is represented. Currently five of our six directors are independent, including one female director and one director who identifies as a member of an underrepresented group based on national, indigenous, religious or cultural identity; and all members serving on our Audit, Compensation and Governance Committees are independent.</w:t>
      </w:r>
    </w:p>
    <w:p>
      <w:pPr>
        <w:spacing w:after="0" w:line="74" w:lineRule="exact"/>
        <w:rPr>
          <w:rFonts w:ascii="Arial" w:cs="Arial" w:eastAsia="Arial" w:hAnsi="Arial"/>
          <w:sz w:val="18"/>
          <w:szCs w:val="18"/>
          <w:color w:val="auto"/>
        </w:rPr>
      </w:pPr>
    </w:p>
    <w:p>
      <w:pPr>
        <w:ind w:left="1800" w:right="419" w:hanging="180"/>
        <w:spacing w:after="0" w:line="287" w:lineRule="auto"/>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Annual Election of Directors. </w:t>
      </w:r>
      <w:r>
        <w:rPr>
          <w:rFonts w:ascii="Arial" w:cs="Arial" w:eastAsia="Arial" w:hAnsi="Arial"/>
          <w:sz w:val="18"/>
          <w:szCs w:val="18"/>
          <w:color w:val="auto"/>
        </w:rPr>
        <w:t>Our Board consists of a single class of directors who stand for</w:t>
      </w:r>
      <w:r>
        <w:rPr>
          <w:rFonts w:ascii="Arial" w:cs="Arial" w:eastAsia="Arial" w:hAnsi="Arial"/>
          <w:sz w:val="18"/>
          <w:szCs w:val="18"/>
          <w:b w:val="1"/>
          <w:bCs w:val="1"/>
          <w:color w:val="auto"/>
        </w:rPr>
        <w:t xml:space="preserve"> </w:t>
      </w:r>
      <w:r>
        <w:rPr>
          <w:rFonts w:ascii="Arial" w:cs="Arial" w:eastAsia="Arial" w:hAnsi="Arial"/>
          <w:sz w:val="18"/>
          <w:szCs w:val="18"/>
          <w:color w:val="auto"/>
        </w:rPr>
        <w:t>election each year.</w:t>
      </w:r>
    </w:p>
    <w:p>
      <w:pPr>
        <w:spacing w:after="0" w:line="31" w:lineRule="exact"/>
        <w:rPr>
          <w:rFonts w:ascii="Arial" w:cs="Arial" w:eastAsia="Arial" w:hAnsi="Arial"/>
          <w:sz w:val="18"/>
          <w:szCs w:val="18"/>
          <w:color w:val="auto"/>
        </w:rPr>
      </w:pPr>
    </w:p>
    <w:p>
      <w:pPr>
        <w:jc w:val="both"/>
        <w:ind w:left="1800" w:right="419" w:hanging="180"/>
        <w:spacing w:after="0" w:line="262" w:lineRule="auto"/>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Majority Voting Standard for Directors with Director Resignation Policy. </w:t>
      </w:r>
      <w:r>
        <w:rPr>
          <w:rFonts w:ascii="Arial" w:cs="Arial" w:eastAsia="Arial" w:hAnsi="Arial"/>
          <w:sz w:val="18"/>
          <w:szCs w:val="18"/>
          <w:color w:val="auto"/>
        </w:rPr>
        <w:t>Our Bylaws</w:t>
      </w:r>
      <w:r>
        <w:rPr>
          <w:rFonts w:ascii="Arial" w:cs="Arial" w:eastAsia="Arial" w:hAnsi="Arial"/>
          <w:sz w:val="18"/>
          <w:szCs w:val="18"/>
          <w:b w:val="1"/>
          <w:bCs w:val="1"/>
          <w:color w:val="auto"/>
        </w:rPr>
        <w:t xml:space="preserve"> </w:t>
      </w:r>
      <w:r>
        <w:rPr>
          <w:rFonts w:ascii="Arial" w:cs="Arial" w:eastAsia="Arial" w:hAnsi="Arial"/>
          <w:sz w:val="18"/>
          <w:szCs w:val="18"/>
          <w:color w:val="auto"/>
        </w:rPr>
        <w:t>include a majority voting standard for the election of directors in uncontested elections. Any incumbent director who fails to receive the required vote for re-election must offer to resign from our Board.</w:t>
      </w:r>
    </w:p>
    <w:p>
      <w:pPr>
        <w:spacing w:after="0" w:line="68" w:lineRule="exact"/>
        <w:rPr>
          <w:rFonts w:ascii="Arial" w:cs="Arial" w:eastAsia="Arial" w:hAnsi="Arial"/>
          <w:sz w:val="18"/>
          <w:szCs w:val="18"/>
          <w:color w:val="auto"/>
        </w:rPr>
      </w:pPr>
    </w:p>
    <w:p>
      <w:pPr>
        <w:ind w:left="1800" w:right="419" w:hanging="180"/>
        <w:spacing w:after="0" w:line="287" w:lineRule="auto"/>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Executive Sessions of our Board. </w:t>
      </w:r>
      <w:r>
        <w:rPr>
          <w:rFonts w:ascii="Arial" w:cs="Arial" w:eastAsia="Arial" w:hAnsi="Arial"/>
          <w:sz w:val="18"/>
          <w:szCs w:val="18"/>
          <w:color w:val="auto"/>
        </w:rPr>
        <w:t>An executive session of independent directors is held at</w:t>
      </w:r>
      <w:r>
        <w:rPr>
          <w:rFonts w:ascii="Arial" w:cs="Arial" w:eastAsia="Arial" w:hAnsi="Arial"/>
          <w:sz w:val="18"/>
          <w:szCs w:val="18"/>
          <w:b w:val="1"/>
          <w:bCs w:val="1"/>
          <w:color w:val="auto"/>
        </w:rPr>
        <w:t xml:space="preserve"> </w:t>
      </w:r>
      <w:r>
        <w:rPr>
          <w:rFonts w:ascii="Arial" w:cs="Arial" w:eastAsia="Arial" w:hAnsi="Arial"/>
          <w:sz w:val="18"/>
          <w:szCs w:val="18"/>
          <w:color w:val="auto"/>
        </w:rPr>
        <w:t>each regularly scheduled quarterly Board meeting.</w:t>
      </w:r>
    </w:p>
    <w:p>
      <w:pPr>
        <w:spacing w:after="0" w:line="44" w:lineRule="exact"/>
        <w:rPr>
          <w:rFonts w:ascii="Arial" w:cs="Arial" w:eastAsia="Arial" w:hAnsi="Arial"/>
          <w:sz w:val="18"/>
          <w:szCs w:val="18"/>
          <w:color w:val="auto"/>
        </w:rPr>
      </w:pPr>
    </w:p>
    <w:p>
      <w:pPr>
        <w:jc w:val="both"/>
        <w:ind w:left="1800" w:right="419" w:hanging="180"/>
        <w:spacing w:after="0" w:line="268" w:lineRule="auto"/>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Independent Chairman of the Board. </w:t>
      </w:r>
      <w:r>
        <w:rPr>
          <w:rFonts w:ascii="Arial" w:cs="Arial" w:eastAsia="Arial" w:hAnsi="Arial"/>
          <w:sz w:val="18"/>
          <w:szCs w:val="18"/>
          <w:color w:val="auto"/>
        </w:rPr>
        <w:t>Our chairman of the Board ensures strong, independent</w:t>
      </w:r>
      <w:r>
        <w:rPr>
          <w:rFonts w:ascii="Arial" w:cs="Arial" w:eastAsia="Arial" w:hAnsi="Arial"/>
          <w:sz w:val="18"/>
          <w:szCs w:val="18"/>
          <w:b w:val="1"/>
          <w:bCs w:val="1"/>
          <w:color w:val="auto"/>
        </w:rPr>
        <w:t xml:space="preserve"> </w:t>
      </w:r>
      <w:r>
        <w:rPr>
          <w:rFonts w:ascii="Arial" w:cs="Arial" w:eastAsia="Arial" w:hAnsi="Arial"/>
          <w:sz w:val="18"/>
          <w:szCs w:val="18"/>
          <w:color w:val="auto"/>
        </w:rPr>
        <w:t>leadership and oversight of our Board of Directors by, among other things, presiding at executive sessions of the non-management directors.</w:t>
      </w:r>
    </w:p>
    <w:p>
      <w:pPr>
        <w:spacing w:after="0" w:line="62" w:lineRule="exact"/>
        <w:rPr>
          <w:rFonts w:ascii="Arial" w:cs="Arial" w:eastAsia="Arial" w:hAnsi="Arial"/>
          <w:sz w:val="18"/>
          <w:szCs w:val="18"/>
          <w:color w:val="auto"/>
        </w:rPr>
      </w:pPr>
    </w:p>
    <w:p>
      <w:pPr>
        <w:ind w:left="1800" w:right="419" w:hanging="180"/>
        <w:spacing w:after="0" w:line="287" w:lineRule="auto"/>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Board Evaluations. </w:t>
      </w:r>
      <w:r>
        <w:rPr>
          <w:rFonts w:ascii="Arial" w:cs="Arial" w:eastAsia="Arial" w:hAnsi="Arial"/>
          <w:sz w:val="18"/>
          <w:szCs w:val="18"/>
          <w:color w:val="auto"/>
        </w:rPr>
        <w:t>Our Governance Committee oversees annual evaluations of our Board as</w:t>
      </w:r>
      <w:r>
        <w:rPr>
          <w:rFonts w:ascii="Arial" w:cs="Arial" w:eastAsia="Arial" w:hAnsi="Arial"/>
          <w:sz w:val="18"/>
          <w:szCs w:val="18"/>
          <w:b w:val="1"/>
          <w:bCs w:val="1"/>
          <w:color w:val="auto"/>
        </w:rPr>
        <w:t xml:space="preserve"> </w:t>
      </w:r>
      <w:r>
        <w:rPr>
          <w:rFonts w:ascii="Arial" w:cs="Arial" w:eastAsia="Arial" w:hAnsi="Arial"/>
          <w:sz w:val="18"/>
          <w:szCs w:val="18"/>
          <w:color w:val="auto"/>
        </w:rPr>
        <w:t>a whole and each director individually.</w:t>
      </w:r>
    </w:p>
    <w:p>
      <w:pPr>
        <w:spacing w:after="0" w:line="44" w:lineRule="exact"/>
        <w:rPr>
          <w:rFonts w:ascii="Arial" w:cs="Arial" w:eastAsia="Arial" w:hAnsi="Arial"/>
          <w:sz w:val="18"/>
          <w:szCs w:val="18"/>
          <w:color w:val="auto"/>
        </w:rPr>
      </w:pPr>
    </w:p>
    <w:p>
      <w:pPr>
        <w:ind w:left="1800" w:right="419" w:hanging="180"/>
        <w:spacing w:after="0" w:line="287" w:lineRule="auto"/>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Regular Succession Planning. </w:t>
      </w:r>
      <w:r>
        <w:rPr>
          <w:rFonts w:ascii="Arial" w:cs="Arial" w:eastAsia="Arial" w:hAnsi="Arial"/>
          <w:sz w:val="18"/>
          <w:szCs w:val="18"/>
          <w:color w:val="auto"/>
        </w:rPr>
        <w:t>A high priority is placed on regular and thoughtful succession</w:t>
      </w:r>
      <w:r>
        <w:rPr>
          <w:rFonts w:ascii="Arial" w:cs="Arial" w:eastAsia="Arial" w:hAnsi="Arial"/>
          <w:sz w:val="18"/>
          <w:szCs w:val="18"/>
          <w:b w:val="1"/>
          <w:bCs w:val="1"/>
          <w:color w:val="auto"/>
        </w:rPr>
        <w:t xml:space="preserve"> </w:t>
      </w:r>
      <w:r>
        <w:rPr>
          <w:rFonts w:ascii="Arial" w:cs="Arial" w:eastAsia="Arial" w:hAnsi="Arial"/>
          <w:sz w:val="18"/>
          <w:szCs w:val="18"/>
          <w:color w:val="auto"/>
        </w:rPr>
        <w:t>planning for our senior management.</w:t>
      </w:r>
    </w:p>
    <w:p>
      <w:pPr>
        <w:spacing w:after="0" w:line="44" w:lineRule="exact"/>
        <w:rPr>
          <w:rFonts w:ascii="Arial" w:cs="Arial" w:eastAsia="Arial" w:hAnsi="Arial"/>
          <w:sz w:val="18"/>
          <w:szCs w:val="18"/>
          <w:color w:val="auto"/>
        </w:rPr>
      </w:pPr>
    </w:p>
    <w:p>
      <w:pPr>
        <w:jc w:val="both"/>
        <w:ind w:left="1800" w:right="419" w:hanging="180"/>
        <w:spacing w:after="0" w:line="268" w:lineRule="auto"/>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Risk Oversight by Full Board and Committees. </w:t>
      </w:r>
      <w:r>
        <w:rPr>
          <w:rFonts w:ascii="Arial" w:cs="Arial" w:eastAsia="Arial" w:hAnsi="Arial"/>
          <w:sz w:val="18"/>
          <w:szCs w:val="18"/>
          <w:color w:val="auto"/>
        </w:rPr>
        <w:t>A principal function of our Board is to oversee</w:t>
      </w:r>
      <w:r>
        <w:rPr>
          <w:rFonts w:ascii="Arial" w:cs="Arial" w:eastAsia="Arial" w:hAnsi="Arial"/>
          <w:sz w:val="18"/>
          <w:szCs w:val="18"/>
          <w:b w:val="1"/>
          <w:bCs w:val="1"/>
          <w:color w:val="auto"/>
        </w:rPr>
        <w:t xml:space="preserve"> </w:t>
      </w:r>
      <w:r>
        <w:rPr>
          <w:rFonts w:ascii="Arial" w:cs="Arial" w:eastAsia="Arial" w:hAnsi="Arial"/>
          <w:sz w:val="18"/>
          <w:szCs w:val="18"/>
          <w:color w:val="auto"/>
        </w:rPr>
        <w:t>risk assessment and risk management related to our business. Oversight for specific areas of risk exposure is delegated to our Board committees.</w:t>
      </w:r>
    </w:p>
    <w:p>
      <w:pPr>
        <w:spacing w:after="0" w:line="62" w:lineRule="exact"/>
        <w:rPr>
          <w:rFonts w:ascii="Arial" w:cs="Arial" w:eastAsia="Arial" w:hAnsi="Arial"/>
          <w:sz w:val="18"/>
          <w:szCs w:val="18"/>
          <w:color w:val="auto"/>
        </w:rPr>
      </w:pPr>
    </w:p>
    <w:p>
      <w:pPr>
        <w:ind w:left="1800" w:right="419" w:hanging="180"/>
        <w:spacing w:after="0" w:line="287" w:lineRule="auto"/>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Code of Ethics. </w:t>
      </w:r>
      <w:r>
        <w:rPr>
          <w:rFonts w:ascii="Arial" w:cs="Arial" w:eastAsia="Arial" w:hAnsi="Arial"/>
          <w:sz w:val="18"/>
          <w:szCs w:val="18"/>
          <w:color w:val="auto"/>
        </w:rPr>
        <w:t>A robust Code of Business Conduct and Ethics is in place for our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officers and employees.</w:t>
      </w:r>
    </w:p>
    <w:p>
      <w:pPr>
        <w:spacing w:after="0" w:line="44" w:lineRule="exact"/>
        <w:rPr>
          <w:rFonts w:ascii="Arial" w:cs="Arial" w:eastAsia="Arial" w:hAnsi="Arial"/>
          <w:sz w:val="18"/>
          <w:szCs w:val="18"/>
          <w:color w:val="auto"/>
        </w:rPr>
      </w:pPr>
    </w:p>
    <w:p>
      <w:pPr>
        <w:jc w:val="both"/>
        <w:ind w:left="1800" w:right="419" w:hanging="180"/>
        <w:spacing w:after="0" w:line="262" w:lineRule="auto"/>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Clawback Policy. </w:t>
      </w:r>
      <w:r>
        <w:rPr>
          <w:rFonts w:ascii="Arial" w:cs="Arial" w:eastAsia="Arial" w:hAnsi="Arial"/>
          <w:sz w:val="18"/>
          <w:szCs w:val="18"/>
          <w:color w:val="auto"/>
        </w:rPr>
        <w:t>Our Board voluntarily adopted a formal clawback policy in 2016 that applied</w:t>
      </w:r>
      <w:r>
        <w:rPr>
          <w:rFonts w:ascii="Arial" w:cs="Arial" w:eastAsia="Arial" w:hAnsi="Arial"/>
          <w:sz w:val="18"/>
          <w:szCs w:val="18"/>
          <w:b w:val="1"/>
          <w:bCs w:val="1"/>
          <w:color w:val="auto"/>
        </w:rPr>
        <w:t xml:space="preserve"> </w:t>
      </w:r>
      <w:r>
        <w:rPr>
          <w:rFonts w:ascii="Arial" w:cs="Arial" w:eastAsia="Arial" w:hAnsi="Arial"/>
          <w:sz w:val="18"/>
          <w:szCs w:val="18"/>
          <w:color w:val="auto"/>
        </w:rPr>
        <w:t>to both cash and equity incentive compensation, and updated the policy in fiscal year 2023 to comply with SEC requirements pursuant to the Dodd-Frank Wall Street Reform and Consumer Protection Act.</w:t>
      </w:r>
    </w:p>
    <w:p>
      <w:pPr>
        <w:spacing w:after="0" w:line="54" w:lineRule="exact"/>
        <w:rPr>
          <w:rFonts w:ascii="Arial" w:cs="Arial" w:eastAsia="Arial" w:hAnsi="Arial"/>
          <w:sz w:val="18"/>
          <w:szCs w:val="18"/>
          <w:color w:val="auto"/>
        </w:rPr>
      </w:pPr>
    </w:p>
    <w:p>
      <w:pPr>
        <w:ind w:left="1800" w:right="419" w:hanging="180"/>
        <w:spacing w:after="0" w:line="287" w:lineRule="auto"/>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Anti-Hedging and Anti-Pledging. </w:t>
      </w:r>
      <w:r>
        <w:rPr>
          <w:rFonts w:ascii="Arial" w:cs="Arial" w:eastAsia="Arial" w:hAnsi="Arial"/>
          <w:sz w:val="18"/>
          <w:szCs w:val="18"/>
          <w:color w:val="auto"/>
        </w:rPr>
        <w:t>Our directors, officers and employees are subject to anti-hedging and anti-pledging policies.</w:t>
      </w:r>
    </w:p>
    <w:p>
      <w:pPr>
        <w:spacing w:after="0" w:line="44" w:lineRule="exact"/>
        <w:rPr>
          <w:rFonts w:ascii="Arial" w:cs="Arial" w:eastAsia="Arial" w:hAnsi="Arial"/>
          <w:sz w:val="18"/>
          <w:szCs w:val="18"/>
          <w:color w:val="auto"/>
        </w:rPr>
      </w:pPr>
    </w:p>
    <w:p>
      <w:pPr>
        <w:ind w:left="1800" w:right="419" w:hanging="180"/>
        <w:spacing w:after="0" w:line="287" w:lineRule="auto"/>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Annual Say-on-Pay. </w:t>
      </w:r>
      <w:r>
        <w:rPr>
          <w:rFonts w:ascii="Arial" w:cs="Arial" w:eastAsia="Arial" w:hAnsi="Arial"/>
          <w:sz w:val="18"/>
          <w:szCs w:val="18"/>
          <w:color w:val="auto"/>
        </w:rPr>
        <w:t>We annually submit “Say-on-Pay” advisory votes for stockholder</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consideration and vote.</w:t>
      </w:r>
    </w:p>
    <w:p>
      <w:pPr>
        <w:spacing w:after="0" w:line="44" w:lineRule="exact"/>
        <w:rPr>
          <w:rFonts w:ascii="Arial" w:cs="Arial" w:eastAsia="Arial" w:hAnsi="Arial"/>
          <w:sz w:val="18"/>
          <w:szCs w:val="18"/>
          <w:color w:val="auto"/>
        </w:rPr>
      </w:pPr>
    </w:p>
    <w:p>
      <w:pPr>
        <w:jc w:val="both"/>
        <w:ind w:left="1800" w:right="419" w:hanging="180"/>
        <w:spacing w:after="0" w:line="268" w:lineRule="auto"/>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Social Responsibility. </w:t>
      </w:r>
      <w:r>
        <w:rPr>
          <w:rFonts w:ascii="Arial" w:cs="Arial" w:eastAsia="Arial" w:hAnsi="Arial"/>
          <w:sz w:val="18"/>
          <w:szCs w:val="18"/>
          <w:color w:val="auto"/>
        </w:rPr>
        <w:t>We strive to conduct our business in a socially responsible manner that</w:t>
      </w:r>
      <w:r>
        <w:rPr>
          <w:rFonts w:ascii="Arial" w:cs="Arial" w:eastAsia="Arial" w:hAnsi="Arial"/>
          <w:sz w:val="18"/>
          <w:szCs w:val="18"/>
          <w:b w:val="1"/>
          <w:bCs w:val="1"/>
          <w:color w:val="auto"/>
        </w:rPr>
        <w:t xml:space="preserve"> </w:t>
      </w:r>
      <w:r>
        <w:rPr>
          <w:rFonts w:ascii="Arial" w:cs="Arial" w:eastAsia="Arial" w:hAnsi="Arial"/>
          <w:sz w:val="18"/>
          <w:szCs w:val="18"/>
          <w:color w:val="auto"/>
        </w:rPr>
        <w:t>balances consideration of social issues with creating long-term value for our Company and our stockholders.</w:t>
      </w:r>
    </w:p>
    <w:p>
      <w:pPr>
        <w:sectPr>
          <w:pgSz w:w="11900" w:h="16838" w:orient="portrait"/>
          <w:cols w:equalWidth="0" w:num="1">
            <w:col w:w="9879"/>
          </w:cols>
          <w:pgMar w:left="580" w:top="97" w:right="1440" w:bottom="1440" w:gutter="0" w:footer="0" w:header="0"/>
        </w:sectPr>
      </w:pPr>
    </w:p>
    <w:p>
      <w:pPr>
        <w:spacing w:after="0" w:line="34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269240</wp:posOffset>
            </wp:positionV>
            <wp:extent cx="68319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800" w:right="419" w:hanging="180"/>
        <w:spacing w:after="0" w:line="287" w:lineRule="auto"/>
        <w:tabs>
          <w:tab w:leader="none" w:pos="180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Stockholder-requested Meetings. </w:t>
      </w:r>
      <w:r>
        <w:rPr>
          <w:rFonts w:ascii="Arial" w:cs="Arial" w:eastAsia="Arial" w:hAnsi="Arial"/>
          <w:sz w:val="18"/>
          <w:szCs w:val="18"/>
          <w:color w:val="auto"/>
        </w:rPr>
        <w:t>Our Bylaws permit stockholders to request the calling of a</w:t>
      </w:r>
      <w:r>
        <w:rPr>
          <w:rFonts w:ascii="Arial" w:cs="Arial" w:eastAsia="Arial" w:hAnsi="Arial"/>
          <w:sz w:val="18"/>
          <w:szCs w:val="18"/>
          <w:b w:val="1"/>
          <w:bCs w:val="1"/>
          <w:color w:val="auto"/>
        </w:rPr>
        <w:t xml:space="preserve"> </w:t>
      </w:r>
      <w:r>
        <w:rPr>
          <w:rFonts w:ascii="Arial" w:cs="Arial" w:eastAsia="Arial" w:hAnsi="Arial"/>
          <w:sz w:val="18"/>
          <w:szCs w:val="18"/>
          <w:color w:val="auto"/>
        </w:rPr>
        <w:t>special meeting.</w:t>
      </w:r>
    </w:p>
    <w:p>
      <w:pPr>
        <w:spacing w:after="0" w:line="44" w:lineRule="exact"/>
        <w:rPr>
          <w:rFonts w:ascii="Arial" w:cs="Arial" w:eastAsia="Arial" w:hAnsi="Arial"/>
          <w:sz w:val="18"/>
          <w:szCs w:val="18"/>
          <w:color w:val="auto"/>
        </w:rPr>
      </w:pPr>
    </w:p>
    <w:p>
      <w:pPr>
        <w:ind w:left="1800" w:hanging="180"/>
        <w:spacing w:after="0"/>
        <w:tabs>
          <w:tab w:leader="none" w:pos="180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Whistleblower Policy.  </w:t>
      </w:r>
      <w:r>
        <w:rPr>
          <w:rFonts w:ascii="Arial" w:cs="Arial" w:eastAsia="Arial" w:hAnsi="Arial"/>
          <w:sz w:val="18"/>
          <w:szCs w:val="18"/>
          <w:color w:val="auto"/>
        </w:rPr>
        <w:t>Our Board of Directors has adopted a “whistleblower” policy.</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Board Leadership Structure</w:t>
      </w:r>
    </w:p>
    <w:p>
      <w:pPr>
        <w:spacing w:after="0" w:line="158" w:lineRule="exact"/>
        <w:rPr>
          <w:sz w:val="20"/>
          <w:szCs w:val="20"/>
          <w:color w:val="auto"/>
        </w:rPr>
      </w:pPr>
    </w:p>
    <w:p>
      <w:pPr>
        <w:jc w:val="both"/>
        <w:ind w:left="1260" w:right="419"/>
        <w:spacing w:after="0" w:line="254" w:lineRule="auto"/>
        <w:rPr>
          <w:sz w:val="20"/>
          <w:szCs w:val="20"/>
          <w:color w:val="auto"/>
        </w:rPr>
      </w:pPr>
      <w:r>
        <w:rPr>
          <w:rFonts w:ascii="Arial" w:cs="Arial" w:eastAsia="Arial" w:hAnsi="Arial"/>
          <w:sz w:val="18"/>
          <w:szCs w:val="18"/>
          <w:color w:val="auto"/>
        </w:rPr>
        <w:t>We have adopted, as part of the charter of the Governance Committee, a policy that the chairman of the Board be an independent director. The Board believes that this is the most appropriate leadership structure for the Company, because having the Board operate under the leadership and direction of someone independent from management provides the Board with the most effective mechanism to fulfill its oversight responsibilities and hold management accountable for the performance of the Company. It also allows our CEO to focus on running our day-to-day business. The charter of the Governance Committee provides that the Chairman is appointed by the non-management directors annually. Ms. Franklin, an independent director, currently serves as the chairman of the Board. Mr. Brokaw, who is also an independent director, currently serves as the vice Chairman of the Board and may fulfill the responsibilities of the chairman in her absence.</w:t>
      </w:r>
    </w:p>
    <w:p>
      <w:pPr>
        <w:spacing w:after="0" w:line="104"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Board Role in Risk Oversight</w:t>
      </w:r>
    </w:p>
    <w:p>
      <w:pPr>
        <w:spacing w:after="0" w:line="158" w:lineRule="exact"/>
        <w:rPr>
          <w:sz w:val="20"/>
          <w:szCs w:val="20"/>
          <w:color w:val="auto"/>
        </w:rPr>
      </w:pPr>
    </w:p>
    <w:p>
      <w:pPr>
        <w:jc w:val="both"/>
        <w:ind w:left="1260" w:right="419"/>
        <w:spacing w:after="0" w:line="254" w:lineRule="auto"/>
        <w:rPr>
          <w:sz w:val="20"/>
          <w:szCs w:val="20"/>
          <w:color w:val="auto"/>
        </w:rPr>
      </w:pPr>
      <w:r>
        <w:rPr>
          <w:rFonts w:ascii="Arial" w:cs="Arial" w:eastAsia="Arial" w:hAnsi="Arial"/>
          <w:sz w:val="18"/>
          <w:szCs w:val="18"/>
          <w:color w:val="auto"/>
        </w:rPr>
        <w:t>The Board has an active role in overseeing risk management. The Board regularly reviews information regarding our financial position, results of operations, liquidity, and cash flows, as well as the risks associated with each and generally with our businesses and business strategy. The Board, in coordination with the Audit Committee, also oversees the Company’s cybersecurity risk management process. The Compensation Committee is responsible for overseeing the management of risks relating to our compensation plans and arrangements. The Audit Committee inquires of management, our internal auditor and our independent auditor about significant risks or exposures and assesses the steps management has taken to address or minimize such risks. While these committees are responsible for evaluating certain risks and overseeing the management of such risks, the entire Board of Directors is informed through committee reports about such risks.</w:t>
      </w:r>
    </w:p>
    <w:p>
      <w:pPr>
        <w:spacing w:after="0" w:line="118"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Insider Trading Policy</w:t>
      </w:r>
    </w:p>
    <w:p>
      <w:pPr>
        <w:spacing w:after="0" w:line="144" w:lineRule="exact"/>
        <w:rPr>
          <w:sz w:val="20"/>
          <w:szCs w:val="20"/>
          <w:color w:val="auto"/>
        </w:rPr>
      </w:pPr>
    </w:p>
    <w:p>
      <w:pPr>
        <w:jc w:val="both"/>
        <w:ind w:left="1260" w:right="419"/>
        <w:spacing w:after="0" w:line="262" w:lineRule="auto"/>
        <w:rPr>
          <w:sz w:val="20"/>
          <w:szCs w:val="20"/>
          <w:color w:val="auto"/>
        </w:rPr>
      </w:pPr>
      <w:r>
        <w:rPr>
          <w:rFonts w:ascii="Arial" w:cs="Arial" w:eastAsia="Arial" w:hAnsi="Arial"/>
          <w:sz w:val="18"/>
          <w:szCs w:val="18"/>
          <w:color w:val="auto"/>
        </w:rPr>
        <w:t>We have adopted an insider trading policy governing the purchase, sale, and/or other dispositions of our securities by our directors, officers and employees and by us. We believe that the policies and procedures set forth in our insider trading policy are reasonably designed to promote compliance with insider trading laws, rules and regulations, and NYSE listing standards.</w:t>
      </w:r>
    </w:p>
    <w:p>
      <w:pPr>
        <w:spacing w:after="0" w:line="109"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Codes of Ethics</w:t>
      </w:r>
    </w:p>
    <w:p>
      <w:pPr>
        <w:spacing w:after="0" w:line="158" w:lineRule="exact"/>
        <w:rPr>
          <w:sz w:val="20"/>
          <w:szCs w:val="20"/>
          <w:color w:val="auto"/>
        </w:rPr>
      </w:pPr>
    </w:p>
    <w:p>
      <w:pPr>
        <w:jc w:val="both"/>
        <w:ind w:left="1260" w:right="419"/>
        <w:spacing w:after="0" w:line="278" w:lineRule="auto"/>
        <w:rPr>
          <w:sz w:val="20"/>
          <w:szCs w:val="20"/>
          <w:color w:val="auto"/>
        </w:rPr>
      </w:pPr>
      <w:r>
        <w:rPr>
          <w:rFonts w:ascii="Arial" w:cs="Arial" w:eastAsia="Arial" w:hAnsi="Arial"/>
          <w:sz w:val="17"/>
          <w:szCs w:val="17"/>
          <w:color w:val="auto"/>
        </w:rPr>
        <w:t>We have adopted a Code of Ethical Conduct for Senior Financial Officers (applicable to the principal executive officer, principal financial officer and principal accounting officer), violations of which may be reported to the Audit Committee. We will provide a copy of our Code of Ethical Conduct for Senior Financial Officers to any person upon request and without charge. Any such request should be made in writing to our Corporate Secretary at 369 N. New York Avenue, Suite 201, Winter Park, Florida 32789.</w:t>
      </w:r>
    </w:p>
    <w:p>
      <w:pPr>
        <w:spacing w:after="0" w:line="83" w:lineRule="exact"/>
        <w:rPr>
          <w:sz w:val="20"/>
          <w:szCs w:val="20"/>
          <w:color w:val="auto"/>
        </w:rPr>
      </w:pPr>
    </w:p>
    <w:p>
      <w:pPr>
        <w:jc w:val="both"/>
        <w:ind w:left="1260" w:right="419"/>
        <w:spacing w:after="0" w:line="259" w:lineRule="auto"/>
        <w:rPr>
          <w:sz w:val="20"/>
          <w:szCs w:val="20"/>
          <w:color w:val="auto"/>
        </w:rPr>
      </w:pPr>
      <w:r>
        <w:rPr>
          <w:rFonts w:ascii="Arial" w:cs="Arial" w:eastAsia="Arial" w:hAnsi="Arial"/>
          <w:sz w:val="18"/>
          <w:szCs w:val="18"/>
          <w:color w:val="auto"/>
        </w:rPr>
        <w:t>We have also adopted a Code of Business Conduct and Ethics that includes provisions ranging from legal compliance to conflicts of interest. All employees and directors are subject to this code. A copy of our Code of Business Conduct and Ethics is available in the Governance section of our website (www.ctoreit.com) and may also be obtained free of charge upon written request to our Corporate Secretary at 369 N. New York Avenue, Suite 201, Winter Park, Florida 32789.</w:t>
      </w:r>
    </w:p>
    <w:p>
      <w:pPr>
        <w:spacing w:after="0" w:line="112" w:lineRule="exact"/>
        <w:rPr>
          <w:sz w:val="20"/>
          <w:szCs w:val="20"/>
          <w:color w:val="auto"/>
        </w:rPr>
      </w:pPr>
    </w:p>
    <w:p>
      <w:pPr>
        <w:jc w:val="both"/>
        <w:ind w:left="1260" w:right="419"/>
        <w:spacing w:after="0" w:line="256" w:lineRule="auto"/>
        <w:rPr>
          <w:sz w:val="20"/>
          <w:szCs w:val="20"/>
          <w:color w:val="auto"/>
        </w:rPr>
      </w:pPr>
      <w:r>
        <w:rPr>
          <w:rFonts w:ascii="Arial" w:cs="Arial" w:eastAsia="Arial" w:hAnsi="Arial"/>
          <w:sz w:val="18"/>
          <w:szCs w:val="18"/>
          <w:color w:val="auto"/>
        </w:rPr>
        <w:t>We intend to comply with the requirements of Item 5.05 of Form 8-K regarding amendments to and waivers under the Code of Business Conduct and Ethics applicable to our principal executive officer, principal financial officer and principal accounting officer by providing such information on our website within four business days after effecting any amendment to, or granting any waiver under, that code, and we will maintain such information on our website for at least twelve months. The information found on, or accessible through, our website is not incorporated into, and does not form a part of, this proxy statement or any other report or document we file with or furnish to the SEC.</w:t>
      </w:r>
    </w:p>
    <w:p>
      <w:pPr>
        <w:sectPr>
          <w:pgSz w:w="11900" w:h="16838" w:orient="portrait"/>
          <w:cols w:equalWidth="0" w:num="1">
            <w:col w:w="9879"/>
          </w:cols>
          <w:pgMar w:left="580" w:top="97" w:right="1440" w:bottom="1440" w:gutter="0" w:footer="0" w:header="0"/>
        </w:sectPr>
      </w:pPr>
    </w:p>
    <w:p>
      <w:pPr>
        <w:spacing w:after="0" w:line="358"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Clawback Policy</w:t>
      </w:r>
    </w:p>
    <w:p>
      <w:pPr>
        <w:spacing w:after="0" w:line="158" w:lineRule="exact"/>
        <w:rPr>
          <w:sz w:val="20"/>
          <w:szCs w:val="20"/>
          <w:color w:val="auto"/>
        </w:rPr>
      </w:pPr>
    </w:p>
    <w:p>
      <w:pPr>
        <w:jc w:val="both"/>
        <w:ind w:left="1260" w:right="419"/>
        <w:spacing w:after="0" w:line="244" w:lineRule="auto"/>
        <w:rPr>
          <w:sz w:val="20"/>
          <w:szCs w:val="20"/>
          <w:color w:val="auto"/>
        </w:rPr>
      </w:pPr>
      <w:r>
        <w:rPr>
          <w:rFonts w:ascii="Arial" w:cs="Arial" w:eastAsia="Arial" w:hAnsi="Arial"/>
          <w:sz w:val="18"/>
          <w:szCs w:val="18"/>
          <w:color w:val="auto"/>
        </w:rPr>
        <w:t>We adopted the CTO Realty Growth, Inc. Clawback Policy (the “Clawback Policy”) effective as of October 24, 2023. In the event that the Company is required to prepare a financial restatement, the Compensation Committee shall, to the extent practicable, recoup all incentive-based compensation calculated on a pre-tax basis received after October 2, 2023, by a person (i) after beginning service as an executive officer, (ii) who served as an executive officer at any time during the performance period for that incentive-based compensation; (iii) while the Company had a class of securities listed on a national securities exchange or national securities association; and (iv) during the applicable period, that exceeded the amount of incentive-based compensation that otherwise would have been received had the amount been determined based on the Financial Reporting Measures (as defined in the Clawback Policy), as reflected in the restatement.</w:t>
      </w:r>
    </w:p>
    <w:p>
      <w:pPr>
        <w:spacing w:after="0" w:line="110"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Anti-Hedging and Anti-Pledging Policy</w:t>
      </w:r>
    </w:p>
    <w:p>
      <w:pPr>
        <w:spacing w:after="0" w:line="158" w:lineRule="exact"/>
        <w:rPr>
          <w:sz w:val="20"/>
          <w:szCs w:val="20"/>
          <w:color w:val="auto"/>
        </w:rPr>
      </w:pPr>
    </w:p>
    <w:p>
      <w:pPr>
        <w:jc w:val="both"/>
        <w:ind w:left="1260" w:right="419"/>
        <w:spacing w:after="0" w:line="255" w:lineRule="auto"/>
        <w:rPr>
          <w:sz w:val="20"/>
          <w:szCs w:val="20"/>
          <w:color w:val="auto"/>
        </w:rPr>
      </w:pPr>
      <w:r>
        <w:rPr>
          <w:rFonts w:ascii="Arial" w:cs="Arial" w:eastAsia="Arial" w:hAnsi="Arial"/>
          <w:sz w:val="18"/>
          <w:szCs w:val="18"/>
          <w:color w:val="auto"/>
        </w:rPr>
        <w:t>To ensure proper alignment with our stockholders, all employees, including our executive officers, and non-employee directors are prohibited from engaging in short sales of our securities, establishing margin accounts, pledging our securities as collateral for a loan, buying or selling puts or calls on our securities or otherwise engaging in hedging transactions (such as zero-cost collars, exchange funds, and forward sale contracts) involving our securities. In addition, margin purchases of our securities and pledging any of our securities as collateral to secure loans is prohibited. This prohibition means that our directors, officers, employees, and their family members cannot hold our securities in a “margin account” nor can they pledge any of our securities for any loans or indebtedness.</w:t>
      </w:r>
    </w:p>
    <w:p>
      <w:pPr>
        <w:spacing w:after="0" w:line="104"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Policies and Procedures for Approval of Related Party Transactions</w:t>
      </w:r>
    </w:p>
    <w:p>
      <w:pPr>
        <w:spacing w:after="0" w:line="158" w:lineRule="exact"/>
        <w:rPr>
          <w:sz w:val="20"/>
          <w:szCs w:val="20"/>
          <w:color w:val="auto"/>
        </w:rPr>
      </w:pPr>
    </w:p>
    <w:p>
      <w:pPr>
        <w:jc w:val="both"/>
        <w:ind w:left="1260" w:right="419"/>
        <w:spacing w:after="0" w:line="268" w:lineRule="auto"/>
        <w:rPr>
          <w:sz w:val="20"/>
          <w:szCs w:val="20"/>
          <w:color w:val="auto"/>
        </w:rPr>
      </w:pPr>
      <w:r>
        <w:rPr>
          <w:rFonts w:ascii="Arial" w:cs="Arial" w:eastAsia="Arial" w:hAnsi="Arial"/>
          <w:sz w:val="18"/>
          <w:szCs w:val="18"/>
          <w:color w:val="auto"/>
        </w:rPr>
        <w:t>The Board of Directors has adopted a written Related Party Transactions Policy and Procedures establishing guidelines with respect to the review, approval, and ratification of Related Party Transactions.</w:t>
      </w:r>
    </w:p>
    <w:p>
      <w:pPr>
        <w:spacing w:after="0" w:line="103" w:lineRule="exact"/>
        <w:rPr>
          <w:sz w:val="20"/>
          <w:szCs w:val="20"/>
          <w:color w:val="auto"/>
        </w:rPr>
      </w:pPr>
    </w:p>
    <w:p>
      <w:pPr>
        <w:jc w:val="both"/>
        <w:ind w:left="1260" w:right="419"/>
        <w:spacing w:after="0" w:line="255" w:lineRule="auto"/>
        <w:rPr>
          <w:sz w:val="20"/>
          <w:szCs w:val="20"/>
          <w:color w:val="auto"/>
        </w:rPr>
      </w:pPr>
      <w:r>
        <w:rPr>
          <w:rFonts w:ascii="Arial" w:cs="Arial" w:eastAsia="Arial" w:hAnsi="Arial"/>
          <w:sz w:val="18"/>
          <w:szCs w:val="18"/>
          <w:color w:val="auto"/>
        </w:rPr>
        <w:t>Related parties that are covered by the policy include any executive officer, director, nominee for director or 5% stockholder of the Company, any immediate family member of those persons, any entity that is owned or controlled by any of the foregoing persons or any entity in which such a person is an executive officer or has a substantial ownership interest. “Related party transaction” means any financial transaction, arrangement or relationship or series of similar transactions, arrangements or relationships (including any indebtedness or guarantee of indebtedness) or modification to such a transaction involving an amount of at least $120,000 in any calendar year in which the Company is a participant and in which a related party will have a direct or indirect material interest.</w:t>
      </w:r>
    </w:p>
    <w:p>
      <w:pPr>
        <w:spacing w:after="0" w:line="104" w:lineRule="exact"/>
        <w:rPr>
          <w:sz w:val="20"/>
          <w:szCs w:val="20"/>
          <w:color w:val="auto"/>
        </w:rPr>
      </w:pPr>
    </w:p>
    <w:p>
      <w:pPr>
        <w:jc w:val="both"/>
        <w:ind w:left="1260" w:right="419"/>
        <w:spacing w:after="0" w:line="268" w:lineRule="auto"/>
        <w:rPr>
          <w:sz w:val="20"/>
          <w:szCs w:val="20"/>
          <w:color w:val="auto"/>
        </w:rPr>
      </w:pPr>
      <w:r>
        <w:rPr>
          <w:rFonts w:ascii="Arial" w:cs="Arial" w:eastAsia="Arial" w:hAnsi="Arial"/>
          <w:sz w:val="18"/>
          <w:szCs w:val="18"/>
          <w:color w:val="auto"/>
        </w:rPr>
        <w:t>Executive officers and directors of the Company are required to submit full details of the related party transaction to the Audit Committee. The Audit Committee will then determine whether to ratify or approve the transaction. The Audit Committee considers, among other things:</w:t>
      </w:r>
    </w:p>
    <w:p>
      <w:pPr>
        <w:spacing w:after="0" w:line="63" w:lineRule="exact"/>
        <w:rPr>
          <w:sz w:val="20"/>
          <w:szCs w:val="20"/>
          <w:color w:val="auto"/>
        </w:rPr>
      </w:pPr>
    </w:p>
    <w:p>
      <w:pPr>
        <w:ind w:left="1800" w:right="419" w:hanging="180"/>
        <w:spacing w:after="0" w:line="287" w:lineRule="auto"/>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terms of the transaction and whether the terms are fair to the Company and are on the same basis as if the transaction did not involve a related party;</w:t>
      </w:r>
    </w:p>
    <w:p>
      <w:pPr>
        <w:spacing w:after="0" w:line="44" w:lineRule="exact"/>
        <w:rPr>
          <w:rFonts w:ascii="Arial" w:cs="Arial" w:eastAsia="Arial" w:hAnsi="Arial"/>
          <w:sz w:val="18"/>
          <w:szCs w:val="18"/>
          <w:color w:val="auto"/>
        </w:rPr>
      </w:pPr>
    </w:p>
    <w:p>
      <w:pPr>
        <w:ind w:left="1800" w:hanging="180"/>
        <w:spacing w:after="0"/>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reasons for the Company to enter into the transaction;</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the transaction would impair the independence of a non-employee director;</w:t>
      </w:r>
    </w:p>
    <w:p>
      <w:pPr>
        <w:spacing w:after="0" w:line="117" w:lineRule="exact"/>
        <w:rPr>
          <w:rFonts w:ascii="Arial" w:cs="Arial" w:eastAsia="Arial" w:hAnsi="Arial"/>
          <w:sz w:val="18"/>
          <w:szCs w:val="18"/>
          <w:color w:val="auto"/>
        </w:rPr>
      </w:pPr>
    </w:p>
    <w:p>
      <w:pPr>
        <w:ind w:left="1800" w:right="419" w:hanging="180"/>
        <w:spacing w:after="0" w:line="287" w:lineRule="auto"/>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the transaction presents an improper conflict for any director or executive officer of the Company; and</w:t>
      </w:r>
    </w:p>
    <w:p>
      <w:pPr>
        <w:spacing w:after="0" w:line="44" w:lineRule="exact"/>
        <w:rPr>
          <w:rFonts w:ascii="Arial" w:cs="Arial" w:eastAsia="Arial" w:hAnsi="Arial"/>
          <w:sz w:val="18"/>
          <w:szCs w:val="18"/>
          <w:color w:val="auto"/>
        </w:rPr>
      </w:pPr>
    </w:p>
    <w:p>
      <w:pPr>
        <w:ind w:left="1800" w:hanging="180"/>
        <w:spacing w:after="0"/>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materiality of the transaction.</w:t>
      </w:r>
    </w:p>
    <w:p>
      <w:pPr>
        <w:spacing w:after="0" w:line="158" w:lineRule="exact"/>
        <w:rPr>
          <w:sz w:val="20"/>
          <w:szCs w:val="20"/>
          <w:color w:val="auto"/>
        </w:rPr>
      </w:pPr>
    </w:p>
    <w:p>
      <w:pPr>
        <w:jc w:val="both"/>
        <w:ind w:left="1260" w:right="419"/>
        <w:spacing w:after="0" w:line="268" w:lineRule="auto"/>
        <w:rPr>
          <w:sz w:val="20"/>
          <w:szCs w:val="20"/>
          <w:color w:val="auto"/>
        </w:rPr>
      </w:pPr>
      <w:r>
        <w:rPr>
          <w:rFonts w:ascii="Arial" w:cs="Arial" w:eastAsia="Arial" w:hAnsi="Arial"/>
          <w:sz w:val="18"/>
          <w:szCs w:val="18"/>
          <w:color w:val="auto"/>
        </w:rPr>
        <w:t>Any member of the Audit Committee with an interest in a related party transaction will not vote on the approval or ratification of that transaction, but may participate, to the extent requested by the chairman of the Audit Committee, in the Audit Committee’s consideration of that transaction.</w:t>
      </w:r>
    </w:p>
    <w:p>
      <w:pPr>
        <w:spacing w:after="0" w:line="103" w:lineRule="exact"/>
        <w:rPr>
          <w:sz w:val="20"/>
          <w:szCs w:val="20"/>
          <w:color w:val="auto"/>
        </w:rPr>
      </w:pPr>
    </w:p>
    <w:p>
      <w:pPr>
        <w:jc w:val="both"/>
        <w:ind w:left="1260" w:right="419"/>
        <w:spacing w:after="0" w:line="262" w:lineRule="auto"/>
        <w:rPr>
          <w:sz w:val="20"/>
          <w:szCs w:val="20"/>
          <w:color w:val="auto"/>
        </w:rPr>
      </w:pPr>
      <w:r>
        <w:rPr>
          <w:rFonts w:ascii="Arial" w:cs="Arial" w:eastAsia="Arial" w:hAnsi="Arial"/>
          <w:sz w:val="18"/>
          <w:szCs w:val="18"/>
          <w:color w:val="auto"/>
        </w:rPr>
        <w:t>On August 1, 2024, the Company completed a $10.0 million preferred equity investment in a subsidiary of Seaport Entertainment Group Inc., a publicly traded hospitality, entertainment and real estate company (“SEG”), with a dividend rate of 14.0%. The investment is not redeemable prior to July 11, 2029, except</w:t>
      </w:r>
    </w:p>
    <w:p>
      <w:pPr>
        <w:sectPr>
          <w:pgSz w:w="11900" w:h="16838" w:orient="portrait"/>
          <w:cols w:equalWidth="0" w:num="1">
            <w:col w:w="9879"/>
          </w:cols>
          <w:pgMar w:left="580" w:top="97" w:right="1440" w:bottom="1440" w:gutter="0" w:footer="0" w:header="0"/>
        </w:sectPr>
      </w:pPr>
    </w:p>
    <w:p>
      <w:pPr>
        <w:spacing w:after="0" w:line="35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left="1260" w:right="419"/>
        <w:spacing w:after="0" w:line="259" w:lineRule="auto"/>
        <w:rPr>
          <w:sz w:val="20"/>
          <w:szCs w:val="20"/>
          <w:color w:val="auto"/>
        </w:rPr>
      </w:pPr>
      <w:r>
        <w:rPr>
          <w:rFonts w:ascii="Arial" w:cs="Arial" w:eastAsia="Arial" w:hAnsi="Arial"/>
          <w:sz w:val="18"/>
          <w:szCs w:val="18"/>
          <w:color w:val="auto"/>
        </w:rPr>
        <w:t>upon the occurrence of certain specified events. In connection with the investment, the Company received an origination fee of 1.0% or $0.1 million. Matthew M. Partridge, our former Senior Vice President, Chief Financial Officer &amp; Treasurer, was at the time of the transaction the Executive Vice President, Chief Financial Officer and Treasurer of SEG, and is currently President and Chief Executive Officer of SEG.</w:t>
      </w:r>
    </w:p>
    <w:p>
      <w:pPr>
        <w:spacing w:after="0" w:line="112" w:lineRule="exact"/>
        <w:rPr>
          <w:sz w:val="20"/>
          <w:szCs w:val="20"/>
          <w:color w:val="auto"/>
        </w:rPr>
      </w:pPr>
    </w:p>
    <w:p>
      <w:pPr>
        <w:jc w:val="both"/>
        <w:ind w:left="1260" w:right="419"/>
        <w:spacing w:after="0" w:line="253" w:lineRule="auto"/>
        <w:rPr>
          <w:sz w:val="20"/>
          <w:szCs w:val="20"/>
          <w:color w:val="auto"/>
        </w:rPr>
      </w:pPr>
      <w:r>
        <w:rPr>
          <w:rFonts w:ascii="Arial" w:cs="Arial" w:eastAsia="Arial" w:hAnsi="Arial"/>
          <w:sz w:val="18"/>
          <w:szCs w:val="18"/>
          <w:color w:val="auto"/>
        </w:rPr>
        <w:t>On November 15, 2023, an affiliate of Alpine originated a $24.0 million loan (the “Alpine Portfolio Loan”) secured by a first mortgage encumbering a portfolio of 41 assets and related improvements owned by a third party (the “AM Portfolio”). On December 4, 2023, we entered into an asset management agreement (the “Asset Management Agreement”) directly with the owner of the AM Portfolio to manage the portfolio of assets securing the Alpine Portfolio Loan. On December 4, 2023, the Company entered into a revenue sharing agreement with Alpine (the “Revenue Sharing Agreement”) whereby the Company agreed to pay to Alpine a share of the asset management fees, disposition management fees, leasing commissions, and other fees earned by the Company under the Asset Management Agreement. Alpine’s share of the fees under the Revenue Sharing Agreement will be based on fees earned by the Company associated with the single tenant properties within the AM Portfolio. During each of the years ended December 31, 2024 and 2025, the Company recognized $0.3 million of revenue under the Asset Management Agreement, and PINE recognized $0.5 million of revenue under the Revenue Sharing Agreement.</w:t>
      </w:r>
    </w:p>
    <w:p>
      <w:pPr>
        <w:spacing w:after="0" w:line="120" w:lineRule="exact"/>
        <w:rPr>
          <w:sz w:val="20"/>
          <w:szCs w:val="20"/>
          <w:color w:val="auto"/>
        </w:rPr>
      </w:pPr>
    </w:p>
    <w:p>
      <w:pPr>
        <w:jc w:val="both"/>
        <w:ind w:left="1260" w:right="419"/>
        <w:spacing w:after="0" w:line="259" w:lineRule="auto"/>
        <w:rPr>
          <w:sz w:val="20"/>
          <w:szCs w:val="20"/>
          <w:color w:val="auto"/>
        </w:rPr>
      </w:pPr>
      <w:r>
        <w:rPr>
          <w:rFonts w:ascii="Arial" w:cs="Arial" w:eastAsia="Arial" w:hAnsi="Arial"/>
          <w:sz w:val="18"/>
          <w:szCs w:val="18"/>
          <w:color w:val="auto"/>
        </w:rPr>
        <w:t>In connection with the formation and initial public offering of Alpine, (i) the Company and Alpine entered into an exclusivity and right of first offer agreement dated November 26, 2019 (the “Alpine ROFO Agreement”) and (ii) Alpine, Alpine Income Property OP, LP and Alpine Income Property Manager, LLC, a wholly owned subsidiary of the Company, entered into a management agreement dated November 26, 2019 (the “Alpine Management Agreement”).</w:t>
      </w:r>
    </w:p>
    <w:p>
      <w:pPr>
        <w:spacing w:after="0" w:line="98" w:lineRule="exact"/>
        <w:rPr>
          <w:sz w:val="20"/>
          <w:szCs w:val="20"/>
          <w:color w:val="auto"/>
        </w:rPr>
      </w:pPr>
    </w:p>
    <w:p>
      <w:pPr>
        <w:jc w:val="both"/>
        <w:ind w:left="1260" w:right="419"/>
        <w:spacing w:after="0" w:line="262" w:lineRule="auto"/>
        <w:rPr>
          <w:sz w:val="20"/>
          <w:szCs w:val="20"/>
          <w:color w:val="auto"/>
        </w:rPr>
      </w:pPr>
      <w:r>
        <w:rPr>
          <w:rFonts w:ascii="Arial" w:cs="Arial" w:eastAsia="Arial" w:hAnsi="Arial"/>
          <w:sz w:val="18"/>
          <w:szCs w:val="18"/>
          <w:color w:val="auto"/>
        </w:rPr>
        <w:t>The term of the Alpine ROFO Agreement commenced on the date of the closing of the Alpine IPO and will continue for so long as the Company or its affiliate is the manager of Alpine. During the term of the Alpine ROFO Agreement, the Company’s ability to sell any of its single-tenant, net leased properties is subject to a right of first offer in favor of Alpine.</w:t>
      </w:r>
    </w:p>
    <w:p>
      <w:pPr>
        <w:spacing w:after="0" w:line="109" w:lineRule="exact"/>
        <w:rPr>
          <w:sz w:val="20"/>
          <w:szCs w:val="20"/>
          <w:color w:val="auto"/>
        </w:rPr>
      </w:pPr>
    </w:p>
    <w:p>
      <w:pPr>
        <w:jc w:val="both"/>
        <w:ind w:left="1260" w:right="419"/>
        <w:spacing w:after="0" w:line="254" w:lineRule="auto"/>
        <w:rPr>
          <w:sz w:val="20"/>
          <w:szCs w:val="20"/>
          <w:color w:val="auto"/>
        </w:rPr>
      </w:pPr>
      <w:r>
        <w:rPr>
          <w:rFonts w:ascii="Arial" w:cs="Arial" w:eastAsia="Arial" w:hAnsi="Arial"/>
          <w:sz w:val="18"/>
          <w:szCs w:val="18"/>
          <w:color w:val="auto"/>
        </w:rPr>
        <w:t>The term of the Alpine Management Agreement commenced on the date of the closing of the Alpine IPO and had an initial term of five years, with automatic one-year renewal terms unless the agreement is not renewed or is terminated in accordance with its terms. On July 19, 2024, the Alpine Management Agreement was amended to extend the initial expiration date to January 31, 2025, and on that date the term of the agreement automatically renewed for a one-year term, with the current one-year term of the agreement expiring on January 31, 2027. Pursuant to the terms of the Alpine Management Agreement, as amended, we manage, operate and administer Alpine’s day-to-day operations, business and affairs, subject to the direction and supervision of the Alpine board of directors and in accordance with the investment guidelines approved and monitored by the Alpine board. Under the Alpine Management Agreement, we are entitled to receive from Alpine a base management fee and incentive compensation, as well as the reimbursement of certain expenses we incur.</w:t>
      </w:r>
    </w:p>
    <w:p>
      <w:pPr>
        <w:spacing w:after="0" w:line="115" w:lineRule="exact"/>
        <w:rPr>
          <w:sz w:val="20"/>
          <w:szCs w:val="20"/>
          <w:color w:val="auto"/>
        </w:rPr>
      </w:pPr>
    </w:p>
    <w:p>
      <w:pPr>
        <w:jc w:val="both"/>
        <w:ind w:left="1260" w:right="419"/>
        <w:spacing w:after="0" w:line="255" w:lineRule="auto"/>
        <w:rPr>
          <w:sz w:val="20"/>
          <w:szCs w:val="20"/>
          <w:color w:val="auto"/>
        </w:rPr>
      </w:pPr>
      <w:r>
        <w:rPr>
          <w:rFonts w:ascii="Arial" w:cs="Arial" w:eastAsia="Arial" w:hAnsi="Arial"/>
          <w:sz w:val="18"/>
          <w:szCs w:val="18"/>
          <w:color w:val="auto"/>
        </w:rPr>
        <w:t>On September 27, 2024, the Company originated a $43.5 million loan (the “CTO Rivana Loan”) secured by a 103-acre development project in Fairfax County (24 acres) and Loudoun County (79 acres), Virginia. On December 31, 2025, the CTO Rivana Loan was modified to (i) increase the Company’s commitment amount thereunder to $59.45 million and (ii) release from the collateral securing the loan the mortgage encumbering the 24 acres in Fairfax County. Simultaneously with the modification of the CTO Rivana Loan, Alpine originated a $20.0 million loan secured by the 24 acres in Fairfax County that previously was part of the collateral securing the CTO Rivana Loan. The table below provides additional information regarding these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440" w:right="60" w:hanging="179"/>
        <w:spacing w:after="0" w:line="281" w:lineRule="auto"/>
        <w:rPr>
          <w:sz w:val="20"/>
          <w:szCs w:val="20"/>
          <w:color w:val="auto"/>
        </w:rPr>
      </w:pPr>
      <w:r>
        <w:rPr>
          <w:rFonts w:ascii="Arial" w:cs="Arial" w:eastAsia="Arial" w:hAnsi="Arial"/>
          <w:sz w:val="18"/>
          <w:szCs w:val="18"/>
          <w:color w:val="auto"/>
        </w:rPr>
        <w:t>Amount Outstanding as of 12/31/2025 (in thousands) (includes unpaid PIK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-320675</wp:posOffset>
            </wp:positionV>
            <wp:extent cx="5212080" cy="3086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212080" cy="308610"/>
                    </a:xfrm>
                    <a:prstGeom prst="rect">
                      <a:avLst/>
                    </a:prstGeom>
                    <a:noFill/>
                  </pic:spPr>
                </pic:pic>
              </a:graphicData>
            </a:graphic>
          </wp:anchor>
        </w:drawing>
      </w:r>
    </w:p>
    <w:p>
      <w:pPr>
        <w:ind w:left="1260"/>
        <w:spacing w:after="0"/>
        <w:rPr>
          <w:sz w:val="20"/>
          <w:szCs w:val="20"/>
          <w:color w:val="auto"/>
        </w:rPr>
      </w:pPr>
      <w:r>
        <w:rPr>
          <w:rFonts w:ascii="Arial" w:cs="Arial" w:eastAsia="Arial" w:hAnsi="Arial"/>
          <w:sz w:val="18"/>
          <w:szCs w:val="18"/>
          <w:color w:val="auto"/>
        </w:rPr>
        <w:t>Principal Repaid during 2025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17780</wp:posOffset>
            </wp:positionV>
            <wp:extent cx="5212080" cy="3003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212080" cy="300355"/>
                    </a:xfrm>
                    <a:prstGeom prst="rect">
                      <a:avLst/>
                    </a:prstGeom>
                    <a:noFill/>
                  </pic:spPr>
                </pic:pic>
              </a:graphicData>
            </a:graphic>
          </wp:anchor>
        </w:drawing>
      </w:r>
    </w:p>
    <w:p>
      <w:pPr>
        <w:spacing w:after="0" w:line="16"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Interest Earned during 2025 (excludes origination and exit fees)</w:t>
      </w:r>
    </w:p>
    <w:p>
      <w:pPr>
        <w:spacing w:after="0" w:line="3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(in thousands)</w:t>
      </w:r>
    </w:p>
    <w:p>
      <w:pPr>
        <w:spacing w:after="0" w:line="4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Interest Paid during 2025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17780</wp:posOffset>
            </wp:positionV>
            <wp:extent cx="521208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Interest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172085</wp:posOffset>
            </wp:positionV>
            <wp:extent cx="123444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5"/>
        </w:trPr>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PINE Rivana Loan</w:t>
            </w:r>
          </w:p>
        </w:tc>
        <w:tc>
          <w:tcPr>
            <w:tcW w:w="2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CTO Rivana Loan</w:t>
            </w:r>
          </w:p>
        </w:tc>
        <w:tc>
          <w:tcPr>
            <w:tcW w:w="60" w:type="dxa"/>
            <w:vAlign w:val="bottom"/>
          </w:tcPr>
          <w:p>
            <w:pPr>
              <w:spacing w:after="0"/>
              <w:rPr>
                <w:sz w:val="17"/>
                <w:szCs w:val="17"/>
                <w:color w:val="auto"/>
              </w:rPr>
            </w:pPr>
          </w:p>
        </w:tc>
      </w:tr>
      <w:tr>
        <w:trPr>
          <w:trHeight w:val="477"/>
        </w:trPr>
        <w:tc>
          <w:tcPr>
            <w:tcW w:w="1240" w:type="dxa"/>
            <w:vAlign w:val="bottom"/>
            <w:gridSpan w:val="2"/>
          </w:tcPr>
          <w:p>
            <w:pPr>
              <w:jc w:val="right"/>
              <w:ind w:right="250"/>
              <w:spacing w:after="0"/>
              <w:rPr>
                <w:sz w:val="20"/>
                <w:szCs w:val="20"/>
                <w:color w:val="auto"/>
              </w:rPr>
            </w:pPr>
            <w:r>
              <w:rPr>
                <w:rFonts w:ascii="Arial" w:cs="Arial" w:eastAsia="Arial" w:hAnsi="Arial"/>
                <w:sz w:val="18"/>
                <w:szCs w:val="18"/>
                <w:color w:val="auto"/>
              </w:rPr>
              <w:t>​20,001</w:t>
            </w:r>
          </w:p>
        </w:tc>
        <w:tc>
          <w:tcPr>
            <w:tcW w:w="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233"/>
              <w:spacing w:after="0"/>
              <w:rPr>
                <w:sz w:val="20"/>
                <w:szCs w:val="20"/>
                <w:color w:val="auto"/>
              </w:rPr>
            </w:pPr>
            <w:r>
              <w:rPr>
                <w:rFonts w:ascii="Arial" w:cs="Arial" w:eastAsia="Arial" w:hAnsi="Arial"/>
                <w:sz w:val="18"/>
                <w:szCs w:val="18"/>
                <w:color w:val="auto"/>
              </w:rPr>
              <w:t>​34,246</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4"/>
        </w:trPr>
        <w:tc>
          <w:tcPr>
            <w:tcW w:w="560" w:type="dxa"/>
            <w:vAlign w:val="bottom"/>
          </w:tcPr>
          <w:p>
            <w:pPr>
              <w:ind w:left="34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73"/>
              <w:spacing w:after="0"/>
              <w:rPr>
                <w:sz w:val="20"/>
                <w:szCs w:val="20"/>
                <w:color w:val="auto"/>
              </w:rPr>
            </w:pPr>
            <w:r>
              <w:rPr>
                <w:rFonts w:ascii="Arial" w:cs="Arial" w:eastAsia="Arial" w:hAnsi="Arial"/>
                <w:sz w:val="18"/>
                <w:szCs w:val="18"/>
                <w:color w:val="auto"/>
              </w:rPr>
              <w:t>​(9,204)</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45"/>
        </w:trPr>
        <w:tc>
          <w:tcPr>
            <w:tcW w:w="560" w:type="dxa"/>
            <w:vAlign w:val="bottom"/>
          </w:tcPr>
          <w:p>
            <w:pPr>
              <w:ind w:left="34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250"/>
              <w:spacing w:after="0"/>
              <w:rPr>
                <w:sz w:val="20"/>
                <w:szCs w:val="20"/>
                <w:color w:val="auto"/>
              </w:rPr>
            </w:pPr>
            <w:r>
              <w:rPr>
                <w:rFonts w:ascii="Arial" w:cs="Arial" w:eastAsia="Arial" w:hAnsi="Arial"/>
                <w:sz w:val="18"/>
                <w:szCs w:val="18"/>
                <w:color w:val="auto"/>
              </w:rPr>
              <w:t>7</w:t>
            </w:r>
          </w:p>
        </w:tc>
        <w:tc>
          <w:tcPr>
            <w:tcW w:w="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233"/>
              <w:spacing w:after="0"/>
              <w:rPr>
                <w:sz w:val="20"/>
                <w:szCs w:val="20"/>
                <w:color w:val="auto"/>
              </w:rPr>
            </w:pPr>
            <w:r>
              <w:rPr>
                <w:rFonts w:ascii="Arial" w:cs="Arial" w:eastAsia="Arial" w:hAnsi="Arial"/>
                <w:sz w:val="18"/>
                <w:szCs w:val="18"/>
                <w:color w:val="auto"/>
              </w:rPr>
              <w:t>​ 4,740</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3"/>
        </w:trPr>
        <w:tc>
          <w:tcPr>
            <w:tcW w:w="560" w:type="dxa"/>
            <w:vAlign w:val="bottom"/>
          </w:tcPr>
          <w:p>
            <w:pPr>
              <w:ind w:left="34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233"/>
              <w:spacing w:after="0"/>
              <w:rPr>
                <w:sz w:val="20"/>
                <w:szCs w:val="20"/>
                <w:color w:val="auto"/>
              </w:rPr>
            </w:pPr>
            <w:r>
              <w:rPr>
                <w:rFonts w:ascii="Arial" w:cs="Arial" w:eastAsia="Arial" w:hAnsi="Arial"/>
                <w:sz w:val="18"/>
                <w:szCs w:val="18"/>
                <w:color w:val="auto"/>
              </w:rPr>
              <w:t>​ 4,740</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2"/>
        </w:trPr>
        <w:tc>
          <w:tcPr>
            <w:tcW w:w="1460" w:type="dxa"/>
            <w:vAlign w:val="bottom"/>
            <w:gridSpan w:val="4"/>
          </w:tcPr>
          <w:p>
            <w:pPr>
              <w:jc w:val="right"/>
              <w:ind w:right="160"/>
              <w:spacing w:after="0"/>
              <w:rPr>
                <w:sz w:val="20"/>
                <w:szCs w:val="20"/>
                <w:color w:val="auto"/>
              </w:rPr>
            </w:pPr>
            <w:r>
              <w:rPr>
                <w:rFonts w:ascii="Arial" w:cs="Arial" w:eastAsia="Arial" w:hAnsi="Arial"/>
                <w:sz w:val="18"/>
                <w:szCs w:val="18"/>
                <w:color w:val="auto"/>
              </w:rPr>
              <w:t>​ 12.00%</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 11.50%</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w:t>
            </w:r>
          </w:p>
        </w:tc>
      </w:tr>
    </w:tbl>
    <w:p>
      <w:pPr>
        <w:spacing w:after="0" w:line="200" w:lineRule="exact"/>
        <w:rPr>
          <w:sz w:val="20"/>
          <w:szCs w:val="20"/>
          <w:color w:val="auto"/>
        </w:rPr>
      </w:pPr>
    </w:p>
    <w:p>
      <w:pPr>
        <w:sectPr>
          <w:pgSz w:w="11900" w:h="16838" w:orient="portrait"/>
          <w:cols w:equalWidth="0" w:num="2">
            <w:col w:w="6240" w:space="560"/>
            <w:col w:w="3079"/>
          </w:cols>
          <w:pgMar w:left="580" w:top="97" w:right="1440" w:bottom="1440" w:gutter="0" w:footer="0" w:header="0"/>
          <w:type w:val="continuous"/>
        </w:sectPr>
      </w:pPr>
    </w:p>
    <w:p>
      <w:pPr>
        <w:spacing w:after="0" w:line="109" w:lineRule="exact"/>
        <w:rPr>
          <w:sz w:val="20"/>
          <w:szCs w:val="20"/>
          <w:color w:val="auto"/>
        </w:rPr>
      </w:pPr>
    </w:p>
    <w:p>
      <w:pPr>
        <w:ind w:left="1620" w:hanging="360"/>
        <w:spacing w:after="0"/>
        <w:tabs>
          <w:tab w:leader="none" w:pos="16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coupon rate is comprised of 10.0% cash interest and 2.0% paid-in-kind (“PIK”) interest.</w:t>
      </w:r>
    </w:p>
    <w:p>
      <w:pPr>
        <w:spacing w:after="0" w:line="95" w:lineRule="exact"/>
        <w:rPr>
          <w:rFonts w:ascii="Arial" w:cs="Arial" w:eastAsia="Arial" w:hAnsi="Arial"/>
          <w:sz w:val="14"/>
          <w:szCs w:val="14"/>
          <w:color w:val="auto"/>
        </w:rPr>
      </w:pPr>
    </w:p>
    <w:p>
      <w:pPr>
        <w:ind w:left="1620" w:hanging="360"/>
        <w:spacing w:after="0"/>
        <w:tabs>
          <w:tab w:leader="none" w:pos="16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Future draws funded will have a 12.0% coupon rate including 10.0% cash and 2.0% accrued PIK interest.</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Social Responsibility</w:t>
      </w:r>
    </w:p>
    <w:p>
      <w:pPr>
        <w:spacing w:after="0" w:line="158" w:lineRule="exact"/>
        <w:rPr>
          <w:sz w:val="20"/>
          <w:szCs w:val="20"/>
          <w:color w:val="auto"/>
        </w:rPr>
      </w:pPr>
    </w:p>
    <w:p>
      <w:pPr>
        <w:jc w:val="both"/>
        <w:ind w:left="1260" w:right="419"/>
        <w:spacing w:after="0" w:line="259" w:lineRule="auto"/>
        <w:rPr>
          <w:sz w:val="20"/>
          <w:szCs w:val="20"/>
          <w:color w:val="auto"/>
        </w:rPr>
      </w:pPr>
      <w:r>
        <w:rPr>
          <w:rFonts w:ascii="Arial" w:cs="Arial" w:eastAsia="Arial" w:hAnsi="Arial"/>
          <w:sz w:val="18"/>
          <w:szCs w:val="18"/>
          <w:color w:val="auto"/>
        </w:rPr>
        <w:t>We are dedicated to an inclusive and supportive office environment which is filled with diverse backgrounds and perspectives, as well as a demonstrated commitment to financial, mental and physical wellness. We believe that it is an important responsibility to give back to, and be welcomed in, the communities that we serve, and to be understanding of and responsive to the core values of the places in which we operate.</w:t>
      </w:r>
    </w:p>
    <w:p>
      <w:pPr>
        <w:spacing w:after="0" w:line="71" w:lineRule="exact"/>
        <w:rPr>
          <w:sz w:val="20"/>
          <w:szCs w:val="20"/>
          <w:color w:val="auto"/>
        </w:rPr>
      </w:pPr>
    </w:p>
    <w:p>
      <w:pPr>
        <w:jc w:val="both"/>
        <w:ind w:left="1800" w:right="419" w:hanging="180"/>
        <w:spacing w:after="0" w:line="259" w:lineRule="auto"/>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Community Involvement</w:t>
      </w:r>
      <w:r>
        <w:rPr>
          <w:rFonts w:ascii="Arial" w:cs="Arial" w:eastAsia="Arial" w:hAnsi="Arial"/>
          <w:sz w:val="18"/>
          <w:szCs w:val="18"/>
          <w:color w:val="auto"/>
        </w:rPr>
        <w:t>: Over the past 14 years under current management, the Company and</w:t>
      </w:r>
      <w:r>
        <w:rPr>
          <w:rFonts w:ascii="Arial" w:cs="Arial" w:eastAsia="Arial" w:hAnsi="Arial"/>
          <w:sz w:val="18"/>
          <w:szCs w:val="18"/>
          <w:i w:val="1"/>
          <w:iCs w:val="1"/>
          <w:color w:val="auto"/>
        </w:rPr>
        <w:t xml:space="preserve"> </w:t>
      </w:r>
      <w:r>
        <w:rPr>
          <w:rFonts w:ascii="Arial" w:cs="Arial" w:eastAsia="Arial" w:hAnsi="Arial"/>
          <w:sz w:val="18"/>
          <w:szCs w:val="18"/>
          <w:color w:val="auto"/>
        </w:rPr>
        <w:t>its team members have donated time and financial resources to a number of non-profit causes, including United Way, American Heart Association, Daytona Beach Museum of the Arts and Sciences, Florida Marine Science Center, Boys &amp; Girls Club of America, Halifax Humane Society, and the Peabody Foundation.</w:t>
      </w:r>
    </w:p>
    <w:p>
      <w:pPr>
        <w:spacing w:after="0" w:line="71" w:lineRule="exact"/>
        <w:rPr>
          <w:rFonts w:ascii="Arial" w:cs="Arial" w:eastAsia="Arial" w:hAnsi="Arial"/>
          <w:sz w:val="18"/>
          <w:szCs w:val="18"/>
          <w:color w:val="auto"/>
        </w:rPr>
      </w:pPr>
    </w:p>
    <w:p>
      <w:pPr>
        <w:jc w:val="both"/>
        <w:ind w:left="1800" w:right="419" w:hanging="180"/>
        <w:spacing w:after="0" w:line="259" w:lineRule="auto"/>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Talent Acquisition, Development and Retention. </w:t>
      </w:r>
      <w:r>
        <w:rPr>
          <w:rFonts w:ascii="Arial" w:cs="Arial" w:eastAsia="Arial" w:hAnsi="Arial"/>
          <w:sz w:val="18"/>
          <w:szCs w:val="18"/>
          <w:color w:val="auto"/>
        </w:rPr>
        <w:t>We strive to attract and retain the best and</w:t>
      </w:r>
      <w:r>
        <w:rPr>
          <w:rFonts w:ascii="Arial" w:cs="Arial" w:eastAsia="Arial" w:hAnsi="Arial"/>
          <w:sz w:val="18"/>
          <w:szCs w:val="18"/>
          <w:i w:val="1"/>
          <w:iCs w:val="1"/>
          <w:color w:val="auto"/>
        </w:rPr>
        <w:t xml:space="preserve"> </w:t>
      </w:r>
      <w:r>
        <w:rPr>
          <w:rFonts w:ascii="Arial" w:cs="Arial" w:eastAsia="Arial" w:hAnsi="Arial"/>
          <w:sz w:val="18"/>
          <w:szCs w:val="18"/>
          <w:color w:val="auto"/>
        </w:rPr>
        <w:t>brightest employees. We focus on enhancing our team members’ lives in and out of the office as they progress and grow with the Company. By engaging with our employees and investing in their careers through training and development, we are seeking to build a talent pool capable of executing our business strategies.</w:t>
      </w:r>
    </w:p>
    <w:p>
      <w:pPr>
        <w:spacing w:after="0" w:line="71" w:lineRule="exact"/>
        <w:rPr>
          <w:rFonts w:ascii="Arial" w:cs="Arial" w:eastAsia="Arial" w:hAnsi="Arial"/>
          <w:sz w:val="18"/>
          <w:szCs w:val="18"/>
          <w:color w:val="auto"/>
        </w:rPr>
      </w:pPr>
    </w:p>
    <w:p>
      <w:pPr>
        <w:jc w:val="both"/>
        <w:ind w:left="1800" w:right="419" w:hanging="180"/>
        <w:spacing w:after="0" w:line="272" w:lineRule="auto"/>
        <w:tabs>
          <w:tab w:leader="none" w:pos="1800" w:val="left"/>
        </w:tabs>
        <w:numPr>
          <w:ilvl w:val="0"/>
          <w:numId w:val="16"/>
        </w:numPr>
        <w:rPr>
          <w:rFonts w:ascii="Arial" w:cs="Arial" w:eastAsia="Arial" w:hAnsi="Arial"/>
          <w:sz w:val="17"/>
          <w:szCs w:val="17"/>
          <w:color w:val="auto"/>
        </w:rPr>
      </w:pPr>
      <w:r>
        <w:rPr>
          <w:rFonts w:ascii="Arial" w:cs="Arial" w:eastAsia="Arial" w:hAnsi="Arial"/>
          <w:sz w:val="17"/>
          <w:szCs w:val="17"/>
          <w:i w:val="1"/>
          <w:iCs w:val="1"/>
          <w:color w:val="auto"/>
        </w:rPr>
        <w:t xml:space="preserve">Diversity. </w:t>
      </w:r>
      <w:r>
        <w:rPr>
          <w:rFonts w:ascii="Arial" w:cs="Arial" w:eastAsia="Arial" w:hAnsi="Arial"/>
          <w:sz w:val="17"/>
          <w:szCs w:val="17"/>
          <w:color w:val="auto"/>
        </w:rPr>
        <w:t>The Company is dedicated to an inclusive and supportive office environment filled with</w:t>
      </w:r>
      <w:r>
        <w:rPr>
          <w:rFonts w:ascii="Arial" w:cs="Arial" w:eastAsia="Arial" w:hAnsi="Arial"/>
          <w:sz w:val="17"/>
          <w:szCs w:val="17"/>
          <w:i w:val="1"/>
          <w:iCs w:val="1"/>
          <w:color w:val="auto"/>
        </w:rPr>
        <w:t xml:space="preserve"> </w:t>
      </w:r>
      <w:r>
        <w:rPr>
          <w:rFonts w:ascii="Arial" w:cs="Arial" w:eastAsia="Arial" w:hAnsi="Arial"/>
          <w:sz w:val="17"/>
          <w:szCs w:val="17"/>
          <w:color w:val="auto"/>
        </w:rPr>
        <w:t>diverse backgrounds and perspectives. The Company is an equal opportunity employer and considers qualified applicants regardless of race, color, religion, gender, sexual orientation, national origin, age, disability, military or veteran status, genetic information, or other statuses protected by applicable federal, state, and local law. As of December 31, 2025, women represented 55% of our full-time workforce, and approximately 26% of our full-time workforce self-identified as being racially/ethnically diverse. We believe that our success over the long run has been the result of the diverse backgrounds and perspectives of our employees and directors.</w:t>
      </w:r>
    </w:p>
    <w:p>
      <w:pPr>
        <w:spacing w:after="0" w:line="77" w:lineRule="exact"/>
        <w:rPr>
          <w:rFonts w:ascii="Arial" w:cs="Arial" w:eastAsia="Arial" w:hAnsi="Arial"/>
          <w:sz w:val="17"/>
          <w:szCs w:val="17"/>
          <w:color w:val="auto"/>
        </w:rPr>
      </w:pPr>
    </w:p>
    <w:p>
      <w:pPr>
        <w:jc w:val="both"/>
        <w:ind w:left="1800" w:right="419" w:hanging="180"/>
        <w:spacing w:after="0" w:line="262" w:lineRule="auto"/>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Employee Wellness and Benefits. </w:t>
      </w:r>
      <w:r>
        <w:rPr>
          <w:rFonts w:ascii="Arial" w:cs="Arial" w:eastAsia="Arial" w:hAnsi="Arial"/>
          <w:sz w:val="18"/>
          <w:szCs w:val="18"/>
          <w:color w:val="auto"/>
        </w:rPr>
        <w:t>The Company has a demonstrated commitment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mental and physical wellness of its employees. The Company’s employee benefits package is designed to address the changing needs of our employees and their dependents, and currently includes:</w:t>
      </w:r>
    </w:p>
    <w:p>
      <w:pPr>
        <w:spacing w:after="0" w:line="68" w:lineRule="exact"/>
        <w:rPr>
          <w:rFonts w:ascii="Arial" w:cs="Arial" w:eastAsia="Arial" w:hAnsi="Arial"/>
          <w:sz w:val="18"/>
          <w:szCs w:val="18"/>
          <w:color w:val="auto"/>
        </w:rPr>
      </w:pPr>
    </w:p>
    <w:p>
      <w:pPr>
        <w:ind w:left="2160" w:hanging="180"/>
        <w:spacing w:after="0"/>
        <w:tabs>
          <w:tab w:leader="none" w:pos="2160" w:val="left"/>
        </w:tabs>
        <w:numPr>
          <w:ilvl w:val="1"/>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Company-paid medical, dental and life insurance;</w:t>
      </w:r>
    </w:p>
    <w:p>
      <w:pPr>
        <w:spacing w:after="0" w:line="116"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1"/>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Long-term disability insurance;</w:t>
      </w:r>
    </w:p>
    <w:p>
      <w:pPr>
        <w:spacing w:after="0" w:line="116"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1"/>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Short-term disability insurance;</w:t>
      </w:r>
    </w:p>
    <w:p>
      <w:pPr>
        <w:spacing w:after="0" w:line="116"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1"/>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Supplemental life insurance;</w:t>
      </w:r>
    </w:p>
    <w:p>
      <w:pPr>
        <w:spacing w:after="0" w:line="116" w:lineRule="exact"/>
        <w:rPr>
          <w:rFonts w:ascii="Times New Roman" w:cs="Times New Roman" w:eastAsia="Times New Roman" w:hAnsi="Times New Roman"/>
          <w:sz w:val="18"/>
          <w:szCs w:val="18"/>
          <w:color w:val="auto"/>
        </w:rPr>
      </w:pPr>
    </w:p>
    <w:p>
      <w:pPr>
        <w:ind w:left="2160" w:right="419" w:hanging="180"/>
        <w:spacing w:after="0" w:line="286" w:lineRule="auto"/>
        <w:tabs>
          <w:tab w:leader="none" w:pos="2160" w:val="left"/>
        </w:tabs>
        <w:numPr>
          <w:ilvl w:val="1"/>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Competitive vacation policy based on level and years of service, including paid holidays, sick days and parental leave;</w:t>
      </w:r>
    </w:p>
    <w:p>
      <w:pPr>
        <w:spacing w:after="0" w:line="45" w:lineRule="exact"/>
        <w:rPr>
          <w:rFonts w:ascii="Times New Roman" w:cs="Times New Roman" w:eastAsia="Times New Roman" w:hAnsi="Times New Roman"/>
          <w:sz w:val="18"/>
          <w:szCs w:val="18"/>
          <w:color w:val="auto"/>
        </w:rPr>
      </w:pPr>
    </w:p>
    <w:p>
      <w:pPr>
        <w:ind w:left="2160" w:right="419" w:hanging="180"/>
        <w:spacing w:after="0" w:line="286" w:lineRule="auto"/>
        <w:tabs>
          <w:tab w:leader="none" w:pos="2160" w:val="left"/>
        </w:tabs>
        <w:numPr>
          <w:ilvl w:val="1"/>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Company-sponsored 401(k) plan with generous employer matching contributions as described on page </w:t>
      </w:r>
      <w:r>
        <w:rPr>
          <w:rFonts w:ascii="Arial" w:cs="Arial" w:eastAsia="Arial" w:hAnsi="Arial"/>
          <w:sz w:val="18"/>
          <w:szCs w:val="18"/>
          <w:u w:val="single" w:color="auto"/>
          <w:color w:val="0000EE"/>
        </w:rPr>
        <w:t>40</w:t>
      </w:r>
      <w:r>
        <w:rPr>
          <w:rFonts w:ascii="Arial" w:cs="Arial" w:eastAsia="Arial" w:hAnsi="Arial"/>
          <w:sz w:val="18"/>
          <w:szCs w:val="18"/>
          <w:color w:val="auto"/>
        </w:rPr>
        <w:t xml:space="preserve"> below;</w:t>
      </w:r>
    </w:p>
    <w:p>
      <w:pPr>
        <w:sectPr>
          <w:pgSz w:w="11900" w:h="16838" w:orient="portrait"/>
          <w:cols w:equalWidth="0" w:num="1">
            <w:col w:w="9879"/>
          </w:cols>
          <w:pgMar w:left="580" w:top="97" w:right="1440" w:bottom="1440" w:gutter="0" w:footer="0" w:header="0"/>
          <w:type w:val="continuous"/>
        </w:sectPr>
      </w:pPr>
    </w:p>
    <w:p>
      <w:pPr>
        <w:spacing w:after="0" w:line="34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160" w:right="419" w:hanging="180"/>
        <w:spacing w:after="0" w:line="286" w:lineRule="auto"/>
        <w:tabs>
          <w:tab w:leader="none" w:pos="216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Long-term incentive plan, which includes incentive equity awards to all employees meeting a minimum tenure requirement; and</w:t>
      </w:r>
    </w:p>
    <w:p>
      <w:pPr>
        <w:spacing w:after="0" w:line="45"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Tuition reimbursement program for continued education.</w:t>
      </w:r>
    </w:p>
    <w:p>
      <w:pPr>
        <w:spacing w:after="0" w:line="157"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Communication with the Board of Directors</w:t>
      </w:r>
    </w:p>
    <w:p>
      <w:pPr>
        <w:spacing w:after="0" w:line="158" w:lineRule="exact"/>
        <w:rPr>
          <w:sz w:val="20"/>
          <w:szCs w:val="20"/>
          <w:color w:val="auto"/>
        </w:rPr>
      </w:pPr>
    </w:p>
    <w:p>
      <w:pPr>
        <w:jc w:val="both"/>
        <w:ind w:left="1260" w:right="419"/>
        <w:spacing w:after="0" w:line="268" w:lineRule="auto"/>
        <w:rPr>
          <w:sz w:val="20"/>
          <w:szCs w:val="20"/>
          <w:color w:val="auto"/>
        </w:rPr>
      </w:pPr>
      <w:r>
        <w:rPr>
          <w:rFonts w:ascii="Arial" w:cs="Arial" w:eastAsia="Arial" w:hAnsi="Arial"/>
          <w:sz w:val="18"/>
          <w:szCs w:val="18"/>
          <w:color w:val="auto"/>
        </w:rPr>
        <w:t>Stockholders and other individuals may communicate with the Board of Directors or one or more individual directors by writing to the Board of Directors or such director(s), c/o Corporate Secretary, 369 N. New York Avenue, Suite 201, Winter Park, Florida 32789.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CORPORATE GOVERNANCE — COMMITTEES OF THE BOARD OF DIRECTORS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Independent Directors</w:t>
      </w:r>
    </w:p>
    <w:p>
      <w:pPr>
        <w:spacing w:after="0" w:line="158" w:lineRule="exact"/>
        <w:rPr>
          <w:sz w:val="20"/>
          <w:szCs w:val="20"/>
          <w:color w:val="auto"/>
        </w:rPr>
      </w:pPr>
    </w:p>
    <w:p>
      <w:pPr>
        <w:jc w:val="both"/>
        <w:ind w:left="1260" w:right="419"/>
        <w:spacing w:after="0" w:line="244" w:lineRule="auto"/>
        <w:rPr>
          <w:sz w:val="20"/>
          <w:szCs w:val="20"/>
          <w:color w:val="auto"/>
        </w:rPr>
      </w:pPr>
      <w:r>
        <w:rPr>
          <w:rFonts w:ascii="Arial" w:cs="Arial" w:eastAsia="Arial" w:hAnsi="Arial"/>
          <w:sz w:val="18"/>
          <w:szCs w:val="18"/>
          <w:color w:val="auto"/>
        </w:rPr>
        <w:t>The listing standards of the NYSE require that we have a Board with at least a majority of independent directors. The Board annually determines the independence of our directors based on these listing standards. No director is considered independent unless our Board has affirmatively determined that the director does not have a relationship that would interfere with the exercise of independent judgment in carrying out their responsibilities as a director. Generally, a director is not considered independent if the director (or in some cases, members of the director’s immediate family) has, or in the past three years has had, certain material relationships or affiliations with us, our external or internal auditors, or other companies that do business with us.</w:t>
      </w:r>
    </w:p>
    <w:p>
      <w:pPr>
        <w:spacing w:after="0" w:line="112" w:lineRule="exact"/>
        <w:rPr>
          <w:sz w:val="20"/>
          <w:szCs w:val="20"/>
          <w:color w:val="auto"/>
        </w:rPr>
      </w:pPr>
    </w:p>
    <w:p>
      <w:pPr>
        <w:jc w:val="both"/>
        <w:ind w:left="1260" w:right="419"/>
        <w:spacing w:after="0" w:line="261" w:lineRule="auto"/>
        <w:rPr>
          <w:sz w:val="20"/>
          <w:szCs w:val="20"/>
          <w:color w:val="auto"/>
        </w:rPr>
      </w:pPr>
      <w:r>
        <w:rPr>
          <w:rFonts w:ascii="Arial" w:cs="Arial" w:eastAsia="Arial" w:hAnsi="Arial"/>
          <w:sz w:val="18"/>
          <w:szCs w:val="18"/>
          <w:color w:val="auto"/>
        </w:rPr>
        <w:t>Our Board has determined that the following directors, who constituted a majority of the members of our Board of Directors, are independent pursuant to Section 303A.02 of the NYSE Listed Company Manual (the “NYSE Manual”):</w:t>
      </w:r>
    </w:p>
    <w:p>
      <w:pPr>
        <w:spacing w:after="0" w:line="103" w:lineRule="exact"/>
        <w:rPr>
          <w:sz w:val="20"/>
          <w:szCs w:val="20"/>
          <w:color w:val="auto"/>
        </w:rPr>
      </w:pPr>
    </w:p>
    <w:tbl>
      <w:tblPr>
        <w:tblLayout w:type="fixed"/>
        <w:tblInd w:w="1620" w:type="dxa"/>
        <w:tblCellMar>
          <w:top w:w="0" w:type="dxa"/>
          <w:left w:w="0" w:type="dxa"/>
          <w:bottom w:w="0" w:type="dxa"/>
          <w:right w:w="0" w:type="dxa"/>
        </w:tblCellMar>
      </w:tblPr>
      <w:tr>
        <w:trPr>
          <w:trHeight w:val="207"/>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600" w:type="dxa"/>
            <w:vAlign w:val="bottom"/>
          </w:tcPr>
          <w:p>
            <w:pPr>
              <w:ind w:left="60"/>
              <w:spacing w:after="0"/>
              <w:rPr>
                <w:sz w:val="20"/>
                <w:szCs w:val="20"/>
                <w:color w:val="auto"/>
              </w:rPr>
            </w:pPr>
            <w:r>
              <w:rPr>
                <w:rFonts w:ascii="Arial" w:cs="Arial" w:eastAsia="Arial" w:hAnsi="Arial"/>
                <w:sz w:val="18"/>
                <w:szCs w:val="18"/>
                <w:color w:val="auto"/>
              </w:rPr>
              <w:t>George R. Brokaw</w:t>
            </w:r>
          </w:p>
        </w:tc>
        <w:tc>
          <w:tcPr>
            <w:tcW w:w="1240" w:type="dxa"/>
            <w:vAlign w:val="bottom"/>
            <w:gridSpan w:val="2"/>
          </w:tcPr>
          <w:p>
            <w:pPr>
              <w:ind w:left="920"/>
              <w:spacing w:after="0"/>
              <w:rPr>
                <w:sz w:val="20"/>
                <w:szCs w:val="20"/>
                <w:color w:val="auto"/>
              </w:rPr>
            </w:pPr>
            <w:r>
              <w:rPr>
                <w:rFonts w:ascii="Arial" w:cs="Arial" w:eastAsia="Arial" w:hAnsi="Arial"/>
                <w:sz w:val="18"/>
                <w:szCs w:val="18"/>
                <w:color w:val="auto"/>
              </w:rPr>
              <w:t>​ ​ •</w:t>
            </w:r>
          </w:p>
        </w:tc>
        <w:tc>
          <w:tcPr>
            <w:tcW w:w="2580" w:type="dxa"/>
            <w:vAlign w:val="bottom"/>
          </w:tcPr>
          <w:p>
            <w:pPr>
              <w:ind w:left="60"/>
              <w:spacing w:after="0"/>
              <w:rPr>
                <w:sz w:val="20"/>
                <w:szCs w:val="20"/>
                <w:color w:val="auto"/>
              </w:rPr>
            </w:pPr>
            <w:r>
              <w:rPr>
                <w:rFonts w:ascii="Arial" w:cs="Arial" w:eastAsia="Arial" w:hAnsi="Arial"/>
                <w:sz w:val="18"/>
                <w:szCs w:val="18"/>
                <w:color w:val="auto"/>
              </w:rPr>
              <w:t>Christopher J. Drew</w:t>
            </w:r>
          </w:p>
        </w:tc>
        <w:tc>
          <w:tcPr>
            <w:tcW w:w="980" w:type="dxa"/>
            <w:vAlign w:val="bottom"/>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1"/>
        </w:trPr>
        <w:tc>
          <w:tcPr>
            <w:tcW w:w="120" w:type="dxa"/>
            <w:vAlign w:val="bottom"/>
          </w:tcPr>
          <w:p>
            <w:pPr>
              <w:spacing w:after="0" w:line="181" w:lineRule="exact"/>
              <w:rPr>
                <w:sz w:val="20"/>
                <w:szCs w:val="20"/>
                <w:color w:val="auto"/>
              </w:rPr>
            </w:pPr>
            <w:r>
              <w:rPr>
                <w:rFonts w:ascii="Arial" w:cs="Arial" w:eastAsia="Arial" w:hAnsi="Arial"/>
                <w:sz w:val="18"/>
                <w:szCs w:val="18"/>
                <w:color w:val="auto"/>
              </w:rPr>
              <w:t>​</w:t>
            </w:r>
          </w:p>
        </w:tc>
        <w:tc>
          <w:tcPr>
            <w:tcW w:w="2600" w:type="dxa"/>
            <w:vAlign w:val="bottom"/>
            <w:vMerge w:val="restart"/>
          </w:tcPr>
          <w:p>
            <w:pPr>
              <w:ind w:left="60"/>
              <w:spacing w:after="0"/>
              <w:rPr>
                <w:sz w:val="20"/>
                <w:szCs w:val="20"/>
                <w:color w:val="auto"/>
              </w:rPr>
            </w:pPr>
            <w:r>
              <w:rPr>
                <w:rFonts w:ascii="Arial" w:cs="Arial" w:eastAsia="Arial" w:hAnsi="Arial"/>
                <w:sz w:val="18"/>
                <w:szCs w:val="18"/>
                <w:color w:val="auto"/>
              </w:rPr>
              <w:t>Laura M. Franklin</w:t>
            </w:r>
          </w:p>
        </w:tc>
        <w:tc>
          <w:tcPr>
            <w:tcW w:w="1100" w:type="dxa"/>
            <w:vAlign w:val="bottom"/>
          </w:tcPr>
          <w:p>
            <w:pPr>
              <w:ind w:left="920"/>
              <w:spacing w:after="0" w:line="181" w:lineRule="exact"/>
              <w:rPr>
                <w:sz w:val="20"/>
                <w:szCs w:val="20"/>
                <w:color w:val="auto"/>
              </w:rPr>
            </w:pPr>
            <w:r>
              <w:rPr>
                <w:rFonts w:ascii="Arial" w:cs="Arial" w:eastAsia="Arial" w:hAnsi="Arial"/>
                <w:sz w:val="18"/>
                <w:szCs w:val="18"/>
                <w:color w:val="auto"/>
              </w:rPr>
              <w:t>​ ​</w:t>
            </w:r>
          </w:p>
        </w:tc>
        <w:tc>
          <w:tcPr>
            <w:tcW w:w="14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2580" w:type="dxa"/>
            <w:vAlign w:val="bottom"/>
            <w:vMerge w:val="restart"/>
          </w:tcPr>
          <w:p>
            <w:pPr>
              <w:ind w:left="60"/>
              <w:spacing w:after="0"/>
              <w:rPr>
                <w:sz w:val="20"/>
                <w:szCs w:val="20"/>
                <w:color w:val="auto"/>
              </w:rPr>
            </w:pPr>
            <w:r>
              <w:rPr>
                <w:rFonts w:ascii="Arial" w:cs="Arial" w:eastAsia="Arial" w:hAnsi="Arial"/>
                <w:sz w:val="18"/>
                <w:szCs w:val="18"/>
                <w:color w:val="auto"/>
              </w:rPr>
              <w:t>R. Blakeslee Gable</w:t>
            </w:r>
          </w:p>
        </w:tc>
        <w:tc>
          <w:tcPr>
            <w:tcW w:w="980" w:type="dxa"/>
            <w:vAlign w:val="bottom"/>
          </w:tcPr>
          <w:p>
            <w:pPr>
              <w:ind w:left="940"/>
              <w:spacing w:after="0" w:line="18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6"/>
        </w:trPr>
        <w:tc>
          <w:tcPr>
            <w:tcW w:w="120" w:type="dxa"/>
            <w:vAlign w:val="bottom"/>
          </w:tcPr>
          <w:p>
            <w:pPr>
              <w:spacing w:after="0" w:line="76" w:lineRule="exact"/>
              <w:rPr>
                <w:sz w:val="20"/>
                <w:szCs w:val="20"/>
                <w:color w:val="auto"/>
              </w:rPr>
            </w:pPr>
            <w:r>
              <w:rPr>
                <w:rFonts w:ascii="Arial" w:cs="Arial" w:eastAsia="Arial" w:hAnsi="Arial"/>
                <w:sz w:val="8"/>
                <w:szCs w:val="8"/>
                <w:color w:val="auto"/>
              </w:rPr>
              <w:t>•</w:t>
            </w:r>
          </w:p>
        </w:tc>
        <w:tc>
          <w:tcPr>
            <w:tcW w:w="2600" w:type="dxa"/>
            <w:vAlign w:val="bottom"/>
            <w:vMerge w:val="continue"/>
          </w:tcPr>
          <w:p>
            <w:pPr>
              <w:spacing w:after="0"/>
              <w:rPr>
                <w:sz w:val="6"/>
                <w:szCs w:val="6"/>
                <w:color w:val="auto"/>
              </w:rPr>
            </w:pPr>
          </w:p>
        </w:tc>
        <w:tc>
          <w:tcPr>
            <w:tcW w:w="1100" w:type="dxa"/>
            <w:vAlign w:val="bottom"/>
            <w:vMerge w:val="restart"/>
          </w:tcPr>
          <w:p>
            <w:pPr>
              <w:ind w:left="920"/>
              <w:spacing w:after="0"/>
              <w:rPr>
                <w:sz w:val="20"/>
                <w:szCs w:val="20"/>
                <w:color w:val="auto"/>
              </w:rPr>
            </w:pPr>
            <w:r>
              <w:rPr>
                <w:rFonts w:ascii="Arial" w:cs="Arial" w:eastAsia="Arial" w:hAnsi="Arial"/>
                <w:sz w:val="18"/>
                <w:szCs w:val="18"/>
                <w:color w:val="auto"/>
              </w:rPr>
              <w:t>​ ​</w:t>
            </w:r>
          </w:p>
        </w:tc>
        <w:tc>
          <w:tcPr>
            <w:tcW w:w="140" w:type="dxa"/>
            <w:vAlign w:val="bottom"/>
            <w:vMerge w:val="continue"/>
          </w:tcPr>
          <w:p>
            <w:pPr>
              <w:spacing w:after="0"/>
              <w:rPr>
                <w:sz w:val="6"/>
                <w:szCs w:val="6"/>
                <w:color w:val="auto"/>
              </w:rPr>
            </w:pPr>
          </w:p>
        </w:tc>
        <w:tc>
          <w:tcPr>
            <w:tcW w:w="2580" w:type="dxa"/>
            <w:vAlign w:val="bottom"/>
            <w:vMerge w:val="continue"/>
          </w:tcPr>
          <w:p>
            <w:pPr>
              <w:spacing w:after="0"/>
              <w:rPr>
                <w:sz w:val="6"/>
                <w:szCs w:val="6"/>
                <w:color w:val="auto"/>
              </w:rPr>
            </w:pPr>
          </w:p>
        </w:tc>
        <w:tc>
          <w:tcPr>
            <w:tcW w:w="980" w:type="dxa"/>
            <w:vAlign w:val="bottom"/>
            <w:vMerge w:val="restart"/>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1"/>
        </w:trPr>
        <w:tc>
          <w:tcPr>
            <w:tcW w:w="120" w:type="dxa"/>
            <w:vAlign w:val="bottom"/>
          </w:tcPr>
          <w:p>
            <w:pPr>
              <w:spacing w:after="0" w:line="181" w:lineRule="exact"/>
              <w:rPr>
                <w:sz w:val="20"/>
                <w:szCs w:val="20"/>
                <w:color w:val="auto"/>
              </w:rPr>
            </w:pPr>
            <w:r>
              <w:rPr>
                <w:rFonts w:ascii="Arial" w:cs="Arial" w:eastAsia="Arial" w:hAnsi="Arial"/>
                <w:sz w:val="18"/>
                <w:szCs w:val="18"/>
                <w:color w:val="auto"/>
              </w:rPr>
              <w:t>​</w:t>
            </w:r>
          </w:p>
        </w:tc>
        <w:tc>
          <w:tcPr>
            <w:tcW w:w="2600" w:type="dxa"/>
            <w:vAlign w:val="bottom"/>
            <w:vMerge w:val="restart"/>
          </w:tcPr>
          <w:p>
            <w:pPr>
              <w:ind w:left="60"/>
              <w:spacing w:after="0"/>
              <w:rPr>
                <w:sz w:val="20"/>
                <w:szCs w:val="20"/>
                <w:color w:val="auto"/>
              </w:rPr>
            </w:pPr>
            <w:r>
              <w:rPr>
                <w:rFonts w:ascii="Arial" w:cs="Arial" w:eastAsia="Arial" w:hAnsi="Arial"/>
                <w:sz w:val="18"/>
                <w:szCs w:val="18"/>
                <w:color w:val="auto"/>
              </w:rPr>
              <w:t>Christopher W. Haga</w:t>
            </w:r>
          </w:p>
        </w:tc>
        <w:tc>
          <w:tcPr>
            <w:tcW w:w="1100" w:type="dxa"/>
            <w:vAlign w:val="bottom"/>
            <w:vMerge w:val="continue"/>
          </w:tcPr>
          <w:p>
            <w:pPr>
              <w:spacing w:after="0"/>
              <w:rPr>
                <w:sz w:val="15"/>
                <w:szCs w:val="15"/>
                <w:color w:val="auto"/>
              </w:rPr>
            </w:pPr>
          </w:p>
        </w:tc>
        <w:tc>
          <w:tcPr>
            <w:tcW w:w="140" w:type="dxa"/>
            <w:vAlign w:val="bottom"/>
          </w:tcPr>
          <w:p>
            <w:pPr>
              <w:ind w:left="20"/>
              <w:spacing w:after="0" w:line="181" w:lineRule="exact"/>
              <w:rPr>
                <w:sz w:val="20"/>
                <w:szCs w:val="20"/>
                <w:color w:val="auto"/>
              </w:rPr>
            </w:pPr>
            <w:r>
              <w:rPr>
                <w:rFonts w:ascii="Arial" w:cs="Arial" w:eastAsia="Arial" w:hAnsi="Arial"/>
                <w:sz w:val="18"/>
                <w:szCs w:val="18"/>
                <w:color w:val="auto"/>
              </w:rPr>
              <w:t>​</w:t>
            </w:r>
          </w:p>
        </w:tc>
        <w:tc>
          <w:tcPr>
            <w:tcW w:w="258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600" w:type="dxa"/>
            <w:vAlign w:val="bottom"/>
            <w:vMerge w:val="continue"/>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jc w:val="both"/>
        <w:ind w:left="1260" w:right="419"/>
        <w:spacing w:after="0" w:line="251" w:lineRule="auto"/>
        <w:rPr>
          <w:sz w:val="20"/>
          <w:szCs w:val="20"/>
          <w:color w:val="auto"/>
        </w:rPr>
      </w:pPr>
      <w:r>
        <w:rPr>
          <w:rFonts w:ascii="Arial" w:cs="Arial" w:eastAsia="Arial" w:hAnsi="Arial"/>
          <w:sz w:val="18"/>
          <w:szCs w:val="18"/>
          <w:color w:val="auto"/>
        </w:rPr>
        <w:t>Our independent directors hold an executive session either prior to or following each regularly scheduled quarterly Board of Directors meeting (and as necessary at other Board meetings), separate from management and any other non-independent directors. Ms. Franklin, as chairman of the Board, leads these executive sessions.</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Director Attendance at Meetings</w:t>
      </w:r>
    </w:p>
    <w:p>
      <w:pPr>
        <w:spacing w:after="0" w:line="158" w:lineRule="exact"/>
        <w:rPr>
          <w:sz w:val="20"/>
          <w:szCs w:val="20"/>
          <w:color w:val="auto"/>
        </w:rPr>
      </w:pPr>
    </w:p>
    <w:p>
      <w:pPr>
        <w:jc w:val="both"/>
        <w:ind w:left="1260" w:right="419"/>
        <w:spacing w:after="0" w:line="247" w:lineRule="auto"/>
        <w:rPr>
          <w:sz w:val="20"/>
          <w:szCs w:val="20"/>
          <w:color w:val="auto"/>
        </w:rPr>
      </w:pPr>
      <w:r>
        <w:rPr>
          <w:rFonts w:ascii="Arial" w:cs="Arial" w:eastAsia="Arial" w:hAnsi="Arial"/>
          <w:sz w:val="18"/>
          <w:szCs w:val="18"/>
          <w:color w:val="auto"/>
        </w:rPr>
        <w:t>During 2025, our Board of Directors held six regularly scheduled meetings, two in person and four via video conference, plus one additional meeting, via video conference. All of the current members of the Board of Directors attended more than 75% of all of the meetings of the Board and all committees on which they served during the period such member served as a director or member of a committee in 2025.</w:t>
      </w:r>
    </w:p>
    <w:p>
      <w:pPr>
        <w:spacing w:after="0" w:line="109" w:lineRule="exact"/>
        <w:rPr>
          <w:sz w:val="20"/>
          <w:szCs w:val="20"/>
          <w:color w:val="auto"/>
        </w:rPr>
      </w:pPr>
    </w:p>
    <w:p>
      <w:pPr>
        <w:jc w:val="both"/>
        <w:ind w:left="1260" w:right="419"/>
        <w:spacing w:after="0" w:line="261" w:lineRule="auto"/>
        <w:rPr>
          <w:sz w:val="20"/>
          <w:szCs w:val="20"/>
          <w:color w:val="auto"/>
        </w:rPr>
      </w:pPr>
      <w:r>
        <w:rPr>
          <w:rFonts w:ascii="Arial" w:cs="Arial" w:eastAsia="Arial" w:hAnsi="Arial"/>
          <w:sz w:val="18"/>
          <w:szCs w:val="18"/>
          <w:color w:val="auto"/>
        </w:rPr>
        <w:t>Our policy is to encourage members of the Board of Directors to participate in the annual meeting of stockholders. All directors then serving on the Board participated in the 2025 Annual Meeting, which was held in virtual format.</w:t>
      </w:r>
    </w:p>
    <w:p>
      <w:pPr>
        <w:spacing w:after="0" w:line="16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Audit Committee</w:t>
      </w:r>
    </w:p>
    <w:p>
      <w:pPr>
        <w:spacing w:after="0" w:line="158" w:lineRule="exact"/>
        <w:rPr>
          <w:sz w:val="20"/>
          <w:szCs w:val="20"/>
          <w:color w:val="auto"/>
        </w:rPr>
      </w:pPr>
    </w:p>
    <w:p>
      <w:pPr>
        <w:jc w:val="both"/>
        <w:ind w:left="1260" w:right="419"/>
        <w:spacing w:after="0" w:line="260" w:lineRule="auto"/>
        <w:rPr>
          <w:sz w:val="20"/>
          <w:szCs w:val="20"/>
          <w:color w:val="auto"/>
        </w:rPr>
      </w:pPr>
      <w:r>
        <w:rPr>
          <w:rFonts w:ascii="Arial" w:cs="Arial" w:eastAsia="Arial" w:hAnsi="Arial"/>
          <w:sz w:val="17"/>
          <w:szCs w:val="17"/>
          <w:color w:val="auto"/>
        </w:rPr>
        <w:t>The Board has established an Audit Committee. In 2025, the Audit Committee held four regularly scheduled meetings, one in person and three via video conference. The Audit Committee assists the Board in fulfilling its oversight responsibilities with respect to the integrity of our consolidated financial statements, our compliance with legal and regulatory requirements, our cybersecurity risk management process, the qualifications, independence and performance of our independent auditor, our system of internal controls over financial reporting established by management and the Board, and our auditing, accounting and financial reporting processes, generally. Grant Thornton LLP, our independent auditor for our fiscal year ended December 31, 2025, reported directly to the Audit Committee.</w:t>
      </w:r>
    </w:p>
    <w:p>
      <w:pPr>
        <w:spacing w:after="0" w:line="101" w:lineRule="exact"/>
        <w:rPr>
          <w:sz w:val="20"/>
          <w:szCs w:val="20"/>
          <w:color w:val="auto"/>
        </w:rPr>
      </w:pPr>
    </w:p>
    <w:p>
      <w:pPr>
        <w:jc w:val="both"/>
        <w:ind w:left="1260" w:right="419"/>
        <w:spacing w:after="0" w:line="252" w:lineRule="auto"/>
        <w:rPr>
          <w:sz w:val="20"/>
          <w:szCs w:val="20"/>
          <w:color w:val="auto"/>
        </w:rPr>
      </w:pPr>
      <w:r>
        <w:rPr>
          <w:rFonts w:ascii="Arial" w:cs="Arial" w:eastAsia="Arial" w:hAnsi="Arial"/>
          <w:sz w:val="18"/>
          <w:szCs w:val="18"/>
          <w:color w:val="auto"/>
        </w:rPr>
        <w:t>The Audit Committee acts under a written charter adopted by the Board. The current charter of the Audit Committee is available in the Governance section of our website (www.ctoreit.com). A copy of this charter may also be obtained free of charge upon written request to our Corporate Secretary at 369 N. New York Avenue, Suite 201, Winter Park, Florida 32789.</w:t>
      </w:r>
    </w:p>
    <w:p>
      <w:pPr>
        <w:spacing w:after="0" w:line="103" w:lineRule="exact"/>
        <w:rPr>
          <w:sz w:val="20"/>
          <w:szCs w:val="20"/>
          <w:color w:val="auto"/>
        </w:rPr>
      </w:pPr>
    </w:p>
    <w:p>
      <w:pPr>
        <w:jc w:val="both"/>
        <w:ind w:left="1260" w:right="419"/>
        <w:spacing w:after="0" w:line="271" w:lineRule="auto"/>
        <w:rPr>
          <w:sz w:val="20"/>
          <w:szCs w:val="20"/>
          <w:color w:val="auto"/>
        </w:rPr>
      </w:pPr>
      <w:r>
        <w:rPr>
          <w:rFonts w:ascii="Arial" w:cs="Arial" w:eastAsia="Arial" w:hAnsi="Arial"/>
          <w:sz w:val="17"/>
          <w:szCs w:val="17"/>
          <w:color w:val="auto"/>
        </w:rPr>
        <w:t>Mr. Brokaw has been the chairman of the Audit Committee since May 26, 2021, and Messrs. Gable and Haga are the other members of the Audit Committee. The Board of Directors has determined that all members of the Audit Committee are independent under the listing standards of the NYSE, and Rule 10A-3 promulgated under the Securities Exchange Act of 1934, as amended (the “Exchange Act”).</w:t>
      </w:r>
    </w:p>
    <w:p>
      <w:pPr>
        <w:spacing w:after="0" w:line="34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left="1260" w:right="419"/>
        <w:spacing w:after="0" w:line="262" w:lineRule="auto"/>
        <w:rPr>
          <w:sz w:val="20"/>
          <w:szCs w:val="20"/>
          <w:color w:val="auto"/>
        </w:rPr>
      </w:pPr>
      <w:r>
        <w:rPr>
          <w:rFonts w:ascii="Arial" w:cs="Arial" w:eastAsia="Arial" w:hAnsi="Arial"/>
          <w:sz w:val="18"/>
          <w:szCs w:val="18"/>
          <w:color w:val="auto"/>
        </w:rPr>
        <w:t>All Audit Committee members possess the level of financial literacy required by the listing standards of the NYSE. Mr. Brokaw, as chairman of the Audit Committee, meets the current standard of requisite financial management expertise as required by the NYSE and is an “audit committee financial expert” as defined by rules adopted by the SEC.</w:t>
      </w:r>
    </w:p>
    <w:p>
      <w:pPr>
        <w:spacing w:after="0" w:line="109" w:lineRule="exact"/>
        <w:rPr>
          <w:sz w:val="20"/>
          <w:szCs w:val="20"/>
          <w:color w:val="auto"/>
        </w:rPr>
      </w:pPr>
    </w:p>
    <w:p>
      <w:pPr>
        <w:jc w:val="both"/>
        <w:ind w:left="1260" w:right="419"/>
        <w:spacing w:after="0" w:line="268" w:lineRule="auto"/>
        <w:rPr>
          <w:sz w:val="20"/>
          <w:szCs w:val="20"/>
          <w:color w:val="auto"/>
        </w:rPr>
      </w:pPr>
      <w:r>
        <w:rPr>
          <w:rFonts w:ascii="Arial" w:cs="Arial" w:eastAsia="Arial" w:hAnsi="Arial"/>
          <w:sz w:val="18"/>
          <w:szCs w:val="18"/>
          <w:color w:val="auto"/>
        </w:rPr>
        <w:t>The Audit Committee has adopted Policies and Procedures for Complaints and Concerns Regarding Accounting, Internal Accounting Controls, and Auditing Matters to enable confidential and anonymous reporting to the Audit Committee.</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Compensation Committee</w:t>
      </w:r>
    </w:p>
    <w:p>
      <w:pPr>
        <w:spacing w:after="0" w:line="158" w:lineRule="exact"/>
        <w:rPr>
          <w:sz w:val="20"/>
          <w:szCs w:val="20"/>
          <w:color w:val="auto"/>
        </w:rPr>
      </w:pPr>
    </w:p>
    <w:p>
      <w:pPr>
        <w:jc w:val="both"/>
        <w:ind w:left="1260" w:right="419"/>
        <w:spacing w:after="0" w:line="255" w:lineRule="auto"/>
        <w:rPr>
          <w:sz w:val="20"/>
          <w:szCs w:val="20"/>
          <w:color w:val="auto"/>
        </w:rPr>
      </w:pPr>
      <w:r>
        <w:rPr>
          <w:rFonts w:ascii="Arial" w:cs="Arial" w:eastAsia="Arial" w:hAnsi="Arial"/>
          <w:sz w:val="18"/>
          <w:szCs w:val="18"/>
          <w:color w:val="auto"/>
        </w:rPr>
        <w:t>The Board has established a Compensation Committee. In 2025, the Compensation Committee held two meetings, both via video conference. The Compensation Committee assists the Board in discharging its responsibilities relating to the compensation of our Board members, our CEO and other officers and key employees, reviews and discusses with management our “Compensation Discussion and Analysis” set forth below, and administers the Company’s equity incentive plan (currently the Fifth Amended and Restated 2010 Equity Incentive Plan (the “2010 Plan”)), the 2017 Executive Annual Cash Incentive Plan (the “Annual Incentive Plan”) and the Clawback Policy. The Compensation Committee may form and delegate its authority to subcommittees when appropriate.</w:t>
      </w:r>
    </w:p>
    <w:p>
      <w:pPr>
        <w:spacing w:after="0" w:line="104" w:lineRule="exact"/>
        <w:rPr>
          <w:sz w:val="20"/>
          <w:szCs w:val="20"/>
          <w:color w:val="auto"/>
        </w:rPr>
      </w:pPr>
    </w:p>
    <w:p>
      <w:pPr>
        <w:jc w:val="both"/>
        <w:ind w:left="1260" w:right="419"/>
        <w:spacing w:after="0" w:line="257" w:lineRule="auto"/>
        <w:rPr>
          <w:sz w:val="20"/>
          <w:szCs w:val="20"/>
          <w:color w:val="auto"/>
        </w:rPr>
      </w:pPr>
      <w:r>
        <w:rPr>
          <w:rFonts w:ascii="Arial" w:cs="Arial" w:eastAsia="Arial" w:hAnsi="Arial"/>
          <w:sz w:val="18"/>
          <w:szCs w:val="18"/>
          <w:color w:val="auto"/>
        </w:rPr>
        <w:t>The Compensation Committee has primary responsibility for determining our compensation philosophy and recommending to the Board the approval of compensation for the named executive officers. The full Board (other than Mr. Albright) aids the Compensation Committee by providing annual evaluations regarding the performance of Mr. Albright, our President and CEO. Mr. Albright provides annual recommendations regarding the compensation of the other named executive officers and all other officers and managers.</w:t>
      </w:r>
    </w:p>
    <w:p>
      <w:pPr>
        <w:spacing w:after="0" w:line="115" w:lineRule="exact"/>
        <w:rPr>
          <w:sz w:val="20"/>
          <w:szCs w:val="20"/>
          <w:color w:val="auto"/>
        </w:rPr>
      </w:pPr>
    </w:p>
    <w:p>
      <w:pPr>
        <w:jc w:val="both"/>
        <w:ind w:left="1260" w:right="419"/>
        <w:spacing w:after="0" w:line="287" w:lineRule="auto"/>
        <w:rPr>
          <w:sz w:val="20"/>
          <w:szCs w:val="20"/>
          <w:color w:val="auto"/>
        </w:rPr>
      </w:pPr>
      <w:r>
        <w:rPr>
          <w:rFonts w:ascii="Arial" w:cs="Arial" w:eastAsia="Arial" w:hAnsi="Arial"/>
          <w:sz w:val="18"/>
          <w:szCs w:val="18"/>
          <w:color w:val="auto"/>
        </w:rPr>
        <w:t>In addition, the Compensation Committee has the sole authority to hire, and to dismiss, a compensation consultant.</w:t>
      </w:r>
    </w:p>
    <w:p>
      <w:pPr>
        <w:spacing w:after="0" w:line="85" w:lineRule="exact"/>
        <w:rPr>
          <w:sz w:val="20"/>
          <w:szCs w:val="20"/>
          <w:color w:val="auto"/>
        </w:rPr>
      </w:pPr>
    </w:p>
    <w:p>
      <w:pPr>
        <w:jc w:val="both"/>
        <w:ind w:left="1260" w:right="419"/>
        <w:spacing w:after="0" w:line="262" w:lineRule="auto"/>
        <w:rPr>
          <w:sz w:val="20"/>
          <w:szCs w:val="20"/>
          <w:color w:val="auto"/>
        </w:rPr>
      </w:pPr>
      <w:r>
        <w:rPr>
          <w:rFonts w:ascii="Arial" w:cs="Arial" w:eastAsia="Arial" w:hAnsi="Arial"/>
          <w:sz w:val="18"/>
          <w:szCs w:val="18"/>
          <w:color w:val="auto"/>
        </w:rPr>
        <w:t>The Compensation Committee acts under a written charter adopted by the Board. The current charter of the Compensation Committee is available in the Governance section of our website (www.ctoreit.com). A copy of this charter may also be obtained free of charge upon written request to our Corporate Secretary at 369 N. New York Avenue, Suite 201, Winter Park, Florida 32789.</w:t>
      </w:r>
    </w:p>
    <w:p>
      <w:pPr>
        <w:spacing w:after="0" w:line="95" w:lineRule="exact"/>
        <w:rPr>
          <w:sz w:val="20"/>
          <w:szCs w:val="20"/>
          <w:color w:val="auto"/>
        </w:rPr>
      </w:pPr>
    </w:p>
    <w:p>
      <w:pPr>
        <w:jc w:val="both"/>
        <w:ind w:left="1260" w:right="419"/>
        <w:spacing w:after="0" w:line="262" w:lineRule="auto"/>
        <w:rPr>
          <w:sz w:val="20"/>
          <w:szCs w:val="20"/>
          <w:color w:val="auto"/>
        </w:rPr>
      </w:pPr>
      <w:r>
        <w:rPr>
          <w:rFonts w:ascii="Arial" w:cs="Arial" w:eastAsia="Arial" w:hAnsi="Arial"/>
          <w:sz w:val="18"/>
          <w:szCs w:val="18"/>
          <w:color w:val="auto"/>
        </w:rPr>
        <w:t>Mr. Haga has been the chairman of the Compensation Committee since July 29, 2020, and Messrs. Brokaw and Drew are the other members of the Compensation Committee. The Board has determined that all members of the Compensation Committee are independent under the listing standards of the NYSE.</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Governance Committee</w:t>
      </w:r>
    </w:p>
    <w:p>
      <w:pPr>
        <w:spacing w:after="0" w:line="158" w:lineRule="exact"/>
        <w:rPr>
          <w:sz w:val="20"/>
          <w:szCs w:val="20"/>
          <w:color w:val="auto"/>
        </w:rPr>
      </w:pPr>
    </w:p>
    <w:p>
      <w:pPr>
        <w:jc w:val="both"/>
        <w:ind w:left="1260" w:right="419"/>
        <w:spacing w:after="0" w:line="257" w:lineRule="auto"/>
        <w:rPr>
          <w:sz w:val="20"/>
          <w:szCs w:val="20"/>
          <w:color w:val="auto"/>
        </w:rPr>
      </w:pPr>
      <w:r>
        <w:rPr>
          <w:rFonts w:ascii="Arial" w:cs="Arial" w:eastAsia="Arial" w:hAnsi="Arial"/>
          <w:sz w:val="18"/>
          <w:szCs w:val="18"/>
          <w:color w:val="auto"/>
        </w:rPr>
        <w:t>The Board has established a Governance Committee. In 2025, the Governance Committee held one meeting, via video conference. The Governance Committee was formed to perform the functions of a nominating committee and as such recommends to the Board individuals who are qualified to become members of the Board. The Governance Committee uses criteria developed by the Governance Committee and approved by the Board to recommend nominees for the election of directors at the annual meeting of stockholders or when vacancies otherwise occur.</w:t>
      </w:r>
    </w:p>
    <w:p>
      <w:pPr>
        <w:spacing w:after="0" w:line="115" w:lineRule="exact"/>
        <w:rPr>
          <w:sz w:val="20"/>
          <w:szCs w:val="20"/>
          <w:color w:val="auto"/>
        </w:rPr>
      </w:pPr>
    </w:p>
    <w:p>
      <w:pPr>
        <w:jc w:val="both"/>
        <w:ind w:left="1260" w:right="419"/>
        <w:spacing w:after="0" w:line="282" w:lineRule="auto"/>
        <w:rPr>
          <w:sz w:val="20"/>
          <w:szCs w:val="20"/>
          <w:color w:val="auto"/>
        </w:rPr>
      </w:pPr>
      <w:r>
        <w:rPr>
          <w:rFonts w:ascii="Arial" w:cs="Arial" w:eastAsia="Arial" w:hAnsi="Arial"/>
          <w:sz w:val="17"/>
          <w:szCs w:val="17"/>
          <w:color w:val="auto"/>
        </w:rPr>
        <w:t>The Governance Committee operates under a formal charter that governs its duties and standards of performance. The current charter of the Governance Committee is available in the Governance section of our website (www.ctoreit.com). A copy of this charter may also be obtained free of charge upon written request to our Corporate Secretary at 369 N. New York Avenue, Suite 201, Winter Park, Florida 32789.</w:t>
      </w:r>
    </w:p>
    <w:p>
      <w:pPr>
        <w:spacing w:after="0" w:line="80" w:lineRule="exact"/>
        <w:rPr>
          <w:sz w:val="20"/>
          <w:szCs w:val="20"/>
          <w:color w:val="auto"/>
        </w:rPr>
      </w:pPr>
    </w:p>
    <w:p>
      <w:pPr>
        <w:jc w:val="both"/>
        <w:ind w:left="1260" w:right="419"/>
        <w:spacing w:after="0" w:line="268" w:lineRule="auto"/>
        <w:rPr>
          <w:sz w:val="20"/>
          <w:szCs w:val="20"/>
          <w:color w:val="auto"/>
        </w:rPr>
      </w:pPr>
      <w:r>
        <w:rPr>
          <w:rFonts w:ascii="Arial" w:cs="Arial" w:eastAsia="Arial" w:hAnsi="Arial"/>
          <w:sz w:val="18"/>
          <w:szCs w:val="18"/>
          <w:color w:val="auto"/>
        </w:rPr>
        <w:t>Mr. Gable has been the chairman of the Governance Committee since July 29, 2020, and Messrs. Drew and Haga are the other members of the Governance Committee. The Board has determined that all members of the Governance Committee are independent under the listing standards of the NYSE.</w:t>
      </w:r>
    </w:p>
    <w:p>
      <w:pPr>
        <w:spacing w:after="0" w:line="36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Consideration of Director Nominees</w:t>
      </w:r>
    </w:p>
    <w:p>
      <w:pPr>
        <w:spacing w:after="0" w:line="158" w:lineRule="exact"/>
        <w:rPr>
          <w:sz w:val="20"/>
          <w:szCs w:val="20"/>
          <w:color w:val="auto"/>
        </w:rPr>
      </w:pPr>
    </w:p>
    <w:p>
      <w:pPr>
        <w:jc w:val="both"/>
        <w:ind w:left="1260" w:right="419"/>
        <w:spacing w:after="0" w:line="244" w:lineRule="auto"/>
        <w:rPr>
          <w:sz w:val="20"/>
          <w:szCs w:val="20"/>
          <w:color w:val="auto"/>
        </w:rPr>
      </w:pPr>
      <w:r>
        <w:rPr>
          <w:rFonts w:ascii="Arial" w:cs="Arial" w:eastAsia="Arial" w:hAnsi="Arial"/>
          <w:sz w:val="18"/>
          <w:szCs w:val="18"/>
          <w:color w:val="auto"/>
        </w:rPr>
        <w:t>The Governance Committee will consider recommendations from stockholders of candidates for membership on the Board. To recommend a candidate to the Governance Committee, stockholders should submit recommendations in writing to our Corporate Secretary at 369 N. New York Avenue, Suite 201, Winter Park, Florida 32789. A nominating recommendation must include a description of the candidate’s qualifications and be accompanied by the candidate’s written statement of willingness and affirmative desire to serve in a manner representing the interest of all stockholders. Candidates recommended by stockholders will be considered using the same criteria and in the same manner utilized by the Governance Committee in considering all candidates for election to the Board.</w:t>
      </w:r>
    </w:p>
    <w:p>
      <w:pPr>
        <w:spacing w:after="0" w:line="112" w:lineRule="exact"/>
        <w:rPr>
          <w:sz w:val="20"/>
          <w:szCs w:val="20"/>
          <w:color w:val="auto"/>
        </w:rPr>
      </w:pPr>
    </w:p>
    <w:p>
      <w:pPr>
        <w:jc w:val="both"/>
        <w:ind w:left="1260" w:right="419"/>
        <w:spacing w:after="0" w:line="261" w:lineRule="auto"/>
        <w:rPr>
          <w:sz w:val="20"/>
          <w:szCs w:val="20"/>
          <w:color w:val="auto"/>
        </w:rPr>
      </w:pPr>
      <w:r>
        <w:rPr>
          <w:rFonts w:ascii="Arial" w:cs="Arial" w:eastAsia="Arial" w:hAnsi="Arial"/>
          <w:sz w:val="18"/>
          <w:szCs w:val="18"/>
          <w:color w:val="auto"/>
        </w:rPr>
        <w:t>In addition to recommending nominees for consideration to the Governance Committee, stockholders may also directly propose nominees for consideration at an annual meeting of our stockholders by following the procedures specified in our Bylaws.</w:t>
      </w:r>
    </w:p>
    <w:p>
      <w:pPr>
        <w:spacing w:after="0" w:line="94" w:lineRule="exact"/>
        <w:rPr>
          <w:sz w:val="20"/>
          <w:szCs w:val="20"/>
          <w:color w:val="auto"/>
        </w:rPr>
      </w:pPr>
    </w:p>
    <w:p>
      <w:pPr>
        <w:jc w:val="both"/>
        <w:ind w:left="1260" w:right="419"/>
        <w:spacing w:after="0" w:line="243" w:lineRule="auto"/>
        <w:rPr>
          <w:sz w:val="20"/>
          <w:szCs w:val="20"/>
          <w:color w:val="auto"/>
        </w:rPr>
      </w:pPr>
      <w:r>
        <w:rPr>
          <w:rFonts w:ascii="Arial" w:cs="Arial" w:eastAsia="Arial" w:hAnsi="Arial"/>
          <w:sz w:val="18"/>
          <w:szCs w:val="18"/>
          <w:color w:val="auto"/>
        </w:rPr>
        <w:t>The Governance Committee has established specific, minimum qualifications that must be met by a Governance Committee-recommended nominee. Under these criteria, a majority of the Board should be independent under the listing standards of the NYSE. In addition, a nominee should demonstrate high ethical standards and integrity and be accountable for boardroom decisions (no individual will be nominated to be a director of the Company where the Governance Committee has determined that the individual has demonstrated a lack of ethical standards, as evidenced by a material violation of applicable law, regulations, stock exchange listing standards or the Company’s Code of Business Conduct and Ethics); should have the ability to provide thoughtful counsel on a broad range of issues; should be financially literate; should be willing to listen and be open to the consideration of other opinions, as well as have the ability to effectively communicate his or her own ideas; should be committed to our achievement of exceptional performance standards to benefit our customers, stockholders, employees, and communities; and should have the ability to commit sufficient time and attention to our activities.</w:t>
      </w:r>
    </w:p>
    <w:p>
      <w:pPr>
        <w:spacing w:after="0" w:line="111" w:lineRule="exact"/>
        <w:rPr>
          <w:sz w:val="20"/>
          <w:szCs w:val="20"/>
          <w:color w:val="auto"/>
        </w:rPr>
      </w:pPr>
    </w:p>
    <w:p>
      <w:pPr>
        <w:jc w:val="both"/>
        <w:ind w:left="1260" w:right="419"/>
        <w:spacing w:after="0" w:line="242" w:lineRule="auto"/>
        <w:rPr>
          <w:sz w:val="20"/>
          <w:szCs w:val="20"/>
          <w:color w:val="auto"/>
        </w:rPr>
      </w:pPr>
      <w:r>
        <w:rPr>
          <w:rFonts w:ascii="Arial" w:cs="Arial" w:eastAsia="Arial" w:hAnsi="Arial"/>
          <w:sz w:val="18"/>
          <w:szCs w:val="18"/>
          <w:color w:val="auto"/>
        </w:rPr>
        <w:t>Prior to identifying and evaluating nominees for director, the Governance Committee assesses the size and membership of the Board and determines whether any vacancies are to be expected. In the event of any vacancies, the Governance Committee considers potential candidates for director, which may come to the Governance Committee’s attention through current Board members, stockholders, professional search firms, or other persons. In addition to the specific minimum qualifications described above, the Governance Committee seeks to ensure that the Board as a whole will possess the following specific qualities or skills: expertise in management or oversight of financial accounting and control; a record of making sound business decisions; cognizance of current general management trends and “best practices;” relevant knowledge specific to the industries in which we operate; ability and willingness to motivate and require high performance by management; capability of questioning, approving, and monitoring our strategic plans, and providing insight and directional focus; a knowledge of the geographic area in which we operate and local and state business, political, and governmental contacts which would be beneficial to us; and experience on the boards of other public companies. The Governance Committee meets to review and report to the Board on possible candidates for membership and annually recommends a slate of nominees to the Board with respect to nominations for the Board at the annual meeting of stockholders.</w:t>
      </w:r>
    </w:p>
    <w:p>
      <w:pPr>
        <w:spacing w:after="0" w:line="117" w:lineRule="exact"/>
        <w:rPr>
          <w:sz w:val="20"/>
          <w:szCs w:val="20"/>
          <w:color w:val="auto"/>
        </w:rPr>
      </w:pPr>
    </w:p>
    <w:p>
      <w:pPr>
        <w:jc w:val="both"/>
        <w:ind w:left="1260" w:right="419"/>
        <w:spacing w:after="0" w:line="246" w:lineRule="auto"/>
        <w:rPr>
          <w:sz w:val="20"/>
          <w:szCs w:val="20"/>
          <w:color w:val="auto"/>
        </w:rPr>
      </w:pPr>
      <w:r>
        <w:rPr>
          <w:rFonts w:ascii="Arial" w:cs="Arial" w:eastAsia="Arial" w:hAnsi="Arial"/>
          <w:sz w:val="18"/>
          <w:szCs w:val="18"/>
          <w:color w:val="auto"/>
        </w:rPr>
        <w:t>The Governance Committee believes that its criteria and desired qualities and skills lead to nominees with a broad diversity of experience, skills, and backgrounds. The Governance Committee does not assign specific weights to its criteria and no specific quality or skill is applicable to all prospective nominees. While we do not have a formal policy on diversity, the Governance Committee assesses its effectiveness in accounting for diversity, along with the other factors taken into account to identify director nominees, when it annually evaluates the performance of the Board and each director and periodically reviews the Company’s corporate governance guidelines.</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Majority and Plurality Voting for Directors</w:t>
      </w:r>
    </w:p>
    <w:p>
      <w:pPr>
        <w:spacing w:after="0" w:line="158" w:lineRule="exact"/>
        <w:rPr>
          <w:sz w:val="20"/>
          <w:szCs w:val="20"/>
          <w:color w:val="auto"/>
        </w:rPr>
      </w:pPr>
    </w:p>
    <w:p>
      <w:pPr>
        <w:jc w:val="both"/>
        <w:ind w:left="1260" w:right="419"/>
        <w:spacing w:after="0" w:line="252" w:lineRule="auto"/>
        <w:rPr>
          <w:sz w:val="20"/>
          <w:szCs w:val="20"/>
          <w:color w:val="auto"/>
        </w:rPr>
      </w:pPr>
      <w:r>
        <w:rPr>
          <w:rFonts w:ascii="Arial" w:cs="Arial" w:eastAsia="Arial" w:hAnsi="Arial"/>
          <w:sz w:val="18"/>
          <w:szCs w:val="18"/>
          <w:color w:val="auto"/>
        </w:rPr>
        <w:t>Our Bylaws provide that the voting standard for the election of our directors in uncontested elections is a majority voting standard. In contested director elections, the plurality standard will apply, which means the nominees receiving the greatest numbers of votes cast “FOR” their election will be elected to serve as</w:t>
      </w:r>
    </w:p>
    <w:p>
      <w:pPr>
        <w:sectPr>
          <w:pgSz w:w="11900" w:h="16838" w:orient="portrait"/>
          <w:cols w:equalWidth="0" w:num="1">
            <w:col w:w="9879"/>
          </w:cols>
          <w:pgMar w:left="580" w:top="97" w:right="1440" w:bottom="1440" w:gutter="0" w:footer="0" w:header="0"/>
        </w:sectPr>
      </w:pPr>
    </w:p>
    <w:p>
      <w:pPr>
        <w:spacing w:after="0" w:line="34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left="1260" w:right="419"/>
        <w:spacing w:after="0" w:line="262" w:lineRule="auto"/>
        <w:rPr>
          <w:sz w:val="20"/>
          <w:szCs w:val="20"/>
          <w:color w:val="auto"/>
        </w:rPr>
      </w:pPr>
      <w:r>
        <w:rPr>
          <w:rFonts w:ascii="Arial" w:cs="Arial" w:eastAsia="Arial" w:hAnsi="Arial"/>
          <w:sz w:val="18"/>
          <w:szCs w:val="18"/>
          <w:color w:val="auto"/>
        </w:rPr>
        <w:t>directors. An uncontested election for directors is an election where the number of properly nominated directors does not exceed the number of director positions to be filled. Under a majority voting standard, a director nominee will be elected if the number of votes cast “FOR” a director nominee exceeds the number of votes cast “AGAINST” that director nominee.</w:t>
      </w:r>
    </w:p>
    <w:p>
      <w:pPr>
        <w:spacing w:after="0" w:line="109" w:lineRule="exact"/>
        <w:rPr>
          <w:sz w:val="20"/>
          <w:szCs w:val="20"/>
          <w:color w:val="auto"/>
        </w:rPr>
      </w:pPr>
    </w:p>
    <w:p>
      <w:pPr>
        <w:jc w:val="both"/>
        <w:ind w:left="1260" w:right="419"/>
        <w:spacing w:after="0" w:line="253" w:lineRule="auto"/>
        <w:rPr>
          <w:sz w:val="20"/>
          <w:szCs w:val="20"/>
          <w:color w:val="auto"/>
        </w:rPr>
      </w:pPr>
      <w:r>
        <w:rPr>
          <w:rFonts w:ascii="Arial" w:cs="Arial" w:eastAsia="Arial" w:hAnsi="Arial"/>
          <w:sz w:val="18"/>
          <w:szCs w:val="18"/>
          <w:color w:val="auto"/>
        </w:rPr>
        <w:t>If an incumbent director nominee does not receive a greater number of “FOR” votes than “AGAINST” votes, he or she must promptly tender his or her resignation to the Board following certification of the vote, which resignation would be effective upon acceptance by the Board. The Governance Committee would consider the resignation offer and recommend to our Board the action to be taken. The Governance Committee and the Board would be entitled to consider any factors they deem relevant in deciding whether to accept a director’s resignation. Our Board would take action with regard to any such resignations within 90 days following certification of the vote, unless such action would cause us to fail to comply with any applicable stock exchange listing requirement or any rule or regulation promulgated under the Exchange Act, in which event our Board would take action as promptly as practicable while continuing to meet such requirement, rule, or regulation. Our Board also would promptly disclose publicly its decision and the reasons therefor. If our Board elected not to accept any such resignation, the director would continue to serve until the next annual meeting for the year in which his or her term expires and until his or her successor were to be duly elected and qualified, or until his or her prior resignation, death, or removal. If our Board were to accept such resignation, then our Board, in its sole discretion, would have the ability to fill any resulting vacancy.</w:t>
      </w:r>
    </w:p>
    <w:p>
      <w:pPr>
        <w:spacing w:after="0" w:line="116" w:lineRule="exact"/>
        <w:rPr>
          <w:sz w:val="20"/>
          <w:szCs w:val="20"/>
          <w:color w:val="auto"/>
        </w:rPr>
      </w:pPr>
    </w:p>
    <w:p>
      <w:pPr>
        <w:jc w:val="both"/>
        <w:ind w:left="1260" w:right="419"/>
        <w:spacing w:after="0" w:line="287" w:lineRule="auto"/>
        <w:rPr>
          <w:sz w:val="20"/>
          <w:szCs w:val="20"/>
          <w:color w:val="auto"/>
        </w:rPr>
      </w:pPr>
      <w:r>
        <w:rPr>
          <w:rFonts w:ascii="Arial" w:cs="Arial" w:eastAsia="Arial" w:hAnsi="Arial"/>
          <w:sz w:val="18"/>
          <w:szCs w:val="18"/>
          <w:color w:val="auto"/>
        </w:rPr>
        <w:t>The election of directors at the Annual Meeting is an uncontested election and therefore the majority voting standard applies.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CORPORATE GOVERNANCE — EXECUTIVE OFFICERS</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following table sets forth certain information with respect to each of our current executive officers:</w:t>
      </w:r>
    </w:p>
    <w:p>
      <w:pPr>
        <w:spacing w:after="0" w:line="221" w:lineRule="exact"/>
        <w:rPr>
          <w:sz w:val="20"/>
          <w:szCs w:val="20"/>
          <w:color w:val="auto"/>
        </w:rPr>
      </w:pPr>
    </w:p>
    <w:tbl>
      <w:tblPr>
        <w:tblLayout w:type="fixed"/>
        <w:tblInd w:w="1260" w:type="dxa"/>
        <w:tblCellMar>
          <w:top w:w="0" w:type="dxa"/>
          <w:left w:w="0" w:type="dxa"/>
          <w:bottom w:w="0" w:type="dxa"/>
          <w:right w:w="0" w:type="dxa"/>
        </w:tblCellMar>
      </w:tblPr>
      <w:tr>
        <w:trPr>
          <w:trHeight w:val="205"/>
        </w:trPr>
        <w:tc>
          <w:tcPr>
            <w:tcW w:w="2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Executive Officer</w:t>
            </w:r>
          </w:p>
        </w:tc>
        <w:tc>
          <w:tcPr>
            <w:tcW w:w="220" w:type="dxa"/>
            <w:vAlign w:val="bottom"/>
          </w:tcPr>
          <w:p>
            <w:pPr>
              <w:spacing w:after="0"/>
              <w:rPr>
                <w:sz w:val="17"/>
                <w:szCs w:val="17"/>
                <w:color w:val="auto"/>
              </w:rPr>
            </w:pPr>
          </w:p>
        </w:tc>
        <w:tc>
          <w:tcPr>
            <w:tcW w:w="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Age</w:t>
            </w:r>
          </w:p>
        </w:tc>
        <w:tc>
          <w:tcPr>
            <w:tcW w:w="220" w:type="dxa"/>
            <w:vAlign w:val="bottom"/>
          </w:tcPr>
          <w:p>
            <w:pPr>
              <w:spacing w:after="0"/>
              <w:rPr>
                <w:sz w:val="17"/>
                <w:szCs w:val="17"/>
                <w:color w:val="auto"/>
              </w:rPr>
            </w:pPr>
          </w:p>
        </w:tc>
        <w:tc>
          <w:tcPr>
            <w:tcW w:w="4980" w:type="dxa"/>
            <w:vAlign w:val="bottom"/>
            <w:tcBorders>
              <w:bottom w:val="single" w:sz="8" w:color="auto"/>
            </w:tcBorders>
          </w:tcPr>
          <w:p>
            <w:pPr>
              <w:ind w:left="2200"/>
              <w:spacing w:after="0"/>
              <w:rPr>
                <w:sz w:val="20"/>
                <w:szCs w:val="20"/>
                <w:color w:val="auto"/>
              </w:rPr>
            </w:pPr>
            <w:r>
              <w:rPr>
                <w:rFonts w:ascii="Arial" w:cs="Arial" w:eastAsia="Arial" w:hAnsi="Arial"/>
                <w:sz w:val="14"/>
                <w:szCs w:val="14"/>
                <w:b w:val="1"/>
                <w:bCs w:val="1"/>
                <w:color w:val="auto"/>
              </w:rPr>
              <w:t>Position</w:t>
            </w:r>
          </w:p>
        </w:tc>
      </w:tr>
      <w:tr>
        <w:trPr>
          <w:trHeight w:val="261"/>
        </w:trPr>
        <w:tc>
          <w:tcPr>
            <w:tcW w:w="2720" w:type="dxa"/>
            <w:vAlign w:val="bottom"/>
            <w:gridSpan w:val="2"/>
          </w:tcPr>
          <w:p>
            <w:pPr>
              <w:spacing w:after="0"/>
              <w:rPr>
                <w:sz w:val="20"/>
                <w:szCs w:val="20"/>
                <w:color w:val="auto"/>
              </w:rPr>
            </w:pPr>
            <w:r>
              <w:rPr>
                <w:rFonts w:ascii="Arial" w:cs="Arial" w:eastAsia="Arial" w:hAnsi="Arial"/>
                <w:sz w:val="18"/>
                <w:szCs w:val="18"/>
                <w:color w:val="auto"/>
              </w:rPr>
              <w:t>John P. Albright</w:t>
            </w:r>
          </w:p>
        </w:tc>
        <w:tc>
          <w:tcPr>
            <w:tcW w:w="280" w:type="dxa"/>
            <w:vAlign w:val="bottom"/>
          </w:tcPr>
          <w:p>
            <w:pPr>
              <w:jc w:val="center"/>
              <w:spacing w:after="0"/>
              <w:rPr>
                <w:sz w:val="20"/>
                <w:szCs w:val="20"/>
                <w:color w:val="auto"/>
              </w:rPr>
            </w:pPr>
            <w:r>
              <w:rPr>
                <w:rFonts w:ascii="Arial" w:cs="Arial" w:eastAsia="Arial" w:hAnsi="Arial"/>
                <w:sz w:val="18"/>
                <w:szCs w:val="18"/>
                <w:color w:val="auto"/>
                <w:w w:val="99"/>
              </w:rPr>
              <w:t>60</w:t>
            </w:r>
          </w:p>
        </w:tc>
        <w:tc>
          <w:tcPr>
            <w:tcW w:w="220" w:type="dxa"/>
            <w:vAlign w:val="bottom"/>
          </w:tcPr>
          <w:p>
            <w:pPr>
              <w:spacing w:after="0"/>
              <w:rPr>
                <w:sz w:val="22"/>
                <w:szCs w:val="22"/>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President &amp; Chief Executive Officer</w:t>
            </w:r>
          </w:p>
        </w:tc>
      </w:tr>
      <w:tr>
        <w:trPr>
          <w:trHeight w:val="297"/>
        </w:trPr>
        <w:tc>
          <w:tcPr>
            <w:tcW w:w="2720" w:type="dxa"/>
            <w:vAlign w:val="bottom"/>
            <w:gridSpan w:val="2"/>
          </w:tcPr>
          <w:p>
            <w:pPr>
              <w:spacing w:after="0"/>
              <w:rPr>
                <w:sz w:val="20"/>
                <w:szCs w:val="20"/>
                <w:color w:val="auto"/>
              </w:rPr>
            </w:pPr>
            <w:r>
              <w:rPr>
                <w:rFonts w:ascii="Arial" w:cs="Arial" w:eastAsia="Arial" w:hAnsi="Arial"/>
                <w:sz w:val="18"/>
                <w:szCs w:val="18"/>
                <w:color w:val="auto"/>
              </w:rPr>
              <w:t>Steven R. Greathouse</w:t>
            </w:r>
          </w:p>
        </w:tc>
        <w:tc>
          <w:tcPr>
            <w:tcW w:w="280" w:type="dxa"/>
            <w:vAlign w:val="bottom"/>
          </w:tcPr>
          <w:p>
            <w:pPr>
              <w:jc w:val="center"/>
              <w:spacing w:after="0"/>
              <w:rPr>
                <w:sz w:val="20"/>
                <w:szCs w:val="20"/>
                <w:color w:val="auto"/>
              </w:rPr>
            </w:pPr>
            <w:r>
              <w:rPr>
                <w:rFonts w:ascii="Arial" w:cs="Arial" w:eastAsia="Arial" w:hAnsi="Arial"/>
                <w:sz w:val="18"/>
                <w:szCs w:val="18"/>
                <w:color w:val="auto"/>
                <w:w w:val="99"/>
              </w:rPr>
              <w:t>48</w:t>
            </w:r>
          </w:p>
        </w:tc>
        <w:tc>
          <w:tcPr>
            <w:tcW w:w="22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Senior Vice President &amp; Chief Investment Officer</w:t>
            </w:r>
          </w:p>
        </w:tc>
      </w:tr>
      <w:tr>
        <w:trPr>
          <w:trHeight w:val="297"/>
        </w:trPr>
        <w:tc>
          <w:tcPr>
            <w:tcW w:w="2720" w:type="dxa"/>
            <w:vAlign w:val="bottom"/>
            <w:gridSpan w:val="2"/>
          </w:tcPr>
          <w:p>
            <w:pPr>
              <w:spacing w:after="0"/>
              <w:rPr>
                <w:sz w:val="20"/>
                <w:szCs w:val="20"/>
                <w:color w:val="auto"/>
              </w:rPr>
            </w:pPr>
            <w:r>
              <w:rPr>
                <w:rFonts w:ascii="Arial" w:cs="Arial" w:eastAsia="Arial" w:hAnsi="Arial"/>
                <w:sz w:val="18"/>
                <w:szCs w:val="18"/>
                <w:color w:val="auto"/>
              </w:rPr>
              <w:t>Philip R. Mays</w:t>
            </w:r>
          </w:p>
        </w:tc>
        <w:tc>
          <w:tcPr>
            <w:tcW w:w="280" w:type="dxa"/>
            <w:vAlign w:val="bottom"/>
          </w:tcPr>
          <w:p>
            <w:pPr>
              <w:jc w:val="center"/>
              <w:spacing w:after="0"/>
              <w:rPr>
                <w:sz w:val="20"/>
                <w:szCs w:val="20"/>
                <w:color w:val="auto"/>
              </w:rPr>
            </w:pPr>
            <w:r>
              <w:rPr>
                <w:rFonts w:ascii="Arial" w:cs="Arial" w:eastAsia="Arial" w:hAnsi="Arial"/>
                <w:sz w:val="18"/>
                <w:szCs w:val="18"/>
                <w:color w:val="auto"/>
                <w:w w:val="99"/>
              </w:rPr>
              <w:t>58</w:t>
            </w:r>
          </w:p>
        </w:tc>
        <w:tc>
          <w:tcPr>
            <w:tcW w:w="22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Senior Vice President, Chief Financial Officer &amp; Treasurer</w:t>
            </w:r>
          </w:p>
        </w:tc>
      </w:tr>
      <w:tr>
        <w:trPr>
          <w:trHeight w:val="283"/>
        </w:trPr>
        <w:tc>
          <w:tcPr>
            <w:tcW w:w="2720" w:type="dxa"/>
            <w:vAlign w:val="bottom"/>
            <w:gridSpan w:val="2"/>
          </w:tcPr>
          <w:p>
            <w:pPr>
              <w:spacing w:after="0"/>
              <w:rPr>
                <w:sz w:val="20"/>
                <w:szCs w:val="20"/>
                <w:color w:val="auto"/>
              </w:rPr>
            </w:pPr>
            <w:r>
              <w:rPr>
                <w:rFonts w:ascii="Arial" w:cs="Arial" w:eastAsia="Arial" w:hAnsi="Arial"/>
                <w:sz w:val="18"/>
                <w:szCs w:val="18"/>
                <w:color w:val="auto"/>
              </w:rPr>
              <w:t>Daniel E. Smith</w:t>
            </w:r>
          </w:p>
        </w:tc>
        <w:tc>
          <w:tcPr>
            <w:tcW w:w="280" w:type="dxa"/>
            <w:vAlign w:val="bottom"/>
          </w:tcPr>
          <w:p>
            <w:pPr>
              <w:jc w:val="center"/>
              <w:spacing w:after="0"/>
              <w:rPr>
                <w:sz w:val="20"/>
                <w:szCs w:val="20"/>
                <w:color w:val="auto"/>
              </w:rPr>
            </w:pPr>
            <w:r>
              <w:rPr>
                <w:rFonts w:ascii="Arial" w:cs="Arial" w:eastAsia="Arial" w:hAnsi="Arial"/>
                <w:sz w:val="18"/>
                <w:szCs w:val="18"/>
                <w:color w:val="auto"/>
                <w:w w:val="99"/>
              </w:rPr>
              <w:t>60</w:t>
            </w:r>
          </w:p>
        </w:tc>
        <w:tc>
          <w:tcPr>
            <w:tcW w:w="22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Arial" w:cs="Arial" w:eastAsia="Arial" w:hAnsi="Arial"/>
                <w:sz w:val="18"/>
                <w:szCs w:val="18"/>
                <w:color w:val="auto"/>
                <w:w w:val="98"/>
              </w:rPr>
              <w:t>Senior Vice President, General Counsel &amp; Corporate Secretary</w:t>
            </w:r>
          </w:p>
        </w:tc>
      </w:tr>
      <w:tr>
        <w:trPr>
          <w:trHeight w:val="311"/>
        </w:trPr>
        <w:tc>
          <w:tcPr>
            <w:tcW w:w="2720" w:type="dxa"/>
            <w:vAlign w:val="bottom"/>
            <w:gridSpan w:val="2"/>
          </w:tcPr>
          <w:p>
            <w:pPr>
              <w:spacing w:after="0"/>
              <w:rPr>
                <w:sz w:val="20"/>
                <w:szCs w:val="20"/>
                <w:color w:val="auto"/>
              </w:rPr>
            </w:pPr>
            <w:r>
              <w:rPr>
                <w:rFonts w:ascii="Arial" w:cs="Arial" w:eastAsia="Arial" w:hAnsi="Arial"/>
                <w:sz w:val="18"/>
                <w:szCs w:val="18"/>
                <w:color w:val="auto"/>
              </w:rPr>
              <w:t>Lisa M. Vorakoun</w:t>
            </w:r>
          </w:p>
        </w:tc>
        <w:tc>
          <w:tcPr>
            <w:tcW w:w="280" w:type="dxa"/>
            <w:vAlign w:val="bottom"/>
          </w:tcPr>
          <w:p>
            <w:pPr>
              <w:jc w:val="center"/>
              <w:spacing w:after="0"/>
              <w:rPr>
                <w:sz w:val="20"/>
                <w:szCs w:val="20"/>
                <w:color w:val="auto"/>
              </w:rPr>
            </w:pPr>
            <w:r>
              <w:rPr>
                <w:rFonts w:ascii="Arial" w:cs="Arial" w:eastAsia="Arial" w:hAnsi="Arial"/>
                <w:sz w:val="18"/>
                <w:szCs w:val="18"/>
                <w:color w:val="auto"/>
                <w:w w:val="99"/>
              </w:rPr>
              <w:t>42</w:t>
            </w:r>
          </w:p>
        </w:tc>
        <w:tc>
          <w:tcPr>
            <w:tcW w:w="22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Senior Vice President &amp; Chief Accounting Officer</w:t>
            </w:r>
          </w:p>
        </w:tc>
      </w:tr>
    </w:tbl>
    <w:p>
      <w:pPr>
        <w:spacing w:after="0" w:line="22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Biographical Information</w:t>
      </w:r>
    </w:p>
    <w:p>
      <w:pPr>
        <w:spacing w:after="0" w:line="158" w:lineRule="exact"/>
        <w:rPr>
          <w:sz w:val="20"/>
          <w:szCs w:val="20"/>
          <w:color w:val="auto"/>
        </w:rPr>
      </w:pPr>
    </w:p>
    <w:p>
      <w:pPr>
        <w:jc w:val="both"/>
        <w:ind w:left="1260" w:right="419"/>
        <w:spacing w:after="0" w:line="252" w:lineRule="auto"/>
        <w:rPr>
          <w:sz w:val="20"/>
          <w:szCs w:val="20"/>
          <w:color w:val="auto"/>
        </w:rPr>
      </w:pPr>
      <w:r>
        <w:rPr>
          <w:rFonts w:ascii="Arial" w:cs="Arial" w:eastAsia="Arial" w:hAnsi="Arial"/>
          <w:sz w:val="18"/>
          <w:szCs w:val="18"/>
          <w:color w:val="auto"/>
        </w:rPr>
        <w:t>Information for John P. Albright, member of the Board and our President and Chief Executive Officer, is contained above under the heading “PROPOSAL 1: ELECTION OF DIRECTORS.” Information is set forth below with regard to our other executive officers. We have determined we have five executive officers who served during 2025. All of our officers serve at the pleasure of the Board.</w:t>
      </w:r>
    </w:p>
    <w:p>
      <w:pPr>
        <w:spacing w:after="0" w:line="103" w:lineRule="exact"/>
        <w:rPr>
          <w:sz w:val="20"/>
          <w:szCs w:val="20"/>
          <w:color w:val="auto"/>
        </w:rPr>
      </w:pPr>
    </w:p>
    <w:p>
      <w:pPr>
        <w:jc w:val="both"/>
        <w:ind w:left="1260" w:right="419"/>
        <w:spacing w:after="0" w:line="243" w:lineRule="auto"/>
        <w:rPr>
          <w:sz w:val="20"/>
          <w:szCs w:val="20"/>
          <w:color w:val="auto"/>
        </w:rPr>
      </w:pPr>
      <w:r>
        <w:rPr>
          <w:rFonts w:ascii="Arial" w:cs="Arial" w:eastAsia="Arial" w:hAnsi="Arial"/>
          <w:sz w:val="18"/>
          <w:szCs w:val="18"/>
          <w:i w:val="1"/>
          <w:iCs w:val="1"/>
          <w:color w:val="auto"/>
        </w:rPr>
        <w:t xml:space="preserve">Steven R. Greathouse </w:t>
      </w:r>
      <w:r>
        <w:rPr>
          <w:rFonts w:ascii="Arial" w:cs="Arial" w:eastAsia="Arial" w:hAnsi="Arial"/>
          <w:sz w:val="18"/>
          <w:szCs w:val="18"/>
          <w:color w:val="auto"/>
        </w:rPr>
        <w:t>has been an employee of the Company since January 2012, most recently</w:t>
      </w:r>
      <w:r>
        <w:rPr>
          <w:rFonts w:ascii="Arial" w:cs="Arial" w:eastAsia="Arial" w:hAnsi="Arial"/>
          <w:sz w:val="18"/>
          <w:szCs w:val="18"/>
          <w:i w:val="1"/>
          <w:iCs w:val="1"/>
          <w:color w:val="auto"/>
        </w:rPr>
        <w:t xml:space="preserve"> </w:t>
      </w:r>
      <w:r>
        <w:rPr>
          <w:rFonts w:ascii="Arial" w:cs="Arial" w:eastAsia="Arial" w:hAnsi="Arial"/>
          <w:sz w:val="18"/>
          <w:szCs w:val="18"/>
          <w:color w:val="auto"/>
        </w:rPr>
        <w:t>serving as Senior Vice President and Chief Investment Officer since February 2021, and prior to that as Senior Vice President, Investments from January 2015 to February 2021, and prior to that as Director of Investments. Mr. Greathouse has served as the Senior Vice President and Chief Investment Officer of Alpine since February 2021, and served as Alpine’s Senior Vice President, Investments from Alpine’s formation in August 2019 to February 2021. Prior to his employment with the Company, Mr. Greathouse served as the Director of Finance at N3 Real Estate, a single-tenant triple net property developer. Prior to that, he was a Senior Associate, Merchant Banking-Investment Management for Morgan Stanley and Crescent Real Estate Equities, a publicly traded REIT based in Fort Worth, Texas. Mr. Greathouse received his MBA and undergraduate degrees from Texas Christian University in 2006 and 2000, respectively.</w:t>
      </w:r>
    </w:p>
    <w:p>
      <w:pPr>
        <w:spacing w:after="0" w:line="111" w:lineRule="exact"/>
        <w:rPr>
          <w:sz w:val="20"/>
          <w:szCs w:val="20"/>
          <w:color w:val="auto"/>
        </w:rPr>
      </w:pPr>
    </w:p>
    <w:p>
      <w:pPr>
        <w:jc w:val="both"/>
        <w:ind w:left="1260" w:right="419"/>
        <w:spacing w:after="0" w:line="243" w:lineRule="auto"/>
        <w:rPr>
          <w:sz w:val="20"/>
          <w:szCs w:val="20"/>
          <w:color w:val="auto"/>
        </w:rPr>
      </w:pPr>
      <w:r>
        <w:rPr>
          <w:rFonts w:ascii="Arial" w:cs="Arial" w:eastAsia="Arial" w:hAnsi="Arial"/>
          <w:sz w:val="18"/>
          <w:szCs w:val="18"/>
          <w:i w:val="1"/>
          <w:iCs w:val="1"/>
          <w:color w:val="auto"/>
        </w:rPr>
        <w:t xml:space="preserve">Philip R. Mays </w:t>
      </w:r>
      <w:r>
        <w:rPr>
          <w:rFonts w:ascii="Arial" w:cs="Arial" w:eastAsia="Arial" w:hAnsi="Arial"/>
          <w:sz w:val="18"/>
          <w:szCs w:val="18"/>
          <w:color w:val="auto"/>
        </w:rPr>
        <w:t>has served as our Senior Vice President, Chief Financial Officer and Treasurer since</w:t>
      </w:r>
      <w:r>
        <w:rPr>
          <w:rFonts w:ascii="Arial" w:cs="Arial" w:eastAsia="Arial" w:hAnsi="Arial"/>
          <w:sz w:val="18"/>
          <w:szCs w:val="18"/>
          <w:i w:val="1"/>
          <w:iCs w:val="1"/>
          <w:color w:val="auto"/>
        </w:rPr>
        <w:t xml:space="preserve"> </w:t>
      </w:r>
      <w:r>
        <w:rPr>
          <w:rFonts w:ascii="Arial" w:cs="Arial" w:eastAsia="Arial" w:hAnsi="Arial"/>
          <w:sz w:val="18"/>
          <w:szCs w:val="18"/>
          <w:color w:val="auto"/>
        </w:rPr>
        <w:t>June 2024. Mr. Mays has served as Senior Vice President, Chief Financial Officer and Treasurer of Alpine since June 2024. Mr. Mays previously served as Chief Financial Officer of Shadow Box Studios, an owner and developer of soundstage facilities, from September 2021 to February 2024. Prior to Shadowbox Studios, from June 2011 to September 2021, Mr. Mays was Chief Financial Officer of Cedar Realty Trust (“Cedar”), a NYSE-listed retail REIT. Before joining Cedar, Mr. Mays served as Chief Accounting Officer and Vice President of Finance of Federal Realty Investment Trust, a NYSE-listed retail REIT from May 2005 to June 2011. Earlier in his career, Mr. Mays held various accounting and finance positions, including seven years as an accountant at Ernst &amp; Young LLP. Mr. Mays received his Bachelor of Science in Accounting and Finance from Jacksonville University. He is a member of the American Institute of Certified Public Accountants.</w:t>
      </w:r>
    </w:p>
    <w:p>
      <w:pPr>
        <w:spacing w:after="0" w:line="111" w:lineRule="exact"/>
        <w:rPr>
          <w:sz w:val="20"/>
          <w:szCs w:val="20"/>
          <w:color w:val="auto"/>
        </w:rPr>
      </w:pPr>
    </w:p>
    <w:p>
      <w:pPr>
        <w:jc w:val="both"/>
        <w:ind w:left="1260" w:right="419"/>
        <w:spacing w:after="0" w:line="245" w:lineRule="auto"/>
        <w:rPr>
          <w:sz w:val="20"/>
          <w:szCs w:val="20"/>
          <w:color w:val="auto"/>
        </w:rPr>
      </w:pPr>
      <w:r>
        <w:rPr>
          <w:rFonts w:ascii="Arial" w:cs="Arial" w:eastAsia="Arial" w:hAnsi="Arial"/>
          <w:sz w:val="18"/>
          <w:szCs w:val="18"/>
          <w:i w:val="1"/>
          <w:iCs w:val="1"/>
          <w:color w:val="auto"/>
        </w:rPr>
        <w:t xml:space="preserve">Daniel E. Smith </w:t>
      </w:r>
      <w:r>
        <w:rPr>
          <w:rFonts w:ascii="Arial" w:cs="Arial" w:eastAsia="Arial" w:hAnsi="Arial"/>
          <w:sz w:val="18"/>
          <w:szCs w:val="18"/>
          <w:color w:val="auto"/>
        </w:rPr>
        <w:t>has served as our Senior Vice President, General Counsel and Corporate Secretary</w:t>
      </w:r>
      <w:r>
        <w:rPr>
          <w:rFonts w:ascii="Arial" w:cs="Arial" w:eastAsia="Arial" w:hAnsi="Arial"/>
          <w:sz w:val="18"/>
          <w:szCs w:val="18"/>
          <w:i w:val="1"/>
          <w:iCs w:val="1"/>
          <w:color w:val="auto"/>
        </w:rPr>
        <w:t xml:space="preserve"> </w:t>
      </w:r>
      <w:r>
        <w:rPr>
          <w:rFonts w:ascii="Arial" w:cs="Arial" w:eastAsia="Arial" w:hAnsi="Arial"/>
          <w:sz w:val="18"/>
          <w:szCs w:val="18"/>
          <w:color w:val="auto"/>
        </w:rPr>
        <w:t>since October 2014. Mr. Smith has served as the Senior Vice President, General Counsel and Corporate Secretary of Alpine since its formation in August 2019. Prior to his employment with the Company, Mr. Smith served as Vice President-Hospitality and Vice President and Associate General Counsel at Goldman Sachs &amp; Co. from December 2007 to October 2014. Prior to Goldman, he spent ten years at Crescent Real Estate Equities, a publicly traded REIT based in Fort Worth, Texas, where he held several positions in the legal department, most recently Senior Vice President and General Counsel. Mr. Smith received his J.D. and LL.M. degrees from Duke University School of Law and his undergraduate degree from Brigham Young University in 1993 and 1990, respectively.</w:t>
      </w:r>
    </w:p>
    <w:p>
      <w:pPr>
        <w:spacing w:after="0" w:line="110" w:lineRule="exact"/>
        <w:rPr>
          <w:sz w:val="20"/>
          <w:szCs w:val="20"/>
          <w:color w:val="auto"/>
        </w:rPr>
      </w:pPr>
    </w:p>
    <w:p>
      <w:pPr>
        <w:jc w:val="both"/>
        <w:ind w:left="1260" w:right="419"/>
        <w:spacing w:after="0" w:line="271" w:lineRule="auto"/>
        <w:rPr>
          <w:sz w:val="20"/>
          <w:szCs w:val="20"/>
          <w:color w:val="auto"/>
        </w:rPr>
      </w:pPr>
      <w:r>
        <w:rPr>
          <w:rFonts w:ascii="Arial" w:cs="Arial" w:eastAsia="Arial" w:hAnsi="Arial"/>
          <w:sz w:val="17"/>
          <w:szCs w:val="17"/>
          <w:i w:val="1"/>
          <w:iCs w:val="1"/>
          <w:color w:val="auto"/>
        </w:rPr>
        <w:t xml:space="preserve">Lisa M. Vorakoun </w:t>
      </w:r>
      <w:r>
        <w:rPr>
          <w:rFonts w:ascii="Arial" w:cs="Arial" w:eastAsia="Arial" w:hAnsi="Arial"/>
          <w:sz w:val="17"/>
          <w:szCs w:val="17"/>
          <w:color w:val="auto"/>
        </w:rPr>
        <w:t>has been an employee of the Company since January 2013, most recently serving as</w:t>
      </w:r>
      <w:r>
        <w:rPr>
          <w:rFonts w:ascii="Arial" w:cs="Arial" w:eastAsia="Arial" w:hAnsi="Arial"/>
          <w:sz w:val="17"/>
          <w:szCs w:val="17"/>
          <w:i w:val="1"/>
          <w:iCs w:val="1"/>
          <w:color w:val="auto"/>
        </w:rPr>
        <w:t xml:space="preserve"> </w:t>
      </w:r>
      <w:r>
        <w:rPr>
          <w:rFonts w:ascii="Arial" w:cs="Arial" w:eastAsia="Arial" w:hAnsi="Arial"/>
          <w:sz w:val="17"/>
          <w:szCs w:val="17"/>
          <w:color w:val="auto"/>
        </w:rPr>
        <w:t>Senior Vice President and Chief Accounting Officer since April 2024, and prior to that as Vice President and Chief Accounting Officer from July 2020 to April 2024. Ms. Vorakoun has served as the Senior Vice President and Chief Accounting Officer of Alpine since April 2024, and served as Alpine’s Vice President</w:t>
      </w:r>
    </w:p>
    <w:p>
      <w:pPr>
        <w:spacing w:after="0" w:line="33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262255</wp:posOffset>
            </wp:positionV>
            <wp:extent cx="68319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left="1260" w:right="419"/>
        <w:spacing w:after="0" w:line="256" w:lineRule="auto"/>
        <w:rPr>
          <w:sz w:val="20"/>
          <w:szCs w:val="20"/>
          <w:color w:val="auto"/>
        </w:rPr>
      </w:pPr>
      <w:r>
        <w:rPr>
          <w:rFonts w:ascii="Arial" w:cs="Arial" w:eastAsia="Arial" w:hAnsi="Arial"/>
          <w:sz w:val="18"/>
          <w:szCs w:val="18"/>
          <w:color w:val="auto"/>
        </w:rPr>
        <w:t>and Chief Accounting Officer from July 2020 to April 2024. Ms. Vorakoun served as the Interim Chief Financial Officer and Treasurer of the Company and Alpine from April 2024 to June 2024. Ms. Vorakoun began her career at James Moore &amp; Co., a full-service regional accounting and consulting firm where she managed audit clients in various industries from January 2006 to September 2012. Ms. Vorakoun received her Bachelor of Science and Masters of Accounting from Florida State University. She is a member of the American Institute of Certified Public Accountants and the Florida Institute of Certified Public Accountants.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BENEFICIAL OWNERSHIP OF COMMON STOCK</w:t>
      </w:r>
    </w:p>
    <w:p>
      <w:pPr>
        <w:spacing w:after="0" w:line="158" w:lineRule="exact"/>
        <w:rPr>
          <w:sz w:val="20"/>
          <w:szCs w:val="20"/>
          <w:color w:val="auto"/>
        </w:rPr>
      </w:pPr>
    </w:p>
    <w:p>
      <w:pPr>
        <w:ind w:left="1260" w:right="419"/>
        <w:spacing w:after="0" w:line="271" w:lineRule="auto"/>
        <w:rPr>
          <w:sz w:val="20"/>
          <w:szCs w:val="20"/>
          <w:color w:val="auto"/>
        </w:rPr>
      </w:pPr>
      <w:r>
        <w:rPr>
          <w:rFonts w:ascii="Arial" w:cs="Arial" w:eastAsia="Arial" w:hAnsi="Arial"/>
          <w:sz w:val="18"/>
          <w:szCs w:val="18"/>
          <w:color w:val="auto"/>
        </w:rPr>
        <w:t>The following table contains information as of April 16, 2026, unless otherwise noted, on the beneficial ownership of the shares of our common stock by:</w:t>
      </w:r>
    </w:p>
    <w:p>
      <w:pPr>
        <w:spacing w:after="0" w:line="46" w:lineRule="exact"/>
        <w:rPr>
          <w:sz w:val="20"/>
          <w:szCs w:val="20"/>
          <w:color w:val="auto"/>
        </w:rPr>
      </w:pPr>
    </w:p>
    <w:p>
      <w:pPr>
        <w:ind w:left="1800" w:hanging="180"/>
        <w:spacing w:after="0"/>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directors;</w:t>
      </w:r>
    </w:p>
    <w:p>
      <w:pPr>
        <w:spacing w:after="0" w:line="117" w:lineRule="exact"/>
        <w:rPr>
          <w:rFonts w:ascii="Arial" w:cs="Arial" w:eastAsia="Arial" w:hAnsi="Arial"/>
          <w:sz w:val="18"/>
          <w:szCs w:val="18"/>
          <w:color w:val="auto"/>
        </w:rPr>
      </w:pPr>
    </w:p>
    <w:p>
      <w:pPr>
        <w:ind w:left="1800" w:right="419" w:hanging="180"/>
        <w:spacing w:after="0" w:line="287" w:lineRule="auto"/>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Chief Executive Officer, Chief Financial Officer, Chief Investment Officer, Chief Accounting Officer and General Counsel (collectively, our “named executive officers” or “NEOs”);</w:t>
      </w:r>
    </w:p>
    <w:p>
      <w:pPr>
        <w:spacing w:after="0" w:line="44" w:lineRule="exact"/>
        <w:rPr>
          <w:rFonts w:ascii="Arial" w:cs="Arial" w:eastAsia="Arial" w:hAnsi="Arial"/>
          <w:sz w:val="18"/>
          <w:szCs w:val="18"/>
          <w:color w:val="auto"/>
        </w:rPr>
      </w:pPr>
    </w:p>
    <w:p>
      <w:pPr>
        <w:ind w:left="1800" w:hanging="180"/>
        <w:spacing w:after="0"/>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directors and executive officers as a group; and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Beneficial owners of more than 5% of the outstanding shares of our common stock.</w:t>
      </w:r>
    </w:p>
    <w:p>
      <w:pPr>
        <w:spacing w:after="0" w:line="181" w:lineRule="exact"/>
        <w:rPr>
          <w:sz w:val="20"/>
          <w:szCs w:val="20"/>
          <w:color w:val="auto"/>
        </w:rPr>
      </w:pPr>
    </w:p>
    <w:p>
      <w:pPr>
        <w:ind w:left="3020"/>
        <w:spacing w:after="0"/>
        <w:rPr>
          <w:sz w:val="20"/>
          <w:szCs w:val="20"/>
          <w:color w:val="auto"/>
        </w:rPr>
      </w:pPr>
      <w:r>
        <w:rPr>
          <w:rFonts w:ascii="Arial" w:cs="Arial" w:eastAsia="Arial" w:hAnsi="Arial"/>
          <w:sz w:val="14"/>
          <w:szCs w:val="14"/>
          <w:b w:val="1"/>
          <w:bCs w:val="1"/>
          <w:color w:val="auto"/>
        </w:rPr>
        <w:t>NUMBER OF SHARES OF COMMON STOCK BENEFICIALLY OWNED</w:t>
      </w:r>
      <w:r>
        <w:rPr>
          <w:rFonts w:ascii="Arial" w:cs="Arial" w:eastAsia="Arial" w:hAnsi="Arial"/>
          <w:sz w:val="17"/>
          <w:szCs w:val="17"/>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10160</wp:posOffset>
            </wp:positionV>
            <wp:extent cx="52120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41"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Options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Exercisable</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rPr>
              <w:t>Other Shares</w:t>
            </w:r>
          </w:p>
        </w:tc>
        <w:tc>
          <w:tcPr>
            <w:tcW w:w="540" w:type="dxa"/>
            <w:vAlign w:val="bottom"/>
            <w:gridSpan w:val="2"/>
          </w:tcPr>
          <w:p>
            <w:pPr>
              <w:jc w:val="center"/>
              <w:spacing w:after="0"/>
              <w:rPr>
                <w:sz w:val="20"/>
                <w:szCs w:val="20"/>
                <w:color w:val="auto"/>
              </w:rPr>
            </w:pPr>
            <w:r>
              <w:rPr>
                <w:rFonts w:ascii="Arial" w:cs="Arial" w:eastAsia="Arial" w:hAnsi="Arial"/>
                <w:sz w:val="14"/>
                <w:szCs w:val="14"/>
                <w:b w:val="1"/>
                <w:bCs w:val="1"/>
                <w:color w:val="auto"/>
              </w:rPr>
              <w:t>Percent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rPr>
              <w:t>Restricted</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Within</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rPr>
              <w:t>Beneficially</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jc w:val="center"/>
              <w:ind w:right="112"/>
              <w:spacing w:after="0"/>
              <w:rPr>
                <w:sz w:val="20"/>
                <w:szCs w:val="20"/>
                <w:color w:val="auto"/>
              </w:rPr>
            </w:pPr>
            <w:r>
              <w:rPr>
                <w:rFonts w:ascii="Arial" w:cs="Arial" w:eastAsia="Arial" w:hAnsi="Arial"/>
                <w:sz w:val="14"/>
                <w:szCs w:val="14"/>
                <w:b w:val="1"/>
                <w:bCs w:val="1"/>
                <w:color w:val="auto"/>
              </w:rPr>
              <w:t>of</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4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Stock</w:t>
            </w:r>
          </w:p>
        </w:tc>
        <w:tc>
          <w:tcPr>
            <w:tcW w:w="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60 Days</w:t>
            </w:r>
          </w:p>
        </w:tc>
        <w:tc>
          <w:tcPr>
            <w:tcW w:w="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rPr>
              <w:t>Owned</w:t>
            </w:r>
          </w:p>
        </w:tc>
        <w:tc>
          <w:tcPr>
            <w:tcW w:w="8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Class</w:t>
            </w:r>
            <w:r>
              <w:rPr>
                <w:rFonts w:ascii="Arial" w:cs="Arial" w:eastAsia="Arial" w:hAnsi="Arial"/>
                <w:sz w:val="17"/>
                <w:szCs w:val="17"/>
                <w:b w:val="1"/>
                <w:bCs w:val="1"/>
                <w:color w:val="auto"/>
                <w:w w:val="93"/>
                <w:vertAlign w:val="superscript"/>
              </w:rPr>
              <w:t>(2)</w:t>
            </w:r>
          </w:p>
        </w:tc>
        <w:tc>
          <w:tcPr>
            <w:tcW w:w="2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20" w:type="dxa"/>
            <w:vAlign w:val="bottom"/>
            <w:gridSpan w:val="2"/>
          </w:tcPr>
          <w:p>
            <w:pPr>
              <w:spacing w:after="0" w:line="196" w:lineRule="exact"/>
              <w:rPr>
                <w:sz w:val="20"/>
                <w:szCs w:val="20"/>
                <w:color w:val="auto"/>
              </w:rPr>
            </w:pPr>
            <w:r>
              <w:rPr>
                <w:rFonts w:ascii="Arial" w:cs="Arial" w:eastAsia="Arial" w:hAnsi="Arial"/>
                <w:sz w:val="18"/>
                <w:szCs w:val="18"/>
                <w:color w:val="auto"/>
              </w:rPr>
              <w:t>John P. Albright</w:t>
            </w:r>
          </w:p>
        </w:tc>
        <w:tc>
          <w:tcPr>
            <w:tcW w:w="10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120"/>
              <w:spacing w:after="0" w:line="195" w:lineRule="exact"/>
              <w:rPr>
                <w:sz w:val="20"/>
                <w:szCs w:val="20"/>
                <w:color w:val="auto"/>
              </w:rPr>
            </w:pPr>
            <w:r>
              <w:rPr>
                <w:rFonts w:ascii="Arial" w:cs="Arial" w:eastAsia="Arial" w:hAnsi="Arial"/>
                <w:sz w:val="17"/>
                <w:szCs w:val="17"/>
                <w:color w:val="auto"/>
              </w:rPr>
              <w:t>69,721</w:t>
            </w:r>
            <w:r>
              <w:rPr>
                <w:rFonts w:ascii="Arial" w:cs="Arial" w:eastAsia="Arial" w:hAnsi="Arial"/>
                <w:sz w:val="22"/>
                <w:szCs w:val="22"/>
                <w:color w:val="auto"/>
                <w:vertAlign w:val="superscript"/>
              </w:rPr>
              <w:t>(3)</w:t>
            </w:r>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99"/>
              </w:rPr>
              <w:t>—</w:t>
            </w:r>
          </w:p>
        </w:tc>
        <w:tc>
          <w:tcPr>
            <w:tcW w:w="240" w:type="dxa"/>
            <w:vAlign w:val="bottom"/>
            <w:gridSpan w:val="2"/>
            <w:vMerge w:val="restart"/>
          </w:tcPr>
          <w:p>
            <w:pPr>
              <w:ind w:left="20"/>
              <w:spacing w:after="0"/>
              <w:rPr>
                <w:sz w:val="20"/>
                <w:szCs w:val="20"/>
                <w:color w:val="auto"/>
              </w:rPr>
            </w:pPr>
            <w:r>
              <w:rPr>
                <w:rFonts w:ascii="Arial" w:cs="Arial" w:eastAsia="Arial" w:hAnsi="Arial"/>
                <w:sz w:val="18"/>
                <w:szCs w:val="18"/>
                <w:color w:val="auto"/>
              </w:rPr>
              <w:t>​</w:t>
            </w:r>
          </w:p>
        </w:tc>
        <w:tc>
          <w:tcPr>
            <w:tcW w:w="18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200"/>
              <w:spacing w:after="0" w:line="195" w:lineRule="exact"/>
              <w:rPr>
                <w:sz w:val="20"/>
                <w:szCs w:val="20"/>
                <w:color w:val="auto"/>
              </w:rPr>
            </w:pPr>
            <w:r>
              <w:rPr>
                <w:rFonts w:ascii="Arial" w:cs="Arial" w:eastAsia="Arial" w:hAnsi="Arial"/>
                <w:sz w:val="17"/>
                <w:szCs w:val="17"/>
                <w:color w:val="auto"/>
              </w:rPr>
              <w:t>626,029</w:t>
            </w:r>
            <w:r>
              <w:rPr>
                <w:rFonts w:ascii="Arial" w:cs="Arial" w:eastAsia="Arial" w:hAnsi="Arial"/>
                <w:sz w:val="22"/>
                <w:szCs w:val="22"/>
                <w:color w:val="auto"/>
                <w:vertAlign w:val="superscript"/>
              </w:rPr>
              <w:t>(5)</w:t>
            </w:r>
          </w:p>
        </w:tc>
        <w:tc>
          <w:tcPr>
            <w:tcW w:w="56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2.1%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240" w:type="dxa"/>
            <w:vAlign w:val="bottom"/>
            <w:gridSpan w:val="2"/>
          </w:tcPr>
          <w:p>
            <w:pPr>
              <w:jc w:val="right"/>
              <w:ind w:right="180"/>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ind w:left="300"/>
              <w:spacing w:after="0" w:line="54" w:lineRule="exact"/>
              <w:rPr>
                <w:sz w:val="20"/>
                <w:szCs w:val="20"/>
                <w:color w:val="auto"/>
              </w:rPr>
            </w:pPr>
            <w:r>
              <w:rPr>
                <w:rFonts w:ascii="Arial" w:cs="Arial" w:eastAsia="Arial" w:hAnsi="Arial"/>
                <w:sz w:val="6"/>
                <w:szCs w:val="6"/>
                <w:color w:val="auto"/>
              </w:rPr>
              <w:t>​</w:t>
            </w:r>
          </w:p>
        </w:tc>
        <w:tc>
          <w:tcPr>
            <w:tcW w:w="240" w:type="dxa"/>
            <w:vAlign w:val="bottom"/>
            <w:gridSpan w:val="2"/>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340" w:type="dxa"/>
            <w:vAlign w:val="bottom"/>
            <w:gridSpan w:val="2"/>
          </w:tcPr>
          <w:p>
            <w:pPr>
              <w:jc w:val="right"/>
              <w:ind w:right="220"/>
              <w:spacing w:after="0" w:line="54" w:lineRule="exact"/>
              <w:rPr>
                <w:sz w:val="20"/>
                <w:szCs w:val="20"/>
                <w:color w:val="auto"/>
              </w:rPr>
            </w:pPr>
            <w:r>
              <w:rPr>
                <w:rFonts w:ascii="Arial" w:cs="Arial" w:eastAsia="Arial" w:hAnsi="Arial"/>
                <w:sz w:val="6"/>
                <w:szCs w:val="6"/>
                <w:color w:val="auto"/>
              </w:rPr>
              <w:t>​</w:t>
            </w:r>
          </w:p>
        </w:tc>
        <w:tc>
          <w:tcPr>
            <w:tcW w:w="200" w:type="dxa"/>
            <w:vAlign w:val="bottom"/>
          </w:tcPr>
          <w:p>
            <w:pPr>
              <w:ind w:left="140"/>
              <w:spacing w:after="0" w:line="54" w:lineRule="exact"/>
              <w:rPr>
                <w:sz w:val="20"/>
                <w:szCs w:val="20"/>
                <w:color w:val="auto"/>
              </w:rPr>
            </w:pPr>
            <w:r>
              <w:rPr>
                <w:rFonts w:ascii="Arial" w:cs="Arial" w:eastAsia="Arial" w:hAnsi="Arial"/>
                <w:sz w:val="6"/>
                <w:szCs w:val="6"/>
                <w:color w:val="auto"/>
              </w:rPr>
              <w:t>​</w:t>
            </w:r>
          </w:p>
        </w:tc>
        <w:tc>
          <w:tcPr>
            <w:tcW w:w="340" w:type="dxa"/>
            <w:vAlign w:val="bottom"/>
          </w:tcPr>
          <w:p>
            <w:pPr>
              <w:spacing w:after="0"/>
              <w:rPr>
                <w:sz w:val="4"/>
                <w:szCs w:val="4"/>
                <w:color w:val="auto"/>
              </w:rPr>
            </w:pPr>
          </w:p>
        </w:tc>
        <w:tc>
          <w:tcPr>
            <w:tcW w:w="6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0" w:type="dxa"/>
            <w:vAlign w:val="bottom"/>
          </w:tcPr>
          <w:p>
            <w:pPr>
              <w:spacing w:after="0"/>
              <w:rPr>
                <w:sz w:val="1"/>
                <w:szCs w:val="1"/>
                <w:color w:val="auto"/>
              </w:rPr>
            </w:pPr>
          </w:p>
        </w:tc>
      </w:tr>
      <w:tr>
        <w:trPr>
          <w:trHeight w:val="203"/>
        </w:trPr>
        <w:tc>
          <w:tcPr>
            <w:tcW w:w="4420" w:type="dxa"/>
            <w:vAlign w:val="bottom"/>
            <w:gridSpan w:val="2"/>
          </w:tcPr>
          <w:p>
            <w:pPr>
              <w:spacing w:after="0" w:line="202" w:lineRule="exact"/>
              <w:rPr>
                <w:sz w:val="20"/>
                <w:szCs w:val="20"/>
                <w:color w:val="auto"/>
              </w:rPr>
            </w:pPr>
            <w:r>
              <w:rPr>
                <w:rFonts w:ascii="Arial" w:cs="Arial" w:eastAsia="Arial" w:hAnsi="Arial"/>
                <w:sz w:val="18"/>
                <w:szCs w:val="18"/>
                <w:color w:val="auto"/>
              </w:rPr>
              <w:t>George R. Brokaw</w:t>
            </w:r>
          </w:p>
        </w:tc>
        <w:tc>
          <w:tcPr>
            <w:tcW w:w="10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tcPr>
          <w:p>
            <w:pPr>
              <w:jc w:val="center"/>
              <w:spacing w:after="0" w:line="202" w:lineRule="exact"/>
              <w:rPr>
                <w:sz w:val="20"/>
                <w:szCs w:val="20"/>
                <w:color w:val="auto"/>
              </w:rPr>
            </w:pPr>
            <w:r>
              <w:rPr>
                <w:rFonts w:ascii="Arial" w:cs="Arial" w:eastAsia="Arial" w:hAnsi="Arial"/>
                <w:sz w:val="18"/>
                <w:szCs w:val="18"/>
                <w:color w:val="auto"/>
                <w:w w:val="99"/>
              </w:rPr>
              <w:t>—</w:t>
            </w:r>
          </w:p>
        </w:tc>
        <w:tc>
          <w:tcPr>
            <w:tcW w:w="240" w:type="dxa"/>
            <w:vAlign w:val="bottom"/>
            <w:gridSpan w:val="2"/>
            <w:vMerge w:val="restart"/>
          </w:tcPr>
          <w:p>
            <w:pPr>
              <w:ind w:left="20"/>
              <w:spacing w:after="0"/>
              <w:rPr>
                <w:sz w:val="20"/>
                <w:szCs w:val="20"/>
                <w:color w:val="auto"/>
              </w:rPr>
            </w:pPr>
            <w:r>
              <w:rPr>
                <w:rFonts w:ascii="Arial" w:cs="Arial" w:eastAsia="Arial" w:hAnsi="Arial"/>
                <w:sz w:val="18"/>
                <w:szCs w:val="18"/>
                <w:color w:val="auto"/>
              </w:rPr>
              <w:t>​</w:t>
            </w:r>
          </w:p>
        </w:tc>
        <w:tc>
          <w:tcPr>
            <w:tcW w:w="18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w w:val="97"/>
              </w:rPr>
              <w:t>100,124</w:t>
            </w:r>
            <w:r>
              <w:rPr>
                <w:rFonts w:ascii="Arial" w:cs="Arial" w:eastAsia="Arial" w:hAnsi="Arial"/>
                <w:sz w:val="23"/>
                <w:szCs w:val="23"/>
                <w:color w:val="auto"/>
                <w:w w:val="97"/>
                <w:vertAlign w:val="superscript"/>
              </w:rPr>
              <w:t>(6)</w:t>
            </w:r>
          </w:p>
        </w:tc>
        <w:tc>
          <w:tcPr>
            <w:tcW w:w="200" w:type="dxa"/>
            <w:vAlign w:val="bottom"/>
            <w:vMerge w:val="restart"/>
          </w:tcPr>
          <w:p>
            <w:pPr>
              <w:ind w:left="14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4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800" w:type="dxa"/>
            <w:vAlign w:val="bottom"/>
          </w:tcPr>
          <w:p>
            <w:pPr>
              <w:ind w:left="300"/>
              <w:spacing w:after="0" w:line="54" w:lineRule="exact"/>
              <w:rPr>
                <w:sz w:val="20"/>
                <w:szCs w:val="20"/>
                <w:color w:val="auto"/>
              </w:rPr>
            </w:pPr>
            <w:r>
              <w:rPr>
                <w:rFonts w:ascii="Arial" w:cs="Arial" w:eastAsia="Arial" w:hAnsi="Arial"/>
                <w:sz w:val="6"/>
                <w:szCs w:val="6"/>
                <w:color w:val="auto"/>
              </w:rPr>
              <w:t>​</w:t>
            </w:r>
          </w:p>
        </w:tc>
        <w:tc>
          <w:tcPr>
            <w:tcW w:w="240" w:type="dxa"/>
            <w:vAlign w:val="bottom"/>
            <w:gridSpan w:val="2"/>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340" w:type="dxa"/>
            <w:vAlign w:val="bottom"/>
            <w:gridSpan w:val="2"/>
          </w:tcPr>
          <w:p>
            <w:pPr>
              <w:jc w:val="right"/>
              <w:ind w:right="220"/>
              <w:spacing w:after="0" w:line="54" w:lineRule="exact"/>
              <w:rPr>
                <w:sz w:val="20"/>
                <w:szCs w:val="20"/>
                <w:color w:val="auto"/>
              </w:rPr>
            </w:pPr>
            <w:r>
              <w:rPr>
                <w:rFonts w:ascii="Arial" w:cs="Arial" w:eastAsia="Arial" w:hAnsi="Arial"/>
                <w:sz w:val="6"/>
                <w:szCs w:val="6"/>
                <w:color w:val="auto"/>
              </w:rPr>
              <w:t>​</w:t>
            </w:r>
          </w:p>
        </w:tc>
        <w:tc>
          <w:tcPr>
            <w:tcW w:w="200" w:type="dxa"/>
            <w:vAlign w:val="bottom"/>
            <w:vMerge w:val="continue"/>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420" w:type="dxa"/>
            <w:vAlign w:val="bottom"/>
            <w:gridSpan w:val="2"/>
          </w:tcPr>
          <w:p>
            <w:pPr>
              <w:spacing w:after="0"/>
              <w:rPr>
                <w:sz w:val="20"/>
                <w:szCs w:val="20"/>
                <w:color w:val="auto"/>
              </w:rPr>
            </w:pPr>
            <w:r>
              <w:rPr>
                <w:rFonts w:ascii="Arial" w:cs="Arial" w:eastAsia="Arial" w:hAnsi="Arial"/>
                <w:sz w:val="18"/>
                <w:szCs w:val="18"/>
                <w:color w:val="auto"/>
              </w:rPr>
              <w:t>Christopher J. Drew</w:t>
            </w:r>
          </w:p>
        </w:tc>
        <w:tc>
          <w:tcPr>
            <w:tcW w:w="10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180"/>
              <w:spacing w:after="0"/>
              <w:rPr>
                <w:sz w:val="20"/>
                <w:szCs w:val="20"/>
                <w:color w:val="auto"/>
              </w:rPr>
            </w:pPr>
            <w:r>
              <w:rPr>
                <w:rFonts w:ascii="Arial" w:cs="Arial" w:eastAsia="Arial" w:hAnsi="Arial"/>
                <w:sz w:val="18"/>
                <w:szCs w:val="18"/>
                <w:color w:val="auto"/>
              </w:rPr>
              <w:t>— ​</w:t>
            </w:r>
          </w:p>
        </w:tc>
        <w:tc>
          <w:tcPr>
            <w:tcW w:w="800" w:type="dxa"/>
            <w:vAlign w:val="bottom"/>
          </w:tcPr>
          <w:p>
            <w:pPr>
              <w:ind w:left="300"/>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80" w:type="dxa"/>
            <w:vAlign w:val="bottom"/>
          </w:tcPr>
          <w:p>
            <w:pPr>
              <w:ind w:lef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27,404</w:t>
            </w: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ind w:left="14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420" w:type="dxa"/>
            <w:vAlign w:val="bottom"/>
            <w:gridSpan w:val="2"/>
          </w:tcPr>
          <w:p>
            <w:pPr>
              <w:spacing w:after="0" w:line="202" w:lineRule="exact"/>
              <w:rPr>
                <w:sz w:val="20"/>
                <w:szCs w:val="20"/>
                <w:color w:val="auto"/>
              </w:rPr>
            </w:pPr>
            <w:r>
              <w:rPr>
                <w:rFonts w:ascii="Arial" w:cs="Arial" w:eastAsia="Arial" w:hAnsi="Arial"/>
                <w:sz w:val="18"/>
                <w:szCs w:val="18"/>
                <w:color w:val="auto"/>
              </w:rPr>
              <w:t>Laura M. Franklin</w:t>
            </w:r>
          </w:p>
        </w:tc>
        <w:tc>
          <w:tcPr>
            <w:tcW w:w="10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tcPr>
          <w:p>
            <w:pPr>
              <w:jc w:val="center"/>
              <w:spacing w:after="0" w:line="202" w:lineRule="exact"/>
              <w:rPr>
                <w:sz w:val="20"/>
                <w:szCs w:val="20"/>
                <w:color w:val="auto"/>
              </w:rPr>
            </w:pPr>
            <w:r>
              <w:rPr>
                <w:rFonts w:ascii="Arial" w:cs="Arial" w:eastAsia="Arial" w:hAnsi="Arial"/>
                <w:sz w:val="18"/>
                <w:szCs w:val="18"/>
                <w:color w:val="auto"/>
                <w:w w:val="99"/>
              </w:rPr>
              <w:t>—</w:t>
            </w:r>
          </w:p>
        </w:tc>
        <w:tc>
          <w:tcPr>
            <w:tcW w:w="240" w:type="dxa"/>
            <w:vAlign w:val="bottom"/>
            <w:gridSpan w:val="2"/>
            <w:vMerge w:val="restart"/>
          </w:tcPr>
          <w:p>
            <w:pPr>
              <w:ind w:left="20"/>
              <w:spacing w:after="0"/>
              <w:rPr>
                <w:sz w:val="20"/>
                <w:szCs w:val="20"/>
                <w:color w:val="auto"/>
              </w:rPr>
            </w:pPr>
            <w:r>
              <w:rPr>
                <w:rFonts w:ascii="Arial" w:cs="Arial" w:eastAsia="Arial" w:hAnsi="Arial"/>
                <w:sz w:val="18"/>
                <w:szCs w:val="18"/>
                <w:color w:val="auto"/>
              </w:rPr>
              <w:t>​</w:t>
            </w:r>
          </w:p>
        </w:tc>
        <w:tc>
          <w:tcPr>
            <w:tcW w:w="18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62,342</w:t>
            </w:r>
            <w:r>
              <w:rPr>
                <w:rFonts w:ascii="Arial" w:cs="Arial" w:eastAsia="Arial" w:hAnsi="Arial"/>
                <w:sz w:val="23"/>
                <w:szCs w:val="23"/>
                <w:color w:val="auto"/>
                <w:vertAlign w:val="superscript"/>
              </w:rPr>
              <w:t>(7)</w:t>
            </w:r>
          </w:p>
        </w:tc>
        <w:tc>
          <w:tcPr>
            <w:tcW w:w="200" w:type="dxa"/>
            <w:vAlign w:val="bottom"/>
            <w:vMerge w:val="restart"/>
          </w:tcPr>
          <w:p>
            <w:pPr>
              <w:ind w:left="14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4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800" w:type="dxa"/>
            <w:vAlign w:val="bottom"/>
          </w:tcPr>
          <w:p>
            <w:pPr>
              <w:ind w:left="300"/>
              <w:spacing w:after="0" w:line="54" w:lineRule="exact"/>
              <w:rPr>
                <w:sz w:val="20"/>
                <w:szCs w:val="20"/>
                <w:color w:val="auto"/>
              </w:rPr>
            </w:pPr>
            <w:r>
              <w:rPr>
                <w:rFonts w:ascii="Arial" w:cs="Arial" w:eastAsia="Arial" w:hAnsi="Arial"/>
                <w:sz w:val="6"/>
                <w:szCs w:val="6"/>
                <w:color w:val="auto"/>
              </w:rPr>
              <w:t>​</w:t>
            </w:r>
          </w:p>
        </w:tc>
        <w:tc>
          <w:tcPr>
            <w:tcW w:w="240" w:type="dxa"/>
            <w:vAlign w:val="bottom"/>
            <w:gridSpan w:val="2"/>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340" w:type="dxa"/>
            <w:vAlign w:val="bottom"/>
            <w:gridSpan w:val="2"/>
          </w:tcPr>
          <w:p>
            <w:pPr>
              <w:jc w:val="right"/>
              <w:ind w:right="220"/>
              <w:spacing w:after="0" w:line="54" w:lineRule="exact"/>
              <w:rPr>
                <w:sz w:val="20"/>
                <w:szCs w:val="20"/>
                <w:color w:val="auto"/>
              </w:rPr>
            </w:pPr>
            <w:r>
              <w:rPr>
                <w:rFonts w:ascii="Arial" w:cs="Arial" w:eastAsia="Arial" w:hAnsi="Arial"/>
                <w:sz w:val="6"/>
                <w:szCs w:val="6"/>
                <w:color w:val="auto"/>
              </w:rPr>
              <w:t>​</w:t>
            </w:r>
          </w:p>
        </w:tc>
        <w:tc>
          <w:tcPr>
            <w:tcW w:w="200" w:type="dxa"/>
            <w:vAlign w:val="bottom"/>
            <w:vMerge w:val="continue"/>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4420" w:type="dxa"/>
            <w:vAlign w:val="bottom"/>
            <w:gridSpan w:val="2"/>
          </w:tcPr>
          <w:p>
            <w:pPr>
              <w:spacing w:after="0"/>
              <w:rPr>
                <w:sz w:val="20"/>
                <w:szCs w:val="20"/>
                <w:color w:val="auto"/>
              </w:rPr>
            </w:pPr>
            <w:r>
              <w:rPr>
                <w:rFonts w:ascii="Arial" w:cs="Arial" w:eastAsia="Arial" w:hAnsi="Arial"/>
                <w:sz w:val="18"/>
                <w:szCs w:val="18"/>
                <w:color w:val="auto"/>
              </w:rPr>
              <w:t>R. Blakeslee Gable</w:t>
            </w:r>
          </w:p>
        </w:tc>
        <w:tc>
          <w:tcPr>
            <w:tcW w:w="10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180"/>
              <w:spacing w:after="0"/>
              <w:rPr>
                <w:sz w:val="20"/>
                <w:szCs w:val="20"/>
                <w:color w:val="auto"/>
              </w:rPr>
            </w:pPr>
            <w:r>
              <w:rPr>
                <w:rFonts w:ascii="Arial" w:cs="Arial" w:eastAsia="Arial" w:hAnsi="Arial"/>
                <w:sz w:val="18"/>
                <w:szCs w:val="18"/>
                <w:color w:val="auto"/>
              </w:rPr>
              <w:t>— ​</w:t>
            </w:r>
          </w:p>
        </w:tc>
        <w:tc>
          <w:tcPr>
            <w:tcW w:w="800" w:type="dxa"/>
            <w:vAlign w:val="bottom"/>
          </w:tcPr>
          <w:p>
            <w:pPr>
              <w:ind w:left="300"/>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80" w:type="dxa"/>
            <w:vAlign w:val="bottom"/>
          </w:tcPr>
          <w:p>
            <w:pPr>
              <w:ind w:lef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51,886</w:t>
            </w: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ind w:left="14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420" w:type="dxa"/>
            <w:vAlign w:val="bottom"/>
            <w:gridSpan w:val="2"/>
          </w:tcPr>
          <w:p>
            <w:pPr>
              <w:spacing w:after="0" w:line="202" w:lineRule="exact"/>
              <w:rPr>
                <w:sz w:val="20"/>
                <w:szCs w:val="20"/>
                <w:color w:val="auto"/>
              </w:rPr>
            </w:pPr>
            <w:r>
              <w:rPr>
                <w:rFonts w:ascii="Arial" w:cs="Arial" w:eastAsia="Arial" w:hAnsi="Arial"/>
                <w:sz w:val="18"/>
                <w:szCs w:val="18"/>
                <w:color w:val="auto"/>
              </w:rPr>
              <w:t>Steven R. Greathouse</w:t>
            </w:r>
          </w:p>
        </w:tc>
        <w:tc>
          <w:tcPr>
            <w:tcW w:w="10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w w:val="97"/>
              </w:rPr>
              <w:t>33,058</w:t>
            </w:r>
            <w:r>
              <w:rPr>
                <w:rFonts w:ascii="Arial" w:cs="Arial" w:eastAsia="Arial" w:hAnsi="Arial"/>
                <w:sz w:val="23"/>
                <w:szCs w:val="23"/>
                <w:color w:val="auto"/>
                <w:w w:val="97"/>
                <w:vertAlign w:val="superscript"/>
              </w:rPr>
              <w:t>(3)</w:t>
            </w:r>
          </w:p>
        </w:tc>
        <w:tc>
          <w:tcPr>
            <w:tcW w:w="800" w:type="dxa"/>
            <w:vAlign w:val="bottom"/>
          </w:tcPr>
          <w:p>
            <w:pPr>
              <w:jc w:val="center"/>
              <w:spacing w:after="0" w:line="202" w:lineRule="exact"/>
              <w:rPr>
                <w:sz w:val="20"/>
                <w:szCs w:val="20"/>
                <w:color w:val="auto"/>
              </w:rPr>
            </w:pPr>
            <w:r>
              <w:rPr>
                <w:rFonts w:ascii="Arial" w:cs="Arial" w:eastAsia="Arial" w:hAnsi="Arial"/>
                <w:sz w:val="18"/>
                <w:szCs w:val="18"/>
                <w:color w:val="auto"/>
                <w:w w:val="99"/>
              </w:rPr>
              <w:t>—</w:t>
            </w:r>
          </w:p>
        </w:tc>
        <w:tc>
          <w:tcPr>
            <w:tcW w:w="240" w:type="dxa"/>
            <w:vAlign w:val="bottom"/>
            <w:gridSpan w:val="2"/>
            <w:vMerge w:val="restart"/>
          </w:tcPr>
          <w:p>
            <w:pPr>
              <w:ind w:left="20"/>
              <w:spacing w:after="0"/>
              <w:rPr>
                <w:sz w:val="20"/>
                <w:szCs w:val="20"/>
                <w:color w:val="auto"/>
              </w:rPr>
            </w:pPr>
            <w:r>
              <w:rPr>
                <w:rFonts w:ascii="Arial" w:cs="Arial" w:eastAsia="Arial" w:hAnsi="Arial"/>
                <w:sz w:val="18"/>
                <w:szCs w:val="18"/>
                <w:color w:val="auto"/>
              </w:rPr>
              <w:t>​</w:t>
            </w:r>
          </w:p>
        </w:tc>
        <w:tc>
          <w:tcPr>
            <w:tcW w:w="18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182,483</w:t>
            </w:r>
          </w:p>
        </w:tc>
        <w:tc>
          <w:tcPr>
            <w:tcW w:w="3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vMerge w:val="restart"/>
          </w:tcPr>
          <w:p>
            <w:pPr>
              <w:ind w:left="14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4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240" w:type="dxa"/>
            <w:vAlign w:val="bottom"/>
            <w:gridSpan w:val="2"/>
          </w:tcPr>
          <w:p>
            <w:pPr>
              <w:jc w:val="right"/>
              <w:ind w:right="180"/>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ind w:left="300"/>
              <w:spacing w:after="0" w:line="54" w:lineRule="exact"/>
              <w:rPr>
                <w:sz w:val="20"/>
                <w:szCs w:val="20"/>
                <w:color w:val="auto"/>
              </w:rPr>
            </w:pPr>
            <w:r>
              <w:rPr>
                <w:rFonts w:ascii="Arial" w:cs="Arial" w:eastAsia="Arial" w:hAnsi="Arial"/>
                <w:sz w:val="6"/>
                <w:szCs w:val="6"/>
                <w:color w:val="auto"/>
              </w:rPr>
              <w:t>​</w:t>
            </w:r>
          </w:p>
        </w:tc>
        <w:tc>
          <w:tcPr>
            <w:tcW w:w="240" w:type="dxa"/>
            <w:vAlign w:val="bottom"/>
            <w:gridSpan w:val="2"/>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340" w:type="dxa"/>
            <w:vAlign w:val="bottom"/>
            <w:gridSpan w:val="2"/>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420" w:type="dxa"/>
            <w:vAlign w:val="bottom"/>
            <w:gridSpan w:val="2"/>
          </w:tcPr>
          <w:p>
            <w:pPr>
              <w:spacing w:after="0" w:line="202" w:lineRule="exact"/>
              <w:rPr>
                <w:sz w:val="20"/>
                <w:szCs w:val="20"/>
                <w:color w:val="auto"/>
              </w:rPr>
            </w:pPr>
            <w:r>
              <w:rPr>
                <w:rFonts w:ascii="Arial" w:cs="Arial" w:eastAsia="Arial" w:hAnsi="Arial"/>
                <w:sz w:val="18"/>
                <w:szCs w:val="18"/>
                <w:color w:val="auto"/>
              </w:rPr>
              <w:t>Philip R. Mays</w:t>
            </w:r>
          </w:p>
        </w:tc>
        <w:tc>
          <w:tcPr>
            <w:tcW w:w="10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w w:val="97"/>
              </w:rPr>
              <w:t>23,526</w:t>
            </w:r>
            <w:r>
              <w:rPr>
                <w:rFonts w:ascii="Arial" w:cs="Arial" w:eastAsia="Arial" w:hAnsi="Arial"/>
                <w:sz w:val="23"/>
                <w:szCs w:val="23"/>
                <w:color w:val="auto"/>
                <w:w w:val="97"/>
                <w:vertAlign w:val="superscript"/>
              </w:rPr>
              <w:t>(4)</w:t>
            </w:r>
          </w:p>
        </w:tc>
        <w:tc>
          <w:tcPr>
            <w:tcW w:w="800" w:type="dxa"/>
            <w:vAlign w:val="bottom"/>
          </w:tcPr>
          <w:p>
            <w:pPr>
              <w:jc w:val="center"/>
              <w:spacing w:after="0" w:line="202" w:lineRule="exact"/>
              <w:rPr>
                <w:sz w:val="20"/>
                <w:szCs w:val="20"/>
                <w:color w:val="auto"/>
              </w:rPr>
            </w:pPr>
            <w:r>
              <w:rPr>
                <w:rFonts w:ascii="Arial" w:cs="Arial" w:eastAsia="Arial" w:hAnsi="Arial"/>
                <w:sz w:val="18"/>
                <w:szCs w:val="18"/>
                <w:color w:val="auto"/>
                <w:w w:val="99"/>
              </w:rPr>
              <w:t>—</w:t>
            </w:r>
          </w:p>
        </w:tc>
        <w:tc>
          <w:tcPr>
            <w:tcW w:w="240" w:type="dxa"/>
            <w:vAlign w:val="bottom"/>
            <w:gridSpan w:val="2"/>
            <w:vMerge w:val="restart"/>
          </w:tcPr>
          <w:p>
            <w:pPr>
              <w:ind w:left="20"/>
              <w:spacing w:after="0"/>
              <w:rPr>
                <w:sz w:val="20"/>
                <w:szCs w:val="20"/>
                <w:color w:val="auto"/>
              </w:rPr>
            </w:pPr>
            <w:r>
              <w:rPr>
                <w:rFonts w:ascii="Arial" w:cs="Arial" w:eastAsia="Arial" w:hAnsi="Arial"/>
                <w:sz w:val="18"/>
                <w:szCs w:val="18"/>
                <w:color w:val="auto"/>
              </w:rPr>
              <w:t>​</w:t>
            </w:r>
          </w:p>
        </w:tc>
        <w:tc>
          <w:tcPr>
            <w:tcW w:w="18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5,011</w:t>
            </w:r>
          </w:p>
        </w:tc>
        <w:tc>
          <w:tcPr>
            <w:tcW w:w="3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vMerge w:val="restart"/>
          </w:tcPr>
          <w:p>
            <w:pPr>
              <w:ind w:left="14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4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240" w:type="dxa"/>
            <w:vAlign w:val="bottom"/>
            <w:gridSpan w:val="2"/>
          </w:tcPr>
          <w:p>
            <w:pPr>
              <w:jc w:val="right"/>
              <w:ind w:right="180"/>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ind w:left="300"/>
              <w:spacing w:after="0" w:line="54" w:lineRule="exact"/>
              <w:rPr>
                <w:sz w:val="20"/>
                <w:szCs w:val="20"/>
                <w:color w:val="auto"/>
              </w:rPr>
            </w:pPr>
            <w:r>
              <w:rPr>
                <w:rFonts w:ascii="Arial" w:cs="Arial" w:eastAsia="Arial" w:hAnsi="Arial"/>
                <w:sz w:val="6"/>
                <w:szCs w:val="6"/>
                <w:color w:val="auto"/>
              </w:rPr>
              <w:t>​</w:t>
            </w:r>
          </w:p>
        </w:tc>
        <w:tc>
          <w:tcPr>
            <w:tcW w:w="240" w:type="dxa"/>
            <w:vAlign w:val="bottom"/>
            <w:gridSpan w:val="2"/>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340" w:type="dxa"/>
            <w:vAlign w:val="bottom"/>
            <w:gridSpan w:val="2"/>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420" w:type="dxa"/>
            <w:vAlign w:val="bottom"/>
            <w:gridSpan w:val="2"/>
          </w:tcPr>
          <w:p>
            <w:pPr>
              <w:spacing w:after="0" w:line="202" w:lineRule="exact"/>
              <w:rPr>
                <w:sz w:val="20"/>
                <w:szCs w:val="20"/>
                <w:color w:val="auto"/>
              </w:rPr>
            </w:pPr>
            <w:r>
              <w:rPr>
                <w:rFonts w:ascii="Arial" w:cs="Arial" w:eastAsia="Arial" w:hAnsi="Arial"/>
                <w:sz w:val="18"/>
                <w:szCs w:val="18"/>
                <w:color w:val="auto"/>
              </w:rPr>
              <w:t>Christopher W. Haga</w:t>
            </w:r>
          </w:p>
        </w:tc>
        <w:tc>
          <w:tcPr>
            <w:tcW w:w="10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tcPr>
          <w:p>
            <w:pPr>
              <w:jc w:val="center"/>
              <w:spacing w:after="0" w:line="202" w:lineRule="exact"/>
              <w:rPr>
                <w:sz w:val="20"/>
                <w:szCs w:val="20"/>
                <w:color w:val="auto"/>
              </w:rPr>
            </w:pPr>
            <w:r>
              <w:rPr>
                <w:rFonts w:ascii="Arial" w:cs="Arial" w:eastAsia="Arial" w:hAnsi="Arial"/>
                <w:sz w:val="18"/>
                <w:szCs w:val="18"/>
                <w:color w:val="auto"/>
                <w:w w:val="99"/>
              </w:rPr>
              <w:t>—</w:t>
            </w:r>
          </w:p>
        </w:tc>
        <w:tc>
          <w:tcPr>
            <w:tcW w:w="240" w:type="dxa"/>
            <w:vAlign w:val="bottom"/>
            <w:gridSpan w:val="2"/>
            <w:vMerge w:val="restart"/>
          </w:tcPr>
          <w:p>
            <w:pPr>
              <w:ind w:left="20"/>
              <w:spacing w:after="0"/>
              <w:rPr>
                <w:sz w:val="20"/>
                <w:szCs w:val="20"/>
                <w:color w:val="auto"/>
              </w:rPr>
            </w:pPr>
            <w:r>
              <w:rPr>
                <w:rFonts w:ascii="Arial" w:cs="Arial" w:eastAsia="Arial" w:hAnsi="Arial"/>
                <w:sz w:val="18"/>
                <w:szCs w:val="18"/>
                <w:color w:val="auto"/>
              </w:rPr>
              <w:t>​</w:t>
            </w:r>
          </w:p>
        </w:tc>
        <w:tc>
          <w:tcPr>
            <w:tcW w:w="18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59,565</w:t>
            </w:r>
            <w:r>
              <w:rPr>
                <w:rFonts w:ascii="Arial" w:cs="Arial" w:eastAsia="Arial" w:hAnsi="Arial"/>
                <w:sz w:val="23"/>
                <w:szCs w:val="23"/>
                <w:color w:val="auto"/>
                <w:vertAlign w:val="superscript"/>
              </w:rPr>
              <w:t>(8)</w:t>
            </w:r>
          </w:p>
        </w:tc>
        <w:tc>
          <w:tcPr>
            <w:tcW w:w="200" w:type="dxa"/>
            <w:vAlign w:val="bottom"/>
            <w:vMerge w:val="restart"/>
          </w:tcPr>
          <w:p>
            <w:pPr>
              <w:ind w:left="14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4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800" w:type="dxa"/>
            <w:vAlign w:val="bottom"/>
          </w:tcPr>
          <w:p>
            <w:pPr>
              <w:ind w:left="300"/>
              <w:spacing w:after="0" w:line="54" w:lineRule="exact"/>
              <w:rPr>
                <w:sz w:val="20"/>
                <w:szCs w:val="20"/>
                <w:color w:val="auto"/>
              </w:rPr>
            </w:pPr>
            <w:r>
              <w:rPr>
                <w:rFonts w:ascii="Arial" w:cs="Arial" w:eastAsia="Arial" w:hAnsi="Arial"/>
                <w:sz w:val="6"/>
                <w:szCs w:val="6"/>
                <w:color w:val="auto"/>
              </w:rPr>
              <w:t>​</w:t>
            </w:r>
          </w:p>
        </w:tc>
        <w:tc>
          <w:tcPr>
            <w:tcW w:w="240" w:type="dxa"/>
            <w:vAlign w:val="bottom"/>
            <w:gridSpan w:val="2"/>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340" w:type="dxa"/>
            <w:vAlign w:val="bottom"/>
            <w:gridSpan w:val="2"/>
          </w:tcPr>
          <w:p>
            <w:pPr>
              <w:jc w:val="right"/>
              <w:ind w:right="220"/>
              <w:spacing w:after="0" w:line="54" w:lineRule="exact"/>
              <w:rPr>
                <w:sz w:val="20"/>
                <w:szCs w:val="20"/>
                <w:color w:val="auto"/>
              </w:rPr>
            </w:pPr>
            <w:r>
              <w:rPr>
                <w:rFonts w:ascii="Arial" w:cs="Arial" w:eastAsia="Arial" w:hAnsi="Arial"/>
                <w:sz w:val="6"/>
                <w:szCs w:val="6"/>
                <w:color w:val="auto"/>
              </w:rPr>
              <w:t>​</w:t>
            </w:r>
          </w:p>
        </w:tc>
        <w:tc>
          <w:tcPr>
            <w:tcW w:w="200" w:type="dxa"/>
            <w:vAlign w:val="bottom"/>
            <w:vMerge w:val="continue"/>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Daniel E. Smith</w:t>
            </w:r>
          </w:p>
        </w:tc>
        <w:tc>
          <w:tcPr>
            <w:tcW w:w="10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120"/>
              <w:spacing w:after="0" w:line="216" w:lineRule="exact"/>
              <w:rPr>
                <w:sz w:val="20"/>
                <w:szCs w:val="20"/>
                <w:color w:val="auto"/>
              </w:rPr>
            </w:pPr>
            <w:r>
              <w:rPr>
                <w:rFonts w:ascii="Arial" w:cs="Arial" w:eastAsia="Arial" w:hAnsi="Arial"/>
                <w:sz w:val="18"/>
                <w:szCs w:val="18"/>
                <w:color w:val="auto"/>
                <w:w w:val="97"/>
              </w:rPr>
              <w:t>21,810</w:t>
            </w:r>
            <w:r>
              <w:rPr>
                <w:rFonts w:ascii="Arial" w:cs="Arial" w:eastAsia="Arial" w:hAnsi="Arial"/>
                <w:sz w:val="23"/>
                <w:szCs w:val="23"/>
                <w:color w:val="auto"/>
                <w:w w:val="97"/>
                <w:vertAlign w:val="superscript"/>
              </w:rPr>
              <w:t>(3)</w:t>
            </w: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40" w:type="dxa"/>
            <w:vAlign w:val="bottom"/>
            <w:gridSpan w:val="2"/>
            <w:vMerge w:val="restart"/>
          </w:tcPr>
          <w:p>
            <w:pPr>
              <w:ind w:left="20"/>
              <w:spacing w:after="0"/>
              <w:rPr>
                <w:sz w:val="20"/>
                <w:szCs w:val="20"/>
                <w:color w:val="auto"/>
              </w:rPr>
            </w:pPr>
            <w:r>
              <w:rPr>
                <w:rFonts w:ascii="Arial" w:cs="Arial" w:eastAsia="Arial" w:hAnsi="Arial"/>
                <w:sz w:val="18"/>
                <w:szCs w:val="18"/>
                <w:color w:val="auto"/>
              </w:rPr>
              <w:t>​</w:t>
            </w:r>
          </w:p>
        </w:tc>
        <w:tc>
          <w:tcPr>
            <w:tcW w:w="18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200"/>
              <w:spacing w:after="0" w:line="216" w:lineRule="exact"/>
              <w:rPr>
                <w:sz w:val="20"/>
                <w:szCs w:val="20"/>
                <w:color w:val="auto"/>
              </w:rPr>
            </w:pPr>
            <w:r>
              <w:rPr>
                <w:rFonts w:ascii="Arial" w:cs="Arial" w:eastAsia="Arial" w:hAnsi="Arial"/>
                <w:sz w:val="18"/>
                <w:szCs w:val="18"/>
                <w:color w:val="auto"/>
                <w:w w:val="97"/>
              </w:rPr>
              <w:t>193,334</w:t>
            </w:r>
            <w:r>
              <w:rPr>
                <w:rFonts w:ascii="Arial" w:cs="Arial" w:eastAsia="Arial" w:hAnsi="Arial"/>
                <w:sz w:val="23"/>
                <w:szCs w:val="23"/>
                <w:color w:val="auto"/>
                <w:w w:val="97"/>
                <w:vertAlign w:val="superscript"/>
              </w:rPr>
              <w:t>(9)</w:t>
            </w:r>
          </w:p>
        </w:tc>
        <w:tc>
          <w:tcPr>
            <w:tcW w:w="200" w:type="dxa"/>
            <w:vAlign w:val="bottom"/>
            <w:vMerge w:val="restart"/>
          </w:tcPr>
          <w:p>
            <w:pPr>
              <w:ind w:left="14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4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240" w:type="dxa"/>
            <w:vAlign w:val="bottom"/>
            <w:gridSpan w:val="2"/>
          </w:tcPr>
          <w:p>
            <w:pPr>
              <w:jc w:val="right"/>
              <w:ind w:right="180"/>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ind w:left="300"/>
              <w:spacing w:after="0" w:line="54" w:lineRule="exact"/>
              <w:rPr>
                <w:sz w:val="20"/>
                <w:szCs w:val="20"/>
                <w:color w:val="auto"/>
              </w:rPr>
            </w:pPr>
            <w:r>
              <w:rPr>
                <w:rFonts w:ascii="Arial" w:cs="Arial" w:eastAsia="Arial" w:hAnsi="Arial"/>
                <w:sz w:val="6"/>
                <w:szCs w:val="6"/>
                <w:color w:val="auto"/>
              </w:rPr>
              <w:t>​</w:t>
            </w:r>
          </w:p>
        </w:tc>
        <w:tc>
          <w:tcPr>
            <w:tcW w:w="240" w:type="dxa"/>
            <w:vAlign w:val="bottom"/>
            <w:gridSpan w:val="2"/>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340" w:type="dxa"/>
            <w:vAlign w:val="bottom"/>
            <w:gridSpan w:val="2"/>
          </w:tcPr>
          <w:p>
            <w:pPr>
              <w:jc w:val="right"/>
              <w:ind w:right="220"/>
              <w:spacing w:after="0" w:line="54" w:lineRule="exact"/>
              <w:rPr>
                <w:sz w:val="20"/>
                <w:szCs w:val="20"/>
                <w:color w:val="auto"/>
              </w:rPr>
            </w:pPr>
            <w:r>
              <w:rPr>
                <w:rFonts w:ascii="Arial" w:cs="Arial" w:eastAsia="Arial" w:hAnsi="Arial"/>
                <w:sz w:val="6"/>
                <w:szCs w:val="6"/>
                <w:color w:val="auto"/>
              </w:rPr>
              <w:t>​</w:t>
            </w:r>
          </w:p>
        </w:tc>
        <w:tc>
          <w:tcPr>
            <w:tcW w:w="200" w:type="dxa"/>
            <w:vAlign w:val="bottom"/>
            <w:vMerge w:val="continue"/>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Lisa M. Vorakoun</w:t>
            </w:r>
          </w:p>
        </w:tc>
        <w:tc>
          <w:tcPr>
            <w:tcW w:w="10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120"/>
              <w:spacing w:after="0" w:line="216" w:lineRule="exact"/>
              <w:rPr>
                <w:sz w:val="20"/>
                <w:szCs w:val="20"/>
                <w:color w:val="auto"/>
              </w:rPr>
            </w:pPr>
            <w:r>
              <w:rPr>
                <w:rFonts w:ascii="Arial" w:cs="Arial" w:eastAsia="Arial" w:hAnsi="Arial"/>
                <w:sz w:val="18"/>
                <w:szCs w:val="18"/>
                <w:color w:val="auto"/>
                <w:w w:val="97"/>
              </w:rPr>
              <w:t>18,573</w:t>
            </w:r>
            <w:r>
              <w:rPr>
                <w:rFonts w:ascii="Arial" w:cs="Arial" w:eastAsia="Arial" w:hAnsi="Arial"/>
                <w:sz w:val="23"/>
                <w:szCs w:val="23"/>
                <w:color w:val="auto"/>
                <w:w w:val="97"/>
                <w:vertAlign w:val="superscript"/>
              </w:rPr>
              <w:t>(3)</w:t>
            </w: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40" w:type="dxa"/>
            <w:vAlign w:val="bottom"/>
            <w:gridSpan w:val="2"/>
            <w:vMerge w:val="restart"/>
          </w:tcPr>
          <w:p>
            <w:pPr>
              <w:ind w:left="20"/>
              <w:spacing w:after="0"/>
              <w:rPr>
                <w:sz w:val="20"/>
                <w:szCs w:val="20"/>
                <w:color w:val="auto"/>
              </w:rPr>
            </w:pPr>
            <w:r>
              <w:rPr>
                <w:rFonts w:ascii="Arial" w:cs="Arial" w:eastAsia="Arial" w:hAnsi="Arial"/>
                <w:sz w:val="18"/>
                <w:szCs w:val="18"/>
                <w:color w:val="auto"/>
              </w:rPr>
              <w:t>​</w:t>
            </w:r>
          </w:p>
        </w:tc>
        <w:tc>
          <w:tcPr>
            <w:tcW w:w="18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40,280</w:t>
            </w:r>
          </w:p>
        </w:tc>
        <w:tc>
          <w:tcPr>
            <w:tcW w:w="3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vMerge w:val="restart"/>
          </w:tcPr>
          <w:p>
            <w:pPr>
              <w:ind w:left="14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4420" w:type="dxa"/>
            <w:vAlign w:val="bottom"/>
            <w:gridSpan w:val="2"/>
            <w:vMerge w:val="restart"/>
          </w:tcPr>
          <w:p>
            <w:pPr>
              <w:spacing w:after="0"/>
              <w:rPr>
                <w:sz w:val="20"/>
                <w:szCs w:val="20"/>
                <w:color w:val="auto"/>
              </w:rPr>
            </w:pPr>
            <w:r>
              <w:rPr>
                <w:rFonts w:ascii="Arial" w:cs="Arial" w:eastAsia="Arial" w:hAnsi="Arial"/>
                <w:sz w:val="18"/>
                <w:szCs w:val="18"/>
                <w:color w:val="auto"/>
              </w:rPr>
              <w:t>Directors and current executive officers as a group</w:t>
            </w:r>
          </w:p>
        </w:tc>
        <w:tc>
          <w:tcPr>
            <w:tcW w:w="10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240" w:type="dxa"/>
            <w:vAlign w:val="bottom"/>
            <w:gridSpan w:val="2"/>
          </w:tcPr>
          <w:p>
            <w:pPr>
              <w:jc w:val="right"/>
              <w:ind w:right="180"/>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ind w:left="300"/>
              <w:spacing w:after="0" w:line="54" w:lineRule="exact"/>
              <w:rPr>
                <w:sz w:val="20"/>
                <w:szCs w:val="20"/>
                <w:color w:val="auto"/>
              </w:rPr>
            </w:pPr>
            <w:r>
              <w:rPr>
                <w:rFonts w:ascii="Arial" w:cs="Arial" w:eastAsia="Arial" w:hAnsi="Arial"/>
                <w:sz w:val="6"/>
                <w:szCs w:val="6"/>
                <w:color w:val="auto"/>
              </w:rPr>
              <w:t>​</w:t>
            </w:r>
          </w:p>
        </w:tc>
        <w:tc>
          <w:tcPr>
            <w:tcW w:w="240" w:type="dxa"/>
            <w:vAlign w:val="bottom"/>
            <w:gridSpan w:val="2"/>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340" w:type="dxa"/>
            <w:vAlign w:val="bottom"/>
            <w:gridSpan w:val="2"/>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42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w w:val="93"/>
              </w:rPr>
              <w:t>(10)</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3"/>
        </w:trPr>
        <w:tc>
          <w:tcPr>
            <w:tcW w:w="4420" w:type="dxa"/>
            <w:vAlign w:val="bottom"/>
            <w:gridSpan w:val="2"/>
            <w:vMerge w:val="restart"/>
          </w:tcPr>
          <w:p>
            <w:pPr>
              <w:ind w:left="180"/>
              <w:spacing w:after="0"/>
              <w:rPr>
                <w:sz w:val="20"/>
                <w:szCs w:val="20"/>
                <w:color w:val="auto"/>
              </w:rPr>
            </w:pPr>
            <w:r>
              <w:rPr>
                <w:rFonts w:ascii="Arial" w:cs="Arial" w:eastAsia="Arial" w:hAnsi="Arial"/>
                <w:sz w:val="18"/>
                <w:szCs w:val="18"/>
                <w:color w:val="auto"/>
              </w:rPr>
              <w:t>(10 persons)</w:t>
            </w:r>
          </w:p>
        </w:tc>
        <w:tc>
          <w:tcPr>
            <w:tcW w:w="960" w:type="dxa"/>
            <w:vAlign w:val="bottom"/>
            <w:gridSpan w:val="4"/>
            <w:vMerge w:val="restart"/>
          </w:tcPr>
          <w:p>
            <w:pPr>
              <w:jc w:val="right"/>
              <w:ind w:right="180"/>
              <w:spacing w:after="0"/>
              <w:rPr>
                <w:sz w:val="20"/>
                <w:szCs w:val="20"/>
                <w:color w:val="auto"/>
              </w:rPr>
            </w:pPr>
            <w:r>
              <w:rPr>
                <w:rFonts w:ascii="Arial" w:cs="Arial" w:eastAsia="Arial" w:hAnsi="Arial"/>
                <w:sz w:val="18"/>
                <w:szCs w:val="18"/>
                <w:color w:val="auto"/>
              </w:rPr>
              <w:t>​166,688 ​</w:t>
            </w:r>
          </w:p>
        </w:tc>
        <w:tc>
          <w:tcPr>
            <w:tcW w:w="800" w:type="dxa"/>
            <w:vAlign w:val="bottom"/>
            <w:vMerge w:val="restart"/>
          </w:tcPr>
          <w:p>
            <w:pPr>
              <w:ind w:left="300"/>
              <w:spacing w:after="0"/>
              <w:rPr>
                <w:sz w:val="20"/>
                <w:szCs w:val="20"/>
                <w:color w:val="auto"/>
              </w:rPr>
            </w:pPr>
            <w:r>
              <w:rPr>
                <w:rFonts w:ascii="Arial" w:cs="Arial" w:eastAsia="Arial" w:hAnsi="Arial"/>
                <w:sz w:val="18"/>
                <w:szCs w:val="18"/>
                <w:color w:val="auto"/>
              </w:rPr>
              <w:t>​—</w:t>
            </w:r>
          </w:p>
        </w:tc>
        <w:tc>
          <w:tcPr>
            <w:tcW w:w="240" w:type="dxa"/>
            <w:vAlign w:val="bottom"/>
            <w:gridSpan w:val="2"/>
            <w:vMerge w:val="restart"/>
          </w:tcPr>
          <w:p>
            <w:pPr>
              <w:ind w:left="20"/>
              <w:spacing w:after="0"/>
              <w:rPr>
                <w:sz w:val="20"/>
                <w:szCs w:val="20"/>
                <w:color w:val="auto"/>
              </w:rPr>
            </w:pPr>
            <w:r>
              <w:rPr>
                <w:rFonts w:ascii="Arial" w:cs="Arial" w:eastAsia="Arial" w:hAnsi="Arial"/>
                <w:sz w:val="18"/>
                <w:szCs w:val="18"/>
                <w:color w:val="auto"/>
              </w:rPr>
              <w:t>​</w:t>
            </w:r>
          </w:p>
        </w:tc>
        <w:tc>
          <w:tcPr>
            <w:tcW w:w="880" w:type="dxa"/>
            <w:vAlign w:val="bottom"/>
            <w:gridSpan w:val="2"/>
            <w:vMerge w:val="restart"/>
          </w:tcPr>
          <w:p>
            <w:pPr>
              <w:ind w:left="60"/>
              <w:spacing w:after="0"/>
              <w:rPr>
                <w:sz w:val="20"/>
                <w:szCs w:val="20"/>
                <w:color w:val="auto"/>
              </w:rPr>
            </w:pPr>
            <w:r>
              <w:rPr>
                <w:rFonts w:ascii="Arial" w:cs="Arial" w:eastAsia="Arial" w:hAnsi="Arial"/>
                <w:sz w:val="18"/>
                <w:szCs w:val="18"/>
                <w:color w:val="auto"/>
                <w:w w:val="99"/>
              </w:rPr>
              <w:t>​1,348,458</w:t>
            </w:r>
          </w:p>
        </w:tc>
        <w:tc>
          <w:tcPr>
            <w:tcW w:w="340" w:type="dxa"/>
            <w:vAlign w:val="bottom"/>
            <w:gridSpan w:val="2"/>
            <w:vMerge w:val="continue"/>
          </w:tcPr>
          <w:p>
            <w:pPr>
              <w:spacing w:after="0"/>
              <w:rPr>
                <w:sz w:val="9"/>
                <w:szCs w:val="9"/>
                <w:color w:val="auto"/>
              </w:rPr>
            </w:pPr>
          </w:p>
        </w:tc>
        <w:tc>
          <w:tcPr>
            <w:tcW w:w="600" w:type="dxa"/>
            <w:vAlign w:val="bottom"/>
            <w:gridSpan w:val="4"/>
            <w:vMerge w:val="restart"/>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35"/>
        </w:trPr>
        <w:tc>
          <w:tcPr>
            <w:tcW w:w="4420" w:type="dxa"/>
            <w:vAlign w:val="bottom"/>
            <w:gridSpan w:val="2"/>
            <w:vMerge w:val="continue"/>
          </w:tcPr>
          <w:p>
            <w:pPr>
              <w:spacing w:after="0"/>
              <w:rPr>
                <w:sz w:val="11"/>
                <w:szCs w:val="11"/>
                <w:color w:val="auto"/>
              </w:rPr>
            </w:pPr>
          </w:p>
        </w:tc>
        <w:tc>
          <w:tcPr>
            <w:tcW w:w="960" w:type="dxa"/>
            <w:vAlign w:val="bottom"/>
            <w:gridSpan w:val="4"/>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240" w:type="dxa"/>
            <w:vAlign w:val="bottom"/>
            <w:gridSpan w:val="2"/>
            <w:vMerge w:val="continue"/>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340" w:type="dxa"/>
            <w:vAlign w:val="bottom"/>
            <w:gridSpan w:val="2"/>
          </w:tcPr>
          <w:p>
            <w:pPr>
              <w:jc w:val="right"/>
              <w:ind w:right="220"/>
              <w:spacing w:after="0" w:line="135" w:lineRule="exact"/>
              <w:rPr>
                <w:sz w:val="20"/>
                <w:szCs w:val="20"/>
                <w:color w:val="auto"/>
              </w:rPr>
            </w:pPr>
            <w:r>
              <w:rPr>
                <w:rFonts w:ascii="Arial" w:cs="Arial" w:eastAsia="Arial" w:hAnsi="Arial"/>
                <w:sz w:val="15"/>
                <w:szCs w:val="15"/>
                <w:color w:val="auto"/>
              </w:rPr>
              <w:t>​</w:t>
            </w:r>
          </w:p>
        </w:tc>
        <w:tc>
          <w:tcPr>
            <w:tcW w:w="60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4420" w:type="dxa"/>
            <w:vAlign w:val="bottom"/>
            <w:gridSpan w:val="2"/>
          </w:tcPr>
          <w:p>
            <w:pPr>
              <w:spacing w:after="0"/>
              <w:rPr>
                <w:sz w:val="20"/>
                <w:szCs w:val="20"/>
                <w:color w:val="auto"/>
              </w:rPr>
            </w:pPr>
            <w:r>
              <w:rPr>
                <w:rFonts w:ascii="Arial" w:cs="Arial" w:eastAsia="Arial" w:hAnsi="Arial"/>
                <w:sz w:val="18"/>
                <w:szCs w:val="18"/>
                <w:b w:val="1"/>
                <w:bCs w:val="1"/>
                <w:color w:val="auto"/>
              </w:rPr>
              <w:t>5% Stockholders:</w:t>
            </w:r>
          </w:p>
        </w:tc>
        <w:tc>
          <w:tcPr>
            <w:tcW w:w="10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spacing w:after="0"/>
              <w:rPr>
                <w:sz w:val="23"/>
                <w:szCs w:val="23"/>
                <w:color w:val="auto"/>
              </w:rPr>
            </w:pPr>
          </w:p>
        </w:tc>
        <w:tc>
          <w:tcPr>
            <w:tcW w:w="2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ind w:left="300"/>
              <w:spacing w:after="0"/>
              <w:rPr>
                <w:sz w:val="20"/>
                <w:szCs w:val="20"/>
                <w:color w:val="auto"/>
              </w:rPr>
            </w:pPr>
            <w:r>
              <w:rPr>
                <w:rFonts w:ascii="Arial" w:cs="Arial" w:eastAsia="Arial" w:hAnsi="Arial"/>
                <w:sz w:val="18"/>
                <w:szCs w:val="18"/>
                <w:b w:val="1"/>
                <w:bCs w:val="1"/>
                <w:color w:val="auto"/>
              </w:rPr>
              <w:t>​</w:t>
            </w:r>
          </w:p>
        </w:tc>
        <w:tc>
          <w:tcPr>
            <w:tcW w:w="240" w:type="dxa"/>
            <w:vAlign w:val="bottom"/>
            <w:gridSpan w:val="2"/>
          </w:tcPr>
          <w:p>
            <w:pPr>
              <w:ind w:left="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ind w:left="60"/>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spacing w:after="0"/>
              <w:rPr>
                <w:sz w:val="23"/>
                <w:szCs w:val="23"/>
                <w:color w:val="auto"/>
              </w:rPr>
            </w:pPr>
          </w:p>
        </w:tc>
        <w:tc>
          <w:tcPr>
            <w:tcW w:w="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ind w:left="14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3"/>
                <w:szCs w:val="23"/>
                <w:color w:val="auto"/>
              </w:rPr>
            </w:pPr>
          </w:p>
        </w:tc>
        <w:tc>
          <w:tcPr>
            <w:tcW w:w="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97"/>
        </w:trPr>
        <w:tc>
          <w:tcPr>
            <w:tcW w:w="4420" w:type="dxa"/>
            <w:vAlign w:val="bottom"/>
            <w:gridSpan w:val="2"/>
          </w:tcPr>
          <w:p>
            <w:pPr>
              <w:spacing w:after="0"/>
              <w:rPr>
                <w:sz w:val="20"/>
                <w:szCs w:val="20"/>
                <w:color w:val="auto"/>
              </w:rPr>
            </w:pPr>
            <w:r>
              <w:rPr>
                <w:rFonts w:ascii="Arial" w:cs="Arial" w:eastAsia="Arial" w:hAnsi="Arial"/>
                <w:sz w:val="18"/>
                <w:szCs w:val="18"/>
                <w:color w:val="auto"/>
              </w:rPr>
              <w:t>Vanguard Group, The</w:t>
            </w:r>
            <w:r>
              <w:rPr>
                <w:rFonts w:ascii="Arial" w:cs="Arial" w:eastAsia="Arial" w:hAnsi="Arial"/>
                <w:sz w:val="23"/>
                <w:szCs w:val="23"/>
                <w:color w:val="auto"/>
                <w:vertAlign w:val="superscript"/>
              </w:rPr>
              <w:t>(11)</w:t>
            </w:r>
          </w:p>
        </w:tc>
        <w:tc>
          <w:tcPr>
            <w:tcW w:w="100" w:type="dxa"/>
            <w:vAlign w:val="bottom"/>
          </w:tcPr>
          <w:p>
            <w:pPr>
              <w:ind w:left="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4"/>
                <w:szCs w:val="24"/>
                <w:color w:val="auto"/>
              </w:rPr>
            </w:pPr>
          </w:p>
        </w:tc>
        <w:tc>
          <w:tcPr>
            <w:tcW w:w="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tcPr>
          <w:p>
            <w:pPr>
              <w:ind w:left="300"/>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220" w:type="dxa"/>
            <w:vAlign w:val="bottom"/>
            <w:gridSpan w:val="4"/>
          </w:tcPr>
          <w:p>
            <w:pPr>
              <w:jc w:val="right"/>
              <w:ind w:right="220"/>
              <w:spacing w:after="0"/>
              <w:rPr>
                <w:sz w:val="20"/>
                <w:szCs w:val="20"/>
                <w:color w:val="auto"/>
              </w:rPr>
            </w:pPr>
            <w:r>
              <w:rPr>
                <w:rFonts w:ascii="Arial" w:cs="Arial" w:eastAsia="Arial" w:hAnsi="Arial"/>
                <w:sz w:val="18"/>
                <w:szCs w:val="18"/>
                <w:color w:val="auto"/>
              </w:rPr>
              <w:t>​3,139,307 ​</w:t>
            </w:r>
          </w:p>
        </w:tc>
        <w:tc>
          <w:tcPr>
            <w:tcW w:w="600" w:type="dxa"/>
            <w:vAlign w:val="bottom"/>
            <w:gridSpan w:val="4"/>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330"/>
        </w:trPr>
        <w:tc>
          <w:tcPr>
            <w:tcW w:w="4420" w:type="dxa"/>
            <w:vAlign w:val="bottom"/>
            <w:gridSpan w:val="2"/>
          </w:tcPr>
          <w:p>
            <w:pPr>
              <w:spacing w:after="0"/>
              <w:rPr>
                <w:sz w:val="20"/>
                <w:szCs w:val="20"/>
                <w:color w:val="auto"/>
              </w:rPr>
            </w:pPr>
            <w:r>
              <w:rPr>
                <w:rFonts w:ascii="Arial" w:cs="Arial" w:eastAsia="Arial" w:hAnsi="Arial"/>
                <w:sz w:val="18"/>
                <w:szCs w:val="18"/>
                <w:color w:val="auto"/>
              </w:rPr>
              <w:t>BlackRock, Inc.</w:t>
            </w:r>
            <w:r>
              <w:rPr>
                <w:rFonts w:ascii="Arial" w:cs="Arial" w:eastAsia="Arial" w:hAnsi="Arial"/>
                <w:sz w:val="23"/>
                <w:szCs w:val="23"/>
                <w:color w:val="auto"/>
                <w:vertAlign w:val="superscript"/>
              </w:rPr>
              <w:t>(12)</w:t>
            </w:r>
          </w:p>
        </w:tc>
        <w:tc>
          <w:tcPr>
            <w:tcW w:w="10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180"/>
              <w:spacing w:after="0"/>
              <w:rPr>
                <w:sz w:val="20"/>
                <w:szCs w:val="20"/>
                <w:color w:val="auto"/>
              </w:rPr>
            </w:pPr>
            <w:r>
              <w:rPr>
                <w:rFonts w:ascii="Arial" w:cs="Arial" w:eastAsia="Arial" w:hAnsi="Arial"/>
                <w:sz w:val="18"/>
                <w:szCs w:val="18"/>
                <w:color w:val="auto"/>
              </w:rPr>
              <w:t>— ​</w:t>
            </w:r>
          </w:p>
        </w:tc>
        <w:tc>
          <w:tcPr>
            <w:tcW w:w="800" w:type="dxa"/>
            <w:vAlign w:val="bottom"/>
          </w:tcPr>
          <w:p>
            <w:pPr>
              <w:ind w:left="300"/>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220" w:type="dxa"/>
            <w:vAlign w:val="bottom"/>
            <w:gridSpan w:val="4"/>
          </w:tcPr>
          <w:p>
            <w:pPr>
              <w:jc w:val="right"/>
              <w:ind w:right="220"/>
              <w:spacing w:after="0"/>
              <w:rPr>
                <w:sz w:val="20"/>
                <w:szCs w:val="20"/>
                <w:color w:val="auto"/>
              </w:rPr>
            </w:pPr>
            <w:r>
              <w:rPr>
                <w:rFonts w:ascii="Arial" w:cs="Arial" w:eastAsia="Arial" w:hAnsi="Arial"/>
                <w:sz w:val="18"/>
                <w:szCs w:val="18"/>
                <w:color w:val="auto"/>
              </w:rPr>
              <w:t>​2,536,531 ​</w:t>
            </w:r>
          </w:p>
        </w:tc>
        <w:tc>
          <w:tcPr>
            <w:tcW w:w="600" w:type="dxa"/>
            <w:vAlign w:val="bottom"/>
            <w:gridSpan w:val="4"/>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-2197735</wp:posOffset>
            </wp:positionV>
            <wp:extent cx="5212080" cy="1631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-1871980</wp:posOffset>
            </wp:positionV>
            <wp:extent cx="5212080" cy="1625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212080" cy="16256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-1546225</wp:posOffset>
            </wp:positionV>
            <wp:extent cx="5212080" cy="1631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-1220470</wp:posOffset>
            </wp:positionV>
            <wp:extent cx="5212080"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-877570</wp:posOffset>
            </wp:positionV>
            <wp:extent cx="5212080" cy="3086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212080" cy="30861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-397510</wp:posOffset>
            </wp:positionV>
            <wp:extent cx="5212080" cy="1885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212080" cy="1885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-2531745</wp:posOffset>
            </wp:positionV>
            <wp:extent cx="5212080" cy="171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125095</wp:posOffset>
            </wp:positionV>
            <wp:extent cx="123444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16" w:lineRule="exact"/>
        <w:rPr>
          <w:sz w:val="20"/>
          <w:szCs w:val="20"/>
          <w:color w:val="auto"/>
        </w:rPr>
      </w:pPr>
    </w:p>
    <w:p>
      <w:pPr>
        <w:ind w:left="1620" w:hanging="360"/>
        <w:spacing w:after="0"/>
        <w:tabs>
          <w:tab w:leader="none" w:pos="16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Less than 1% individually</w:t>
      </w:r>
    </w:p>
    <w:p>
      <w:pPr>
        <w:spacing w:after="0" w:line="82" w:lineRule="exact"/>
        <w:rPr>
          <w:sz w:val="20"/>
          <w:szCs w:val="20"/>
          <w:color w:val="auto"/>
        </w:rPr>
      </w:pPr>
    </w:p>
    <w:p>
      <w:pPr>
        <w:jc w:val="both"/>
        <w:ind w:left="1620" w:right="419" w:hanging="360"/>
        <w:spacing w:after="0" w:line="277" w:lineRule="auto"/>
        <w:tabs>
          <w:tab w:leader="none" w:pos="16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Based on information furnished by the individuals named in the table, includes shares for which the named person has sole voting or investment power or shared voting or investment power. Under SEC rules, more than one person may be deemed to be a beneficial owner of the same securities, and a person may be deemed to be a beneficial owner of securities as to which he or she has no beneficial economic interest. Except as stated in the notes below, the persons indicated possessed sole voting and investment power with respect to all shares set forth opposite their names.</w:t>
      </w:r>
    </w:p>
    <w:p>
      <w:pPr>
        <w:spacing w:after="0" w:line="29" w:lineRule="exact"/>
        <w:rPr>
          <w:rFonts w:ascii="Arial" w:cs="Arial" w:eastAsia="Arial" w:hAnsi="Arial"/>
          <w:sz w:val="14"/>
          <w:szCs w:val="14"/>
          <w:color w:val="auto"/>
        </w:rPr>
      </w:pPr>
    </w:p>
    <w:p>
      <w:pPr>
        <w:ind w:left="1620" w:hanging="360"/>
        <w:spacing w:after="0"/>
        <w:tabs>
          <w:tab w:leader="none" w:pos="16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Based on 33,783,592 shares of common stock issued and outstanding as of April 16, 2026.</w:t>
      </w:r>
    </w:p>
    <w:p>
      <w:pPr>
        <w:spacing w:after="0" w:line="82" w:lineRule="exact"/>
        <w:rPr>
          <w:rFonts w:ascii="Arial" w:cs="Arial" w:eastAsia="Arial" w:hAnsi="Arial"/>
          <w:sz w:val="14"/>
          <w:szCs w:val="14"/>
          <w:color w:val="auto"/>
        </w:rPr>
      </w:pPr>
    </w:p>
    <w:p>
      <w:pPr>
        <w:jc w:val="both"/>
        <w:ind w:left="1620" w:right="419" w:hanging="360"/>
        <w:spacing w:after="0" w:line="282" w:lineRule="auto"/>
        <w:tabs>
          <w:tab w:leader="none" w:pos="16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Represents the following restricted stock grants to each of the indicated employees of the Company: (i) remaining shares of restricted stock awarded as part of year-end 2023 and year-end 2024 compensation; and (ii) restricted stock awarded as part of year-end 2025 compensation. Each of the indicated employees has the right to direct the voting of these shares of restricted stock.</w:t>
      </w:r>
    </w:p>
    <w:p>
      <w:pPr>
        <w:spacing w:after="0" w:line="26" w:lineRule="exact"/>
        <w:rPr>
          <w:rFonts w:ascii="Arial" w:cs="Arial" w:eastAsia="Arial" w:hAnsi="Arial"/>
          <w:sz w:val="14"/>
          <w:szCs w:val="14"/>
          <w:color w:val="auto"/>
        </w:rPr>
      </w:pPr>
    </w:p>
    <w:p>
      <w:pPr>
        <w:ind w:left="1620" w:right="419" w:hanging="360"/>
        <w:spacing w:after="0" w:line="305" w:lineRule="auto"/>
        <w:tabs>
          <w:tab w:leader="none" w:pos="16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Represents the restricted stock awarded to Mr. Mays as part of year-end 2024 and year-end 2025 compensation. Mr. Mays has the right to direct the voting of these shares of restricted stock.</w:t>
      </w:r>
    </w:p>
    <w:p>
      <w:pPr>
        <w:spacing w:after="0" w:line="9" w:lineRule="exact"/>
        <w:rPr>
          <w:rFonts w:ascii="Arial" w:cs="Arial" w:eastAsia="Arial" w:hAnsi="Arial"/>
          <w:sz w:val="14"/>
          <w:szCs w:val="14"/>
          <w:color w:val="auto"/>
        </w:rPr>
      </w:pPr>
    </w:p>
    <w:p>
      <w:pPr>
        <w:ind w:left="1620" w:hanging="360"/>
        <w:spacing w:after="0"/>
        <w:tabs>
          <w:tab w:leader="none" w:pos="16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Includes 355 shares held in an individual retirement account owned by Mr. Albright’s spouse.</w:t>
      </w:r>
    </w:p>
    <w:p>
      <w:pPr>
        <w:spacing w:after="0" w:line="82" w:lineRule="exact"/>
        <w:rPr>
          <w:rFonts w:ascii="Arial" w:cs="Arial" w:eastAsia="Arial" w:hAnsi="Arial"/>
          <w:sz w:val="14"/>
          <w:szCs w:val="14"/>
          <w:color w:val="auto"/>
        </w:rPr>
      </w:pPr>
    </w:p>
    <w:p>
      <w:pPr>
        <w:ind w:left="1620" w:right="419" w:hanging="360"/>
        <w:spacing w:after="0" w:line="305" w:lineRule="auto"/>
        <w:tabs>
          <w:tab w:leader="none" w:pos="16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Includes 3,858 shares held by the Babette Brokaw Revocable Trust, with respect to which Mr. Brokaw is both a beneficiary and a trustee.</w:t>
      </w:r>
    </w:p>
    <w:p>
      <w:pPr>
        <w:spacing w:after="0" w:line="9" w:lineRule="exact"/>
        <w:rPr>
          <w:rFonts w:ascii="Arial" w:cs="Arial" w:eastAsia="Arial" w:hAnsi="Arial"/>
          <w:sz w:val="14"/>
          <w:szCs w:val="14"/>
          <w:color w:val="auto"/>
        </w:rPr>
      </w:pPr>
    </w:p>
    <w:p>
      <w:pPr>
        <w:ind w:left="1620" w:hanging="360"/>
        <w:spacing w:after="0"/>
        <w:tabs>
          <w:tab w:leader="none" w:pos="16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Includes 14,655 shares over which Ms. Franklin shares voting and investment power with her spouse.</w:t>
      </w:r>
    </w:p>
    <w:p>
      <w:pPr>
        <w:spacing w:after="0" w:line="82" w:lineRule="exact"/>
        <w:rPr>
          <w:rFonts w:ascii="Arial" w:cs="Arial" w:eastAsia="Arial" w:hAnsi="Arial"/>
          <w:sz w:val="14"/>
          <w:szCs w:val="14"/>
          <w:color w:val="auto"/>
        </w:rPr>
      </w:pPr>
    </w:p>
    <w:p>
      <w:pPr>
        <w:ind w:left="1620" w:right="419" w:hanging="360"/>
        <w:spacing w:after="0" w:line="305" w:lineRule="auto"/>
        <w:tabs>
          <w:tab w:leader="none" w:pos="16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Includes 28,520 shares held by a trust with respect to which Mr. Haga’s spouse is both a beneficiary and a trustee, of which Mr. Haga disclaims beneficial ownership.</w:t>
      </w:r>
    </w:p>
    <w:p>
      <w:pPr>
        <w:spacing w:after="0" w:line="9" w:lineRule="exact"/>
        <w:rPr>
          <w:rFonts w:ascii="Arial" w:cs="Arial" w:eastAsia="Arial" w:hAnsi="Arial"/>
          <w:sz w:val="14"/>
          <w:szCs w:val="14"/>
          <w:color w:val="auto"/>
        </w:rPr>
      </w:pPr>
    </w:p>
    <w:p>
      <w:pPr>
        <w:ind w:left="1620" w:right="419" w:hanging="360"/>
        <w:spacing w:after="0" w:line="325" w:lineRule="auto"/>
        <w:tabs>
          <w:tab w:leader="none" w:pos="16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Includes (i) 129,800 shares over which Mr. Smith shares voting and investment power with his spouse and (ii) 6,000 shares over which Mr. Smith shares voting and investment power with another family member.</w:t>
      </w:r>
    </w:p>
    <w:p>
      <w:pPr>
        <w:sectPr>
          <w:pgSz w:w="11900" w:h="16838" w:orient="portrait"/>
          <w:cols w:equalWidth="0" w:num="1">
            <w:col w:w="9879"/>
          </w:cols>
          <w:pgMar w:left="580" w:top="97" w:right="1440" w:bottom="1440" w:gutter="0" w:footer="0" w:header="0"/>
        </w:sectPr>
      </w:pPr>
    </w:p>
    <w:p>
      <w:pPr>
        <w:spacing w:after="0" w:line="310"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620" w:hanging="360"/>
        <w:spacing w:after="0"/>
        <w:tabs>
          <w:tab w:leader="none" w:pos="16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Includes 177,188 shares regarding which directors and executive officers share voting and investment power with others.</w:t>
      </w:r>
    </w:p>
    <w:p>
      <w:pPr>
        <w:spacing w:after="0" w:line="95" w:lineRule="exact"/>
        <w:rPr>
          <w:rFonts w:ascii="Arial" w:cs="Arial" w:eastAsia="Arial" w:hAnsi="Arial"/>
          <w:sz w:val="14"/>
          <w:szCs w:val="14"/>
          <w:color w:val="auto"/>
        </w:rPr>
      </w:pPr>
    </w:p>
    <w:p>
      <w:pPr>
        <w:jc w:val="both"/>
        <w:ind w:left="1620" w:right="419" w:hanging="360"/>
        <w:spacing w:after="0" w:line="277" w:lineRule="auto"/>
        <w:tabs>
          <w:tab w:leader="none" w:pos="16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Based on the information provided pursuant to a statement on a Schedule 13G/A filed with the SEC on October 30, 2025, The Vanguard Group (“Vanguard”) has shared power to vote or direct the vote of 176,261 shares of our common stock, and sole power to dispose or direct the disposition of 2,949,208 shares of our common stock, and shared power to dispose or direct the disposition of 190,099 shares of our common stock. Vanguard does not have the sole power to vote or direct the vote of any shares of our common stock. The business address for Vanguard is 100 Vanguard Blvd., Malvern, PA 19355.</w:t>
      </w:r>
    </w:p>
    <w:p>
      <w:pPr>
        <w:spacing w:after="0" w:line="42" w:lineRule="exact"/>
        <w:rPr>
          <w:rFonts w:ascii="Arial" w:cs="Arial" w:eastAsia="Arial" w:hAnsi="Arial"/>
          <w:sz w:val="14"/>
          <w:szCs w:val="14"/>
          <w:color w:val="auto"/>
        </w:rPr>
      </w:pPr>
    </w:p>
    <w:p>
      <w:pPr>
        <w:jc w:val="both"/>
        <w:ind w:left="1620" w:right="419" w:hanging="360"/>
        <w:spacing w:after="0" w:line="277" w:lineRule="auto"/>
        <w:tabs>
          <w:tab w:leader="none" w:pos="16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Based on the information provided pursuant to a statement on a Schedule 13G/A filed with the SEC on April 17, 2025, BlackRock, Inc. (“Blackrock”) has sole power to vote or direct the vote of 2,498,802 shares of our common stock, and sole power to dispose or direct the disposition of 2,536,531 shares of our common stock. BlackRock does not have the shared power to vote or direct the vote of or the shared power to dispose or direct the disposition of any shares of our common stock. The business address for BlackRock is 50 Hudson Yards, New York, NY 10001.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Overview</w:t>
      </w:r>
    </w:p>
    <w:p>
      <w:pPr>
        <w:spacing w:after="0" w:line="158" w:lineRule="exact"/>
        <w:rPr>
          <w:sz w:val="20"/>
          <w:szCs w:val="20"/>
          <w:color w:val="auto"/>
        </w:rPr>
      </w:pPr>
    </w:p>
    <w:p>
      <w:pPr>
        <w:jc w:val="both"/>
        <w:ind w:left="1260" w:right="419"/>
        <w:spacing w:after="0" w:line="268" w:lineRule="auto"/>
        <w:rPr>
          <w:sz w:val="20"/>
          <w:szCs w:val="20"/>
          <w:color w:val="auto"/>
        </w:rPr>
      </w:pPr>
      <w:r>
        <w:rPr>
          <w:rFonts w:ascii="Arial" w:cs="Arial" w:eastAsia="Arial" w:hAnsi="Arial"/>
          <w:sz w:val="18"/>
          <w:szCs w:val="18"/>
          <w:color w:val="auto"/>
        </w:rPr>
        <w:t>This Compensation Discussion and Analysis (“CD&amp;A”) is intended to provide an overview and analysis of the material elements of our executive compensation program and policies during the 2025 fiscal year for the following individuals, our NEOs:</w:t>
      </w:r>
    </w:p>
    <w:p>
      <w:pPr>
        <w:spacing w:after="0" w:line="63" w:lineRule="exact"/>
        <w:rPr>
          <w:sz w:val="20"/>
          <w:szCs w:val="20"/>
          <w:color w:val="auto"/>
        </w:rPr>
      </w:pPr>
    </w:p>
    <w:p>
      <w:pPr>
        <w:ind w:left="1800" w:hanging="180"/>
        <w:spacing w:after="0"/>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John P. Albright, age 60, our President &amp; CEO;</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Steven R. Greathouse, age 48, our Senior Vice President &amp; Chief Investment Officer (“CIO”);</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Philip R. Mays, age 58, our Senior Vice President, Chief Financial Officer &amp; Treasurer (“CFO”);</w:t>
      </w:r>
    </w:p>
    <w:p>
      <w:pPr>
        <w:spacing w:after="0" w:line="117" w:lineRule="exact"/>
        <w:rPr>
          <w:rFonts w:ascii="Arial" w:cs="Arial" w:eastAsia="Arial" w:hAnsi="Arial"/>
          <w:sz w:val="18"/>
          <w:szCs w:val="18"/>
          <w:color w:val="auto"/>
        </w:rPr>
      </w:pPr>
    </w:p>
    <w:p>
      <w:pPr>
        <w:ind w:left="1800" w:right="419" w:hanging="180"/>
        <w:spacing w:after="0" w:line="287" w:lineRule="auto"/>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Daniel E. Smith, age 60, our Senior Vice President, General Counsel &amp; Corporate Secretary (“General Counsel”); and</w:t>
      </w:r>
    </w:p>
    <w:p>
      <w:pPr>
        <w:spacing w:after="0" w:line="58" w:lineRule="exact"/>
        <w:rPr>
          <w:rFonts w:ascii="Arial" w:cs="Arial" w:eastAsia="Arial" w:hAnsi="Arial"/>
          <w:sz w:val="18"/>
          <w:szCs w:val="18"/>
          <w:color w:val="auto"/>
        </w:rPr>
      </w:pPr>
    </w:p>
    <w:p>
      <w:pPr>
        <w:ind w:left="1800" w:hanging="180"/>
        <w:spacing w:after="0"/>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Lisa M. Vorakoun, age 42, our Senior Vice President &amp; Chief Accounting Officer (“CAO”).</w:t>
      </w:r>
    </w:p>
    <w:p>
      <w:pPr>
        <w:spacing w:after="0" w:line="144" w:lineRule="exact"/>
        <w:rPr>
          <w:sz w:val="20"/>
          <w:szCs w:val="20"/>
          <w:color w:val="auto"/>
        </w:rPr>
      </w:pPr>
    </w:p>
    <w:p>
      <w:pPr>
        <w:jc w:val="both"/>
        <w:ind w:left="1260" w:right="419"/>
        <w:spacing w:after="0" w:line="268" w:lineRule="auto"/>
        <w:rPr>
          <w:sz w:val="20"/>
          <w:szCs w:val="20"/>
          <w:color w:val="auto"/>
        </w:rPr>
      </w:pPr>
      <w:r>
        <w:rPr>
          <w:rFonts w:ascii="Arial" w:cs="Arial" w:eastAsia="Arial" w:hAnsi="Arial"/>
          <w:sz w:val="18"/>
          <w:szCs w:val="18"/>
          <w:color w:val="auto"/>
        </w:rPr>
        <w:t>Following this overview is a series of tables and related narrative containing specific information pertaining to the compensation earned in 2025 by our NEOs. The discussion below is intended to put the information contained in the tables into context with our overall executive compensation program.</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Executive Summary</w:t>
      </w:r>
    </w:p>
    <w:p>
      <w:pPr>
        <w:spacing w:after="0" w:line="158" w:lineRule="exact"/>
        <w:rPr>
          <w:sz w:val="20"/>
          <w:szCs w:val="20"/>
          <w:color w:val="auto"/>
        </w:rPr>
      </w:pPr>
    </w:p>
    <w:p>
      <w:pPr>
        <w:jc w:val="both"/>
        <w:ind w:left="1260" w:right="419"/>
        <w:spacing w:after="0" w:line="235" w:lineRule="auto"/>
        <w:rPr>
          <w:sz w:val="20"/>
          <w:szCs w:val="20"/>
          <w:color w:val="auto"/>
        </w:rPr>
      </w:pPr>
      <w:r>
        <w:rPr>
          <w:rFonts w:ascii="Arial" w:cs="Arial" w:eastAsia="Arial" w:hAnsi="Arial"/>
          <w:sz w:val="18"/>
          <w:szCs w:val="18"/>
          <w:b w:val="1"/>
          <w:bCs w:val="1"/>
          <w:i w:val="1"/>
          <w:iCs w:val="1"/>
          <w:u w:val="single" w:color="auto"/>
          <w:color w:val="auto"/>
        </w:rPr>
        <w:t>Company Performance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2025 marked the completion of our fifth full year of operations after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converting to a REIT at the end of 2020, which followed a multi-year process of repositioning the Company in a tax-efficient manner from primarily an owner of undeveloped land in Florida into a self-managed equity REIT focused on the ownership, management and repositioning of high-quality retail and mixed-use properties located primarily in what we believe to be faster-growing, business-friendly markets. We continued to manage through the challenges presented by the lasting impacts of a global pandemic and an inflationary economy, all while delivering positive stockholder returns, and ending fiscal year 2025 as the 11</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best-performing REIT in the MSCI US REIT Index (the “Index”) (110 constituent companies) on a trailing 5-year basis, and 29</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best-performing REIT in the Index on a trailing 3-year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876935</wp:posOffset>
            </wp:positionH>
            <wp:positionV relativeFrom="paragraph">
              <wp:posOffset>110490</wp:posOffset>
            </wp:positionV>
            <wp:extent cx="5066030" cy="19113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066030" cy="1911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Our other achievements for fiscal year 2025 included the following:</w:t>
      </w:r>
    </w:p>
    <w:p>
      <w:pPr>
        <w:spacing w:after="0" w:line="117" w:lineRule="exact"/>
        <w:rPr>
          <w:sz w:val="20"/>
          <w:szCs w:val="20"/>
          <w:color w:val="auto"/>
        </w:rPr>
      </w:pPr>
    </w:p>
    <w:p>
      <w:pPr>
        <w:ind w:left="1800" w:right="419" w:hanging="180"/>
        <w:spacing w:after="0" w:line="287" w:lineRule="auto"/>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Invested $144.9 million into two shopping center acquisitions at favorable return rates in what we believe to be high-growth markets.</w:t>
      </w:r>
    </w:p>
    <w:p>
      <w:pPr>
        <w:spacing w:after="0" w:line="44" w:lineRule="exact"/>
        <w:rPr>
          <w:rFonts w:ascii="Arial" w:cs="Arial" w:eastAsia="Arial" w:hAnsi="Arial"/>
          <w:sz w:val="18"/>
          <w:szCs w:val="18"/>
          <w:color w:val="auto"/>
        </w:rPr>
      </w:pPr>
    </w:p>
    <w:p>
      <w:pPr>
        <w:ind w:left="1800" w:hanging="180"/>
        <w:spacing w:after="0"/>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Originated $21.0 million of structured investments at favorable return rates.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Opportunistically recycled capital by disposing of four retail properties at attractive cap rates.</w:t>
      </w:r>
    </w:p>
    <w:p>
      <w:pPr>
        <w:spacing w:after="0" w:line="117" w:lineRule="exact"/>
        <w:rPr>
          <w:rFonts w:ascii="Arial" w:cs="Arial" w:eastAsia="Arial" w:hAnsi="Arial"/>
          <w:sz w:val="18"/>
          <w:szCs w:val="18"/>
          <w:color w:val="auto"/>
        </w:rPr>
      </w:pPr>
    </w:p>
    <w:p>
      <w:pPr>
        <w:ind w:left="1800" w:right="419" w:hanging="180"/>
        <w:spacing w:after="0" w:line="287" w:lineRule="auto"/>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Repurchased $9.3 million of common stock at a weighted average purchase price of $16.27 per share.</w:t>
      </w:r>
    </w:p>
    <w:p>
      <w:pPr>
        <w:sectPr>
          <w:pgSz w:w="11900" w:h="16838" w:orient="portrait"/>
          <w:cols w:equalWidth="0" w:num="1">
            <w:col w:w="9879"/>
          </w:cols>
          <w:pgMar w:left="580" w:top="97" w:right="1440" w:bottom="1440" w:gutter="0" w:footer="0" w:header="0"/>
        </w:sectPr>
      </w:pPr>
    </w:p>
    <w:p>
      <w:pPr>
        <w:spacing w:after="0" w:line="34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800" w:right="419" w:hanging="180"/>
        <w:spacing w:after="0" w:line="287" w:lineRule="auto"/>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Continued to successfully execute the opportunistic growth and capital recycling strategy for Alpine.</w:t>
      </w:r>
    </w:p>
    <w:p>
      <w:pPr>
        <w:spacing w:after="0" w:line="44" w:lineRule="exact"/>
        <w:rPr>
          <w:rFonts w:ascii="Arial" w:cs="Arial" w:eastAsia="Arial" w:hAnsi="Arial"/>
          <w:sz w:val="18"/>
          <w:szCs w:val="18"/>
          <w:color w:val="auto"/>
        </w:rPr>
      </w:pPr>
    </w:p>
    <w:p>
      <w:pPr>
        <w:jc w:val="both"/>
        <w:ind w:left="1800" w:right="419" w:hanging="180"/>
        <w:spacing w:after="0" w:line="262" w:lineRule="auto"/>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Reported full-year Net Income, Core FFO and AFFO per diluted share of $0.08, $1.87, and $1.97, respectively. For calculations of Core FFO per diluted share and AFFO per diluted share, see pages 48 – 50 of our Annual Report on Form 10-K filed with the SEC on February 19, 2026, which also includes a GAAP reconciliation of these non-GAAP measures.</w:t>
      </w:r>
    </w:p>
    <w:p>
      <w:pPr>
        <w:spacing w:after="0" w:line="68" w:lineRule="exact"/>
        <w:rPr>
          <w:rFonts w:ascii="Arial" w:cs="Arial" w:eastAsia="Arial" w:hAnsi="Arial"/>
          <w:sz w:val="18"/>
          <w:szCs w:val="18"/>
          <w:color w:val="auto"/>
        </w:rPr>
      </w:pPr>
    </w:p>
    <w:p>
      <w:pPr>
        <w:jc w:val="both"/>
        <w:ind w:left="1800" w:right="419" w:hanging="180"/>
        <w:spacing w:after="0" w:line="262" w:lineRule="auto"/>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Grew leased occupancy by 250 basis points, ending the year at 95.9%, while shopping center same-property net operating income increased by 4.4% year-over-year. For calculations of same-property net operating income, see </w:t>
      </w:r>
      <w:r>
        <w:rPr>
          <w:rFonts w:ascii="Arial" w:cs="Arial" w:eastAsia="Arial" w:hAnsi="Arial"/>
          <w:sz w:val="18"/>
          <w:szCs w:val="18"/>
          <w:u w:val="single" w:color="auto"/>
          <w:color w:val="auto"/>
        </w:rPr>
        <w:t>Appendix B</w:t>
      </w:r>
      <w:r>
        <w:rPr>
          <w:rFonts w:ascii="Arial" w:cs="Arial" w:eastAsia="Arial" w:hAnsi="Arial"/>
          <w:sz w:val="18"/>
          <w:szCs w:val="18"/>
          <w:color w:val="auto"/>
        </w:rPr>
        <w:t xml:space="preserve"> to this proxy statement, which also includes a GAAP reconciliation of this non-GAAP measure.</w:t>
      </w:r>
    </w:p>
    <w:p>
      <w:pPr>
        <w:spacing w:after="0" w:line="54" w:lineRule="exact"/>
        <w:rPr>
          <w:rFonts w:ascii="Arial" w:cs="Arial" w:eastAsia="Arial" w:hAnsi="Arial"/>
          <w:sz w:val="18"/>
          <w:szCs w:val="18"/>
          <w:color w:val="auto"/>
        </w:rPr>
      </w:pPr>
    </w:p>
    <w:p>
      <w:pPr>
        <w:ind w:left="1800" w:right="419" w:hanging="180"/>
        <w:spacing w:after="0" w:line="287" w:lineRule="auto"/>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Leased over 670,000 retail square feet including 592,000 of comparable retail square feet at an average cash rent spread increase of 24% for the full year.</w:t>
      </w:r>
    </w:p>
    <w:p>
      <w:pPr>
        <w:spacing w:after="0" w:line="44" w:lineRule="exact"/>
        <w:rPr>
          <w:rFonts w:ascii="Arial" w:cs="Arial" w:eastAsia="Arial" w:hAnsi="Arial"/>
          <w:sz w:val="18"/>
          <w:szCs w:val="18"/>
          <w:color w:val="auto"/>
        </w:rPr>
      </w:pPr>
    </w:p>
    <w:p>
      <w:pPr>
        <w:jc w:val="both"/>
        <w:ind w:left="1800" w:right="419" w:hanging="180"/>
        <w:spacing w:after="0" w:line="262" w:lineRule="auto"/>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Executed $150.0 million in term loan financing due in 2029 and 2030, with proceeds used to repay the Company’s $65.0 million term loan due 2026 and reduce the balance on the Company’s revolving credit facility; the Company’s only 2026 maturity is now the $17.8 million mortgage note payable.</w:t>
      </w:r>
    </w:p>
    <w:p>
      <w:pPr>
        <w:spacing w:after="0" w:line="109" w:lineRule="exact"/>
        <w:rPr>
          <w:sz w:val="20"/>
          <w:szCs w:val="20"/>
          <w:color w:val="auto"/>
        </w:rPr>
      </w:pPr>
    </w:p>
    <w:p>
      <w:pPr>
        <w:jc w:val="both"/>
        <w:ind w:left="1260" w:right="419"/>
        <w:spacing w:after="0" w:line="261" w:lineRule="auto"/>
        <w:rPr>
          <w:sz w:val="20"/>
          <w:szCs w:val="20"/>
          <w:color w:val="auto"/>
        </w:rPr>
      </w:pPr>
      <w:r>
        <w:rPr>
          <w:rFonts w:ascii="Arial" w:cs="Arial" w:eastAsia="Arial" w:hAnsi="Arial"/>
          <w:sz w:val="18"/>
          <w:szCs w:val="18"/>
          <w:b w:val="1"/>
          <w:bCs w:val="1"/>
          <w:i w:val="1"/>
          <w:iCs w:val="1"/>
          <w:u w:val="single" w:color="auto"/>
          <w:color w:val="auto"/>
        </w:rPr>
        <w:t>Executive Compensation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Board of Directors and Compensation Committee continued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implementation of our redesigned executive compensation practices, including the following actions and general principles:</w:t>
      </w:r>
    </w:p>
    <w:p>
      <w:pPr>
        <w:spacing w:after="0" w:line="54" w:lineRule="exact"/>
        <w:rPr>
          <w:sz w:val="20"/>
          <w:szCs w:val="20"/>
          <w:color w:val="auto"/>
        </w:rPr>
      </w:pPr>
    </w:p>
    <w:p>
      <w:pPr>
        <w:ind w:left="1800" w:hanging="180"/>
        <w:spacing w:after="0"/>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adhered to our stated disciplined approach as follows:</w:t>
      </w:r>
    </w:p>
    <w:p>
      <w:pPr>
        <w:spacing w:after="0" w:line="117" w:lineRule="exact"/>
        <w:rPr>
          <w:rFonts w:ascii="Arial" w:cs="Arial" w:eastAsia="Arial" w:hAnsi="Arial"/>
          <w:sz w:val="18"/>
          <w:szCs w:val="18"/>
          <w:color w:val="auto"/>
        </w:rPr>
      </w:pPr>
    </w:p>
    <w:p>
      <w:pPr>
        <w:ind w:left="2160" w:right="419" w:hanging="180"/>
        <w:spacing w:after="0" w:line="286" w:lineRule="auto"/>
        <w:tabs>
          <w:tab w:leader="none" w:pos="2160" w:val="left"/>
        </w:tabs>
        <w:numPr>
          <w:ilvl w:val="1"/>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Granted modest annual equity awards (rather than periodic large equity awards intended to cover multiple years).</w:t>
      </w:r>
    </w:p>
    <w:p>
      <w:pPr>
        <w:spacing w:after="0" w:line="32"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1"/>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Benchmarked total compensation against a well-constructed and relevant peer group.</w:t>
      </w:r>
    </w:p>
    <w:p>
      <w:pPr>
        <w:spacing w:after="0" w:line="116" w:lineRule="exact"/>
        <w:rPr>
          <w:rFonts w:ascii="Times New Roman" w:cs="Times New Roman" w:eastAsia="Times New Roman" w:hAnsi="Times New Roman"/>
          <w:sz w:val="18"/>
          <w:szCs w:val="18"/>
          <w:color w:val="auto"/>
        </w:rPr>
      </w:pPr>
    </w:p>
    <w:p>
      <w:pPr>
        <w:jc w:val="both"/>
        <w:ind w:left="2160" w:right="419" w:hanging="180"/>
        <w:spacing w:after="0" w:line="278" w:lineRule="auto"/>
        <w:tabs>
          <w:tab w:leader="none" w:pos="2160" w:val="left"/>
        </w:tabs>
        <w:numPr>
          <w:ilvl w:val="1"/>
          <w:numId w:val="25"/>
        </w:numPr>
        <w:rPr>
          <w:rFonts w:ascii="Times New Roman" w:cs="Times New Roman" w:eastAsia="Times New Roman" w:hAnsi="Times New Roman"/>
          <w:sz w:val="17"/>
          <w:szCs w:val="17"/>
          <w:color w:val="auto"/>
        </w:rPr>
      </w:pPr>
      <w:r>
        <w:rPr>
          <w:rFonts w:ascii="Arial" w:cs="Arial" w:eastAsia="Arial" w:hAnsi="Arial"/>
          <w:sz w:val="17"/>
          <w:szCs w:val="17"/>
          <w:color w:val="auto"/>
        </w:rPr>
        <w:t>Tailored an appropriate pay mix for our NEOs, placing an emphasis on incentive “at risk” compensation using rigorous pre-set goals that are objective and measurable. The following chart illustrates our CEO’s total compensation for 2025 (with both cash and equity incentive awards reflected at target level). As the chart details, 75% of our CEO’s compensation was “at risk” and/or subject to the achievement of certain performance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1477010</wp:posOffset>
            </wp:positionH>
            <wp:positionV relativeFrom="paragraph">
              <wp:posOffset>89535</wp:posOffset>
            </wp:positionV>
            <wp:extent cx="3865880" cy="24085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865880" cy="2408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ind w:left="1800" w:right="419" w:hanging="180"/>
        <w:spacing w:after="0" w:line="262" w:lineRule="auto"/>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Determined payouts for our NEOs under the Annual Incentive Plan based on Company performance in 2025, and also established the metrics, weighting and goals for fiscal year 2026. We note that as a result of last year’s performance, payout for 2025 under the Annual Incentive Plan was midway between the “target” and “outperform/maximum” levels of achievement.</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left="1800" w:right="419" w:hanging="180"/>
        <w:spacing w:after="0" w:line="262" w:lineRule="auto"/>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Set 2026 target compensation for our NEOs, including adjustments to base salary and establishing award opportunities under the Annual Incentive Plan and long-term equity incentives. Notably, target compensation for the CEO and three of the other four NEOs remained flat for 2026 as compared to 2025.</w:t>
      </w:r>
    </w:p>
    <w:p>
      <w:pPr>
        <w:spacing w:after="0" w:line="68" w:lineRule="exact"/>
        <w:rPr>
          <w:rFonts w:ascii="Arial" w:cs="Arial" w:eastAsia="Arial" w:hAnsi="Arial"/>
          <w:sz w:val="18"/>
          <w:szCs w:val="18"/>
          <w:color w:val="auto"/>
        </w:rPr>
      </w:pPr>
    </w:p>
    <w:p>
      <w:pPr>
        <w:jc w:val="both"/>
        <w:ind w:left="1800" w:right="419" w:hanging="180"/>
        <w:spacing w:after="0" w:line="268" w:lineRule="auto"/>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Engaged Ferguson Partners Consulting (“Ferguson Partners”), one of the leading compensation consulting firms in the REIT industry, to serve as the Company’s independent compensation consultant.</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Executive Compensation Philosophy and Objectives</w:t>
      </w:r>
    </w:p>
    <w:p>
      <w:pPr>
        <w:spacing w:after="0" w:line="158" w:lineRule="exact"/>
        <w:rPr>
          <w:sz w:val="20"/>
          <w:szCs w:val="20"/>
          <w:color w:val="auto"/>
        </w:rPr>
      </w:pPr>
    </w:p>
    <w:p>
      <w:pPr>
        <w:jc w:val="both"/>
        <w:ind w:left="1260" w:right="419"/>
        <w:spacing w:after="0" w:line="252" w:lineRule="auto"/>
        <w:rPr>
          <w:sz w:val="20"/>
          <w:szCs w:val="20"/>
          <w:color w:val="auto"/>
        </w:rPr>
      </w:pPr>
      <w:r>
        <w:rPr>
          <w:rFonts w:ascii="Arial" w:cs="Arial" w:eastAsia="Arial" w:hAnsi="Arial"/>
          <w:sz w:val="18"/>
          <w:szCs w:val="18"/>
          <w:color w:val="auto"/>
        </w:rPr>
        <w:t>Our executive compensation program is designed to attract and retain executive officers by aligning their interests with those of our stockholders. This program is structured to motivate executive officers to achieve performance goals established by the Board and to create long-term allegiance to the Company’s stockholders.</w:t>
      </w:r>
    </w:p>
    <w:p>
      <w:pPr>
        <w:spacing w:after="0" w:line="103" w:lineRule="exact"/>
        <w:rPr>
          <w:sz w:val="20"/>
          <w:szCs w:val="20"/>
          <w:color w:val="auto"/>
        </w:rPr>
      </w:pPr>
    </w:p>
    <w:p>
      <w:pPr>
        <w:jc w:val="both"/>
        <w:ind w:left="1260" w:right="419"/>
        <w:spacing w:after="0" w:line="246" w:lineRule="auto"/>
        <w:rPr>
          <w:sz w:val="20"/>
          <w:szCs w:val="20"/>
          <w:color w:val="auto"/>
        </w:rPr>
      </w:pPr>
      <w:r>
        <w:rPr>
          <w:rFonts w:ascii="Arial" w:cs="Arial" w:eastAsia="Arial" w:hAnsi="Arial"/>
          <w:sz w:val="18"/>
          <w:szCs w:val="18"/>
          <w:color w:val="auto"/>
        </w:rPr>
        <w:t>The executive compensation program rewards executive officers for achievement of annual and long-term goals, based on their individual performance and their contribution to the overall performance of the Company. It is intended to balance both stable and incentive-based cash pay, through set salaries and an annual cash incentive program, with rewards for long-term performance through an equity incentive plan using primarily time-based restricted stock which vests over three years and performance shares which vest at the end of a three-year performance period contingent on the achievement of predetermined goals.</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Compensation Risks</w:t>
      </w:r>
    </w:p>
    <w:p>
      <w:pPr>
        <w:spacing w:after="0" w:line="158" w:lineRule="exact"/>
        <w:rPr>
          <w:sz w:val="20"/>
          <w:szCs w:val="20"/>
          <w:color w:val="auto"/>
        </w:rPr>
      </w:pPr>
    </w:p>
    <w:p>
      <w:pPr>
        <w:jc w:val="both"/>
        <w:ind w:left="1260" w:right="419"/>
        <w:spacing w:after="0" w:line="243" w:lineRule="auto"/>
        <w:rPr>
          <w:sz w:val="20"/>
          <w:szCs w:val="20"/>
          <w:color w:val="auto"/>
        </w:rPr>
      </w:pPr>
      <w:r>
        <w:rPr>
          <w:rFonts w:ascii="Arial" w:cs="Arial" w:eastAsia="Arial" w:hAnsi="Arial"/>
          <w:sz w:val="18"/>
          <w:szCs w:val="18"/>
          <w:color w:val="auto"/>
        </w:rPr>
        <w:t>The Compensation Committee has reviewed the elements of compensation to determine whether they encourage excessive risk taking and concluded that any risks arising from the Company’s compensation policies and practices for its employees are not reasonably likely to have a material adverse effect on the Company. We believe that the mix and design of the elements of compensation do not encourage employees to assume excessive risks. Our incentive compensation programs are largely tied to objectively determinable financial and operating results. As a part of its oversight of our compensation policies and practices, the Compensation Committee monitors the actions of management to ensure that our incentive compensation programs are not creating an environment of excessive risk taking which could be detrimental to stockholders.</w:t>
      </w:r>
    </w:p>
    <w:p>
      <w:pPr>
        <w:spacing w:after="0" w:line="19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Role of the Compensation Committee and Executive Officers in Compensation Decisions</w:t>
      </w:r>
    </w:p>
    <w:p>
      <w:pPr>
        <w:spacing w:after="0" w:line="144" w:lineRule="exact"/>
        <w:rPr>
          <w:sz w:val="20"/>
          <w:szCs w:val="20"/>
          <w:color w:val="auto"/>
        </w:rPr>
      </w:pPr>
    </w:p>
    <w:p>
      <w:pPr>
        <w:jc w:val="both"/>
        <w:ind w:left="1260" w:right="419"/>
        <w:spacing w:after="0" w:line="246" w:lineRule="auto"/>
        <w:rPr>
          <w:sz w:val="20"/>
          <w:szCs w:val="20"/>
          <w:color w:val="auto"/>
        </w:rPr>
      </w:pPr>
      <w:r>
        <w:rPr>
          <w:rFonts w:ascii="Arial" w:cs="Arial" w:eastAsia="Arial" w:hAnsi="Arial"/>
          <w:sz w:val="18"/>
          <w:szCs w:val="18"/>
          <w:color w:val="auto"/>
        </w:rPr>
        <w:t>The Compensation Committee has primary responsibility for determining our compensation philosophy, approving the compensation of our NEOs other than the CEO, and recommending to the Board the approval of compensation for the CEO. While the Compensation Committee reviews the total compensation paid to each of the NEOs, it considers each element of our executive compensation program to be separate and distinct. We have not adopted any formal or informal policy for allocating executive compensation between annual and long-term or between cash and non-cash. The Compensation Committee has historically made these allocation decisions each year based on the performance goals and objectives achieved for that year.</w:t>
      </w:r>
    </w:p>
    <w:p>
      <w:pPr>
        <w:spacing w:after="0" w:line="112" w:lineRule="exact"/>
        <w:rPr>
          <w:sz w:val="20"/>
          <w:szCs w:val="20"/>
          <w:color w:val="auto"/>
        </w:rPr>
      </w:pPr>
    </w:p>
    <w:p>
      <w:pPr>
        <w:jc w:val="both"/>
        <w:ind w:left="1260" w:right="419"/>
        <w:spacing w:after="0" w:line="258" w:lineRule="auto"/>
        <w:rPr>
          <w:sz w:val="20"/>
          <w:szCs w:val="20"/>
          <w:color w:val="auto"/>
        </w:rPr>
      </w:pPr>
      <w:r>
        <w:rPr>
          <w:rFonts w:ascii="Arial" w:cs="Arial" w:eastAsia="Arial" w:hAnsi="Arial"/>
          <w:sz w:val="17"/>
          <w:szCs w:val="17"/>
          <w:color w:val="auto"/>
        </w:rPr>
        <w:t>The full Board (other than Mr. Albright) aids the Compensation Committee by providing annual evaluations regarding the performance of our CEO. Mr. Albright also provides an annual evaluation to the Compensation Committee regarding the performance of our other NEOs and a recommendation on compensation for them and for all other officers and managers. In addition, certain members of our senior management team provide support to the Compensation Committee by coordinating meeting logistics, preparing and disseminating relevant financial and non-financial Company information and relevant data concerning our peer companies as a supplement to the comparative market data prepared by the independent compensation consultant, as well as making recommendations with respect to performance metrics and related goals. Mr. Albright attends meetings (or portions thereof) at the Compensation Committee’s request and recommends to the Compensation Committee compensation changes affecting the other members of our senior management team. However, Mr. Albright plays no</w:t>
      </w:r>
    </w:p>
    <w:p>
      <w:pPr>
        <w:spacing w:after="0" w:line="34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262255</wp:posOffset>
            </wp:positionV>
            <wp:extent cx="68319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left="1260" w:right="419"/>
        <w:spacing w:after="0" w:line="248" w:lineRule="auto"/>
        <w:rPr>
          <w:sz w:val="20"/>
          <w:szCs w:val="20"/>
          <w:color w:val="auto"/>
        </w:rPr>
      </w:pPr>
      <w:r>
        <w:rPr>
          <w:rFonts w:ascii="Arial" w:cs="Arial" w:eastAsia="Arial" w:hAnsi="Arial"/>
          <w:sz w:val="18"/>
          <w:szCs w:val="18"/>
          <w:color w:val="auto"/>
        </w:rPr>
        <w:t>role in setting his own compensation. Also, at the Compensation Committee’s request, our General Counsel attends meetings to act as Secretary and record the minutes of the meetings, provide updates on legal developments, and make presentations regarding certain organizational matters. The Compensation Committee regularly meets separately in executive session, outside the presence of management, generally at each regularly scheduled meeting and at other times as necessary or desirable.</w:t>
      </w:r>
    </w:p>
    <w:p>
      <w:pPr>
        <w:spacing w:after="0" w:line="107" w:lineRule="exact"/>
        <w:rPr>
          <w:sz w:val="20"/>
          <w:szCs w:val="20"/>
          <w:color w:val="auto"/>
        </w:rPr>
      </w:pPr>
    </w:p>
    <w:p>
      <w:pPr>
        <w:jc w:val="both"/>
        <w:ind w:left="1260" w:right="419"/>
        <w:spacing w:after="0" w:line="246" w:lineRule="auto"/>
        <w:rPr>
          <w:sz w:val="20"/>
          <w:szCs w:val="20"/>
          <w:color w:val="auto"/>
        </w:rPr>
      </w:pPr>
      <w:r>
        <w:rPr>
          <w:rFonts w:ascii="Arial" w:cs="Arial" w:eastAsia="Arial" w:hAnsi="Arial"/>
          <w:sz w:val="18"/>
          <w:szCs w:val="18"/>
          <w:color w:val="auto"/>
        </w:rPr>
        <w:t>The Compensation Committee may from time to time, in its sole discretion, retain or seek advice from compensation consultants, independent counsel, and other advisors, and is directly responsible for determining the compensation of, and overseeing, such advisors. As noted above, the Compensation Committee has engaged independent consultants in the past to review our compensation practices and plans, and most recently engaged Ferguson Partners to assist in this review. The Compensation Committee determined that the engagement of Ferguson Partners does not raise any conflicts of interest. In making this determination, the Compensation Committee noted the following:</w:t>
      </w:r>
    </w:p>
    <w:p>
      <w:pPr>
        <w:spacing w:after="0" w:line="67" w:lineRule="exact"/>
        <w:rPr>
          <w:sz w:val="20"/>
          <w:szCs w:val="20"/>
          <w:color w:val="auto"/>
        </w:rPr>
      </w:pPr>
    </w:p>
    <w:p>
      <w:pPr>
        <w:ind w:left="1800" w:hanging="180"/>
        <w:spacing w:after="0"/>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Ferguson Partners does not provide any other services to the Company;</w:t>
      </w:r>
    </w:p>
    <w:p>
      <w:pPr>
        <w:spacing w:after="0" w:line="76" w:lineRule="exact"/>
        <w:rPr>
          <w:rFonts w:ascii="Arial" w:cs="Arial" w:eastAsia="Arial" w:hAnsi="Arial"/>
          <w:sz w:val="18"/>
          <w:szCs w:val="18"/>
          <w:color w:val="auto"/>
        </w:rPr>
      </w:pPr>
    </w:p>
    <w:p>
      <w:pPr>
        <w:jc w:val="both"/>
        <w:ind w:left="1800" w:right="419" w:hanging="180"/>
        <w:spacing w:after="0" w:line="262" w:lineRule="auto"/>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Ferguson Partners received no fees from the Company in 2020 through 2025 other than (i) in connection with the engagement by the Compensation Committee and (ii) in 2024, the Company retained Ferguson Partners’ executive search division in connection with the search for the Company’s replacement CFO;</w:t>
      </w:r>
    </w:p>
    <w:p>
      <w:pPr>
        <w:spacing w:after="0" w:line="27" w:lineRule="exact"/>
        <w:rPr>
          <w:rFonts w:ascii="Arial" w:cs="Arial" w:eastAsia="Arial" w:hAnsi="Arial"/>
          <w:sz w:val="18"/>
          <w:szCs w:val="18"/>
          <w:color w:val="auto"/>
        </w:rPr>
      </w:pPr>
    </w:p>
    <w:p>
      <w:pPr>
        <w:ind w:left="1800" w:right="419" w:hanging="180"/>
        <w:spacing w:after="0" w:line="287" w:lineRule="auto"/>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Ferguson Partners maintains a conflicts policy to prevent a conflict of interest or any other independence issue;</w:t>
      </w:r>
    </w:p>
    <w:p>
      <w:pPr>
        <w:spacing w:after="0" w:line="4" w:lineRule="exact"/>
        <w:rPr>
          <w:rFonts w:ascii="Arial" w:cs="Arial" w:eastAsia="Arial" w:hAnsi="Arial"/>
          <w:sz w:val="18"/>
          <w:szCs w:val="18"/>
          <w:color w:val="auto"/>
        </w:rPr>
      </w:pPr>
    </w:p>
    <w:p>
      <w:pPr>
        <w:ind w:left="1800" w:right="419" w:hanging="180"/>
        <w:spacing w:after="0" w:line="287" w:lineRule="auto"/>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none of the Ferguson Partners team assigned to the Company had any business or personal relationship with members of the Compensation Committee outside of the engagement;</w:t>
      </w:r>
    </w:p>
    <w:p>
      <w:pPr>
        <w:spacing w:after="0" w:line="4" w:lineRule="exact"/>
        <w:rPr>
          <w:rFonts w:ascii="Arial" w:cs="Arial" w:eastAsia="Arial" w:hAnsi="Arial"/>
          <w:sz w:val="18"/>
          <w:szCs w:val="18"/>
          <w:color w:val="auto"/>
        </w:rPr>
      </w:pPr>
    </w:p>
    <w:p>
      <w:pPr>
        <w:ind w:left="1800" w:right="419" w:hanging="180"/>
        <w:spacing w:after="0" w:line="287" w:lineRule="auto"/>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none of the Ferguson Partners team assigned to the Company had any business or personal relationship with any of our NEOs outside of the engagement; and</w:t>
      </w:r>
    </w:p>
    <w:p>
      <w:pPr>
        <w:spacing w:after="0" w:line="4" w:lineRule="exact"/>
        <w:rPr>
          <w:rFonts w:ascii="Arial" w:cs="Arial" w:eastAsia="Arial" w:hAnsi="Arial"/>
          <w:sz w:val="18"/>
          <w:szCs w:val="18"/>
          <w:color w:val="auto"/>
        </w:rPr>
      </w:pPr>
    </w:p>
    <w:p>
      <w:pPr>
        <w:ind w:left="1800" w:hanging="180"/>
        <w:spacing w:after="0"/>
        <w:tabs>
          <w:tab w:leader="none" w:pos="18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none of the Ferguson Partners team assigned to the Company owned any of our common stock.</w:t>
      </w:r>
    </w:p>
    <w:p>
      <w:pPr>
        <w:spacing w:after="0" w:line="142" w:lineRule="exact"/>
        <w:rPr>
          <w:sz w:val="20"/>
          <w:szCs w:val="20"/>
          <w:color w:val="auto"/>
        </w:rPr>
      </w:pPr>
    </w:p>
    <w:p>
      <w:pPr>
        <w:jc w:val="both"/>
        <w:ind w:left="1260" w:right="419"/>
        <w:spacing w:after="0" w:line="257" w:lineRule="auto"/>
        <w:rPr>
          <w:sz w:val="20"/>
          <w:szCs w:val="20"/>
          <w:color w:val="auto"/>
        </w:rPr>
      </w:pPr>
      <w:r>
        <w:rPr>
          <w:rFonts w:ascii="Arial" w:cs="Arial" w:eastAsia="Arial" w:hAnsi="Arial"/>
          <w:sz w:val="17"/>
          <w:szCs w:val="17"/>
          <w:color w:val="auto"/>
        </w:rPr>
        <w:t>The scope of Ferguson Partners’ engagement for 2025 was to advise the Compensation Committee on matters related to the compensation of our executive officers, including the continued implementation and application of our enhanced compensation practices. In 2025, Ferguson Partners supported the Compensation Committee by (i) attending Compensation Committee meetings, (ii) providing advice on the application of our enhanced compensation practices, (iii) preparing and presenting analyses on compensation levels, including competitive assessments of the Company’s practices and policies, and</w:t>
      </w:r>
    </w:p>
    <w:p>
      <w:pPr>
        <w:spacing w:after="0" w:line="4" w:lineRule="exact"/>
        <w:rPr>
          <w:sz w:val="20"/>
          <w:szCs w:val="20"/>
          <w:color w:val="auto"/>
        </w:rPr>
      </w:pPr>
    </w:p>
    <w:p>
      <w:pPr>
        <w:ind w:left="1260" w:right="419"/>
        <w:spacing w:after="0" w:line="266" w:lineRule="auto"/>
        <w:tabs>
          <w:tab w:leader="none" w:pos="1563" w:val="left"/>
        </w:tabs>
        <w:numPr>
          <w:ilvl w:val="0"/>
          <w:numId w:val="29"/>
        </w:numPr>
        <w:rPr>
          <w:rFonts w:ascii="Arial" w:cs="Arial" w:eastAsia="Arial" w:hAnsi="Arial"/>
          <w:sz w:val="18"/>
          <w:szCs w:val="18"/>
          <w:color w:val="auto"/>
        </w:rPr>
      </w:pPr>
      <w:r>
        <w:rPr>
          <w:rFonts w:ascii="Arial" w:cs="Arial" w:eastAsia="Arial" w:hAnsi="Arial"/>
          <w:sz w:val="18"/>
          <w:szCs w:val="18"/>
          <w:color w:val="auto"/>
        </w:rPr>
        <w:t>assisting the Company in preparing compensation-related materials and disclosure as requested by the Company.</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Advisory Vote to Approve Executive Compensation</w:t>
      </w:r>
    </w:p>
    <w:p>
      <w:pPr>
        <w:spacing w:after="0" w:line="158" w:lineRule="exact"/>
        <w:rPr>
          <w:sz w:val="20"/>
          <w:szCs w:val="20"/>
          <w:color w:val="auto"/>
        </w:rPr>
      </w:pPr>
    </w:p>
    <w:p>
      <w:pPr>
        <w:jc w:val="both"/>
        <w:ind w:left="1260" w:right="419"/>
        <w:spacing w:after="0" w:line="252" w:lineRule="auto"/>
        <w:rPr>
          <w:sz w:val="20"/>
          <w:szCs w:val="20"/>
          <w:color w:val="auto"/>
        </w:rPr>
      </w:pPr>
      <w:r>
        <w:rPr>
          <w:rFonts w:ascii="Arial" w:cs="Arial" w:eastAsia="Arial" w:hAnsi="Arial"/>
          <w:sz w:val="18"/>
          <w:szCs w:val="18"/>
          <w:color w:val="auto"/>
        </w:rPr>
        <w:t>At our annual meeting of stockholders, we conduct an advisory vote to approve executive compensation. While these votes are not binding on the Company, the Board, or the Compensation Committee, we believe that it is important for our stockholders to have an opportunity to vote on this proposal on an annual basis to express their views regarding executive compensation.</w:t>
      </w:r>
    </w:p>
    <w:p>
      <w:pPr>
        <w:spacing w:after="0" w:line="103" w:lineRule="exact"/>
        <w:rPr>
          <w:sz w:val="20"/>
          <w:szCs w:val="20"/>
          <w:color w:val="auto"/>
        </w:rPr>
      </w:pPr>
    </w:p>
    <w:p>
      <w:pPr>
        <w:jc w:val="center"/>
        <w:ind w:right="-840"/>
        <w:spacing w:after="0"/>
        <w:rPr>
          <w:sz w:val="20"/>
          <w:szCs w:val="20"/>
          <w:color w:val="auto"/>
        </w:rPr>
      </w:pPr>
      <w:r>
        <w:rPr>
          <w:rFonts w:ascii="Arial" w:cs="Arial" w:eastAsia="Arial" w:hAnsi="Arial"/>
          <w:sz w:val="18"/>
          <w:szCs w:val="18"/>
          <w:u w:val="single" w:color="auto"/>
          <w:color w:val="auto"/>
        </w:rPr>
        <w:t>Recent Say-on-Pay Votes</w:t>
      </w:r>
    </w:p>
    <w:p>
      <w:pPr>
        <w:spacing w:after="0" w:line="171" w:lineRule="exact"/>
        <w:rPr>
          <w:sz w:val="20"/>
          <w:szCs w:val="20"/>
          <w:color w:val="auto"/>
        </w:rPr>
      </w:pPr>
    </w:p>
    <w:p>
      <w:pPr>
        <w:ind w:left="1820"/>
        <w:spacing w:after="0"/>
        <w:tabs>
          <w:tab w:leader="none" w:pos="2800" w:val="left"/>
          <w:tab w:leader="none" w:pos="3460" w:val="left"/>
          <w:tab w:leader="none" w:pos="4460" w:val="left"/>
          <w:tab w:leader="none" w:pos="5120" w:val="left"/>
          <w:tab w:leader="none" w:pos="6120" w:val="left"/>
          <w:tab w:leader="none" w:pos="6800" w:val="left"/>
          <w:tab w:leader="none" w:pos="8480" w:val="left"/>
        </w:tabs>
        <w:rPr>
          <w:sz w:val="20"/>
          <w:szCs w:val="20"/>
          <w:color w:val="auto"/>
        </w:rPr>
      </w:pPr>
      <w:r>
        <w:rPr>
          <w:rFonts w:ascii="Arial" w:cs="Arial" w:eastAsia="Arial" w:hAnsi="Arial"/>
          <w:sz w:val="18"/>
          <w:szCs w:val="18"/>
          <w:color w:val="auto"/>
        </w:rPr>
        <w:t>2021</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2022</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2023</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2024</w:t>
      </w:r>
      <w:r>
        <w:rPr>
          <w:sz w:val="20"/>
          <w:szCs w:val="20"/>
          <w:color w:val="auto"/>
        </w:rPr>
        <w:tab/>
      </w:r>
      <w:r>
        <w:rPr>
          <w:rFonts w:ascii="Arial" w:cs="Arial" w:eastAsia="Arial" w:hAnsi="Arial"/>
          <w:sz w:val="17"/>
          <w:szCs w:val="17"/>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52070</wp:posOffset>
            </wp:positionV>
            <wp:extent cx="5212080" cy="9683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212080" cy="968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left="1260" w:right="419"/>
        <w:spacing w:after="0" w:line="271" w:lineRule="auto"/>
        <w:rPr>
          <w:sz w:val="20"/>
          <w:szCs w:val="20"/>
          <w:color w:val="auto"/>
        </w:rPr>
      </w:pPr>
      <w:r>
        <w:rPr>
          <w:rFonts w:ascii="Arial" w:cs="Arial" w:eastAsia="Arial" w:hAnsi="Arial"/>
          <w:sz w:val="18"/>
          <w:szCs w:val="18"/>
          <w:color w:val="auto"/>
        </w:rPr>
        <w:t>At the 2025 Annual Meeting, 95.7% of the votes cast on the advisory vote to approve the executive compensation proposal were in favor of our NEOs’ compensation as disclosed in our proxy statement,</w:t>
      </w:r>
    </w:p>
    <w:p>
      <w:pPr>
        <w:sectPr>
          <w:pgSz w:w="11900" w:h="16838" w:orient="portrait"/>
          <w:cols w:equalWidth="0" w:num="1">
            <w:col w:w="9879"/>
          </w:cols>
          <w:pgMar w:left="580" w:top="97" w:right="1440" w:bottom="1440" w:gutter="0" w:footer="0" w:header="0"/>
        </w:sectPr>
      </w:pPr>
    </w:p>
    <w:p>
      <w:pPr>
        <w:spacing w:after="0" w:line="34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left="1260" w:right="419"/>
        <w:spacing w:after="0" w:line="252" w:lineRule="auto"/>
        <w:rPr>
          <w:sz w:val="20"/>
          <w:szCs w:val="20"/>
          <w:color w:val="auto"/>
        </w:rPr>
      </w:pPr>
      <w:r>
        <w:rPr>
          <w:rFonts w:ascii="Arial" w:cs="Arial" w:eastAsia="Arial" w:hAnsi="Arial"/>
          <w:sz w:val="18"/>
          <w:szCs w:val="18"/>
          <w:color w:val="auto"/>
        </w:rPr>
        <w:t>and as a result the proposal was approved. This outcome was consistent with our recent history of strong stockholder support for the Company’s executive compensation program. In evaluating our compensation program in 2025, we were mindful of our stockholders’ consistent support over the years of the Company’s executive compensation programs.</w:t>
      </w:r>
    </w:p>
    <w:p>
      <w:pPr>
        <w:spacing w:after="0" w:line="103" w:lineRule="exact"/>
        <w:rPr>
          <w:sz w:val="20"/>
          <w:szCs w:val="20"/>
          <w:color w:val="auto"/>
        </w:rPr>
      </w:pPr>
    </w:p>
    <w:p>
      <w:pPr>
        <w:jc w:val="both"/>
        <w:ind w:left="1260" w:right="419"/>
        <w:spacing w:after="0" w:line="287" w:lineRule="auto"/>
        <w:rPr>
          <w:sz w:val="20"/>
          <w:szCs w:val="20"/>
          <w:color w:val="auto"/>
        </w:rPr>
      </w:pPr>
      <w:r>
        <w:rPr>
          <w:rFonts w:ascii="Arial" w:cs="Arial" w:eastAsia="Arial" w:hAnsi="Arial"/>
          <w:sz w:val="18"/>
          <w:szCs w:val="18"/>
          <w:color w:val="auto"/>
        </w:rPr>
        <w:t>We have determined that our stockholders should vote on a Say-on-Pay proposal each year, consistent with the preference expressed at the Company’s 2023 annual meeting of stockholders.</w:t>
      </w:r>
    </w:p>
    <w:p>
      <w:pPr>
        <w:spacing w:after="0" w:line="13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Competitive Considerations (Peer Group)</w:t>
      </w:r>
    </w:p>
    <w:p>
      <w:pPr>
        <w:spacing w:after="0" w:line="158" w:lineRule="exact"/>
        <w:rPr>
          <w:sz w:val="20"/>
          <w:szCs w:val="20"/>
          <w:color w:val="auto"/>
        </w:rPr>
      </w:pPr>
    </w:p>
    <w:p>
      <w:pPr>
        <w:jc w:val="both"/>
        <w:ind w:left="1260" w:right="419"/>
        <w:spacing w:after="0" w:line="243" w:lineRule="auto"/>
        <w:rPr>
          <w:sz w:val="20"/>
          <w:szCs w:val="20"/>
          <w:color w:val="auto"/>
        </w:rPr>
      </w:pPr>
      <w:r>
        <w:rPr>
          <w:rFonts w:ascii="Arial" w:cs="Arial" w:eastAsia="Arial" w:hAnsi="Arial"/>
          <w:sz w:val="18"/>
          <w:szCs w:val="18"/>
          <w:color w:val="auto"/>
        </w:rPr>
        <w:t>Starting in 2017, in connection with the redesign of our executive compensation practices and based on advice from our compensation consultant at that time, we implemented the practice of formally benchmarking executive compensation. The benchmarking data assists the Compensation Committee in comparing overall compensation practices against a broad mix of companies to ensure that our compensation practices are reasonable in light of both industry trends and the size of the Company. The Compensation Committee views the compensation practices of our peer companies as a useful reference point when structuring each component of compensation and total remuneration overall. While references are made to the median of our peer group, the Compensation Committee does not target the median, average or any specific percentile of the peer group.</w:t>
      </w:r>
    </w:p>
    <w:p>
      <w:pPr>
        <w:spacing w:after="0" w:line="112" w:lineRule="exact"/>
        <w:rPr>
          <w:sz w:val="20"/>
          <w:szCs w:val="20"/>
          <w:color w:val="auto"/>
        </w:rPr>
      </w:pPr>
    </w:p>
    <w:p>
      <w:pPr>
        <w:jc w:val="both"/>
        <w:ind w:left="1260" w:right="419"/>
        <w:spacing w:after="0" w:line="243" w:lineRule="auto"/>
        <w:rPr>
          <w:sz w:val="20"/>
          <w:szCs w:val="20"/>
          <w:color w:val="auto"/>
        </w:rPr>
      </w:pPr>
      <w:r>
        <w:rPr>
          <w:rFonts w:ascii="Arial" w:cs="Arial" w:eastAsia="Arial" w:hAnsi="Arial"/>
          <w:sz w:val="18"/>
          <w:szCs w:val="18"/>
          <w:color w:val="auto"/>
        </w:rPr>
        <w:t>With the assistance of our compensation consultant, as a result of our transformation over the last several years from primarily a Florida land company to a retail-focused REIT, for the purposes of evaluating and setting 2025 executive compensation levels, the Compensation Committee established a peer group of the 13 companies listed below, 12 of which were publicly traded REITs as of the dates for which executive officer compensation information was available for benchmarking purposes. One of the peer group companies (Plymouth Industrial REIT, Inc.) is no longer publicly traded, and another peer group company (Alexander &amp; Baldwin, Inc.) has entered into a definitive agreement that contemplates the company ceasing to be publicly traded; nevertheless, their public disclosures regarding compensation were available and taken into consideration as part of the benchmarking exercise. As of year-end 2025, the median market capitalization of the 11 remaining publicly traded peer group companies was approximately $1,111 million, and as of April 16, 2026, the median market capitalization was $985 million.</w:t>
      </w:r>
    </w:p>
    <w:p>
      <w:pPr>
        <w:spacing w:after="0" w:line="185" w:lineRule="exact"/>
        <w:rPr>
          <w:sz w:val="20"/>
          <w:szCs w:val="20"/>
          <w:color w:val="auto"/>
        </w:rPr>
      </w:pPr>
    </w:p>
    <w:tbl>
      <w:tblPr>
        <w:tblLayout w:type="fixed"/>
        <w:tblInd w:w="1260" w:type="dxa"/>
        <w:tblCellMar>
          <w:top w:w="0" w:type="dxa"/>
          <w:left w:w="0" w:type="dxa"/>
          <w:bottom w:w="0" w:type="dxa"/>
          <w:right w:w="0" w:type="dxa"/>
        </w:tblCellMar>
      </w:tblPr>
      <w:tr>
        <w:trPr>
          <w:trHeight w:val="247"/>
        </w:trPr>
        <w:tc>
          <w:tcPr>
            <w:tcW w:w="3660" w:type="dxa"/>
            <w:vAlign w:val="bottom"/>
            <w:gridSpan w:val="2"/>
          </w:tcPr>
          <w:p>
            <w:pPr>
              <w:spacing w:after="0"/>
              <w:rPr>
                <w:sz w:val="20"/>
                <w:szCs w:val="20"/>
                <w:color w:val="auto"/>
              </w:rPr>
            </w:pPr>
            <w:r>
              <w:rPr>
                <w:rFonts w:ascii="Arial" w:cs="Arial" w:eastAsia="Arial" w:hAnsi="Arial"/>
                <w:sz w:val="18"/>
                <w:szCs w:val="18"/>
                <w:b w:val="1"/>
                <w:bCs w:val="1"/>
                <w:color w:val="auto"/>
              </w:rPr>
              <w:t>2025 PEER GROUP</w:t>
            </w:r>
          </w:p>
        </w:tc>
        <w:tc>
          <w:tcPr>
            <w:tcW w:w="66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1"/>
        </w:trPr>
        <w:tc>
          <w:tcPr>
            <w:tcW w:w="480" w:type="dxa"/>
            <w:vAlign w:val="bottom"/>
          </w:tcPr>
          <w:p>
            <w:pPr>
              <w:ind w:left="360"/>
              <w:spacing w:after="0"/>
              <w:rPr>
                <w:sz w:val="20"/>
                <w:szCs w:val="20"/>
                <w:color w:val="auto"/>
              </w:rPr>
            </w:pPr>
            <w:r>
              <w:rPr>
                <w:rFonts w:ascii="Arial" w:cs="Arial" w:eastAsia="Arial" w:hAnsi="Arial"/>
                <w:sz w:val="18"/>
                <w:szCs w:val="18"/>
                <w:color w:val="auto"/>
              </w:rPr>
              <w:t>​•</w:t>
            </w:r>
          </w:p>
        </w:tc>
        <w:tc>
          <w:tcPr>
            <w:tcW w:w="3840" w:type="dxa"/>
            <w:vAlign w:val="bottom"/>
            <w:gridSpan w:val="2"/>
          </w:tcPr>
          <w:p>
            <w:pPr>
              <w:jc w:val="right"/>
              <w:spacing w:after="0"/>
              <w:rPr>
                <w:sz w:val="20"/>
                <w:szCs w:val="20"/>
                <w:color w:val="auto"/>
              </w:rPr>
            </w:pPr>
            <w:r>
              <w:rPr>
                <w:rFonts w:ascii="Arial" w:cs="Arial" w:eastAsia="Arial" w:hAnsi="Arial"/>
                <w:sz w:val="18"/>
                <w:szCs w:val="18"/>
                <w:color w:val="auto"/>
              </w:rPr>
              <w:t>AH Realty Trust, Inc. (f/k/a Armada Hoffler  ​ ​ •</w:t>
            </w:r>
          </w:p>
        </w:tc>
        <w:tc>
          <w:tcPr>
            <w:tcW w:w="3120" w:type="dxa"/>
            <w:vAlign w:val="bottom"/>
          </w:tcPr>
          <w:p>
            <w:pPr>
              <w:ind w:left="60"/>
              <w:spacing w:after="0"/>
              <w:rPr>
                <w:sz w:val="20"/>
                <w:szCs w:val="20"/>
                <w:color w:val="auto"/>
              </w:rPr>
            </w:pPr>
            <w:r>
              <w:rPr>
                <w:rFonts w:ascii="Arial" w:cs="Arial" w:eastAsia="Arial" w:hAnsi="Arial"/>
                <w:sz w:val="18"/>
                <w:szCs w:val="18"/>
                <w:color w:val="auto"/>
              </w:rPr>
              <w:t>InvenTrust Properties Corp.</w:t>
            </w:r>
          </w:p>
        </w:tc>
        <w:tc>
          <w:tcPr>
            <w:tcW w:w="440" w:type="dxa"/>
            <w:vAlign w:val="bottom"/>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480" w:type="dxa"/>
            <w:vAlign w:val="bottom"/>
          </w:tcPr>
          <w:p>
            <w:pPr>
              <w:spacing w:after="0"/>
              <w:rPr>
                <w:sz w:val="20"/>
                <w:szCs w:val="20"/>
                <w:color w:val="auto"/>
              </w:rPr>
            </w:pPr>
          </w:p>
        </w:tc>
        <w:tc>
          <w:tcPr>
            <w:tcW w:w="3180" w:type="dxa"/>
            <w:vAlign w:val="bottom"/>
          </w:tcPr>
          <w:p>
            <w:pPr>
              <w:ind w:left="60"/>
              <w:spacing w:after="0"/>
              <w:rPr>
                <w:sz w:val="20"/>
                <w:szCs w:val="20"/>
                <w:color w:val="auto"/>
              </w:rPr>
            </w:pPr>
            <w:r>
              <w:rPr>
                <w:rFonts w:ascii="Arial" w:cs="Arial" w:eastAsia="Arial" w:hAnsi="Arial"/>
                <w:sz w:val="18"/>
                <w:szCs w:val="18"/>
                <w:color w:val="auto"/>
              </w:rPr>
              <w:t>Properties, Inc.)</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3120" w:type="dxa"/>
            <w:vAlign w:val="bottom"/>
            <w:vMerge w:val="restart"/>
          </w:tcPr>
          <w:p>
            <w:pPr>
              <w:ind w:left="60"/>
              <w:spacing w:after="0"/>
              <w:rPr>
                <w:sz w:val="20"/>
                <w:szCs w:val="20"/>
                <w:color w:val="auto"/>
              </w:rPr>
            </w:pPr>
            <w:r>
              <w:rPr>
                <w:rFonts w:ascii="Arial" w:cs="Arial" w:eastAsia="Arial" w:hAnsi="Arial"/>
                <w:sz w:val="18"/>
                <w:szCs w:val="18"/>
                <w:color w:val="auto"/>
              </w:rPr>
              <w:t>NETSTREIT Corp.</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480" w:type="dxa"/>
            <w:vAlign w:val="bottom"/>
          </w:tcPr>
          <w:p>
            <w:pPr>
              <w:spacing w:after="0"/>
              <w:rPr>
                <w:sz w:val="8"/>
                <w:szCs w:val="8"/>
                <w:color w:val="auto"/>
              </w:rPr>
            </w:pPr>
          </w:p>
        </w:tc>
        <w:tc>
          <w:tcPr>
            <w:tcW w:w="318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312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3660" w:type="dxa"/>
            <w:vAlign w:val="bottom"/>
            <w:gridSpan w:val="2"/>
          </w:tcPr>
          <w:p>
            <w:pPr>
              <w:ind w:left="360"/>
              <w:spacing w:after="0"/>
              <w:rPr>
                <w:sz w:val="20"/>
                <w:szCs w:val="20"/>
                <w:color w:val="auto"/>
              </w:rPr>
            </w:pPr>
            <w:r>
              <w:rPr>
                <w:rFonts w:ascii="Arial" w:cs="Arial" w:eastAsia="Arial" w:hAnsi="Arial"/>
                <w:sz w:val="18"/>
                <w:szCs w:val="18"/>
                <w:color w:val="auto"/>
              </w:rPr>
              <w:t>• Alexander &amp; Baldwin, Inc.</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3120" w:type="dxa"/>
            <w:vAlign w:val="bottom"/>
            <w:vMerge w:val="restart"/>
          </w:tcPr>
          <w:p>
            <w:pPr>
              <w:ind w:left="60"/>
              <w:spacing w:after="0"/>
              <w:rPr>
                <w:sz w:val="20"/>
                <w:szCs w:val="20"/>
                <w:color w:val="auto"/>
              </w:rPr>
            </w:pPr>
            <w:r>
              <w:rPr>
                <w:rFonts w:ascii="Arial" w:cs="Arial" w:eastAsia="Arial" w:hAnsi="Arial"/>
                <w:sz w:val="18"/>
                <w:szCs w:val="18"/>
                <w:color w:val="auto"/>
              </w:rPr>
              <w:t>Plymouth Industrial REIT, Inc.</w:t>
            </w: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8"/>
        </w:trPr>
        <w:tc>
          <w:tcPr>
            <w:tcW w:w="480" w:type="dxa"/>
            <w:vAlign w:val="bottom"/>
          </w:tcPr>
          <w:p>
            <w:pPr>
              <w:spacing w:after="0"/>
              <w:rPr>
                <w:sz w:val="5"/>
                <w:szCs w:val="5"/>
                <w:color w:val="auto"/>
              </w:rPr>
            </w:pPr>
          </w:p>
        </w:tc>
        <w:tc>
          <w:tcPr>
            <w:tcW w:w="31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312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80" w:type="dxa"/>
            <w:vAlign w:val="bottom"/>
          </w:tcPr>
          <w:p>
            <w:pPr>
              <w:ind w:left="360"/>
              <w:spacing w:after="0"/>
              <w:rPr>
                <w:sz w:val="20"/>
                <w:szCs w:val="20"/>
                <w:color w:val="auto"/>
              </w:rPr>
            </w:pPr>
            <w:r>
              <w:rPr>
                <w:rFonts w:ascii="Arial" w:cs="Arial" w:eastAsia="Arial" w:hAnsi="Arial"/>
                <w:sz w:val="18"/>
                <w:szCs w:val="18"/>
                <w:color w:val="auto"/>
              </w:rPr>
              <w:t>•</w:t>
            </w:r>
          </w:p>
        </w:tc>
        <w:tc>
          <w:tcPr>
            <w:tcW w:w="3180" w:type="dxa"/>
            <w:vAlign w:val="bottom"/>
          </w:tcPr>
          <w:p>
            <w:pPr>
              <w:ind w:left="60"/>
              <w:spacing w:after="0"/>
              <w:rPr>
                <w:sz w:val="20"/>
                <w:szCs w:val="20"/>
                <w:color w:val="auto"/>
              </w:rPr>
            </w:pPr>
            <w:r>
              <w:rPr>
                <w:rFonts w:ascii="Arial" w:cs="Arial" w:eastAsia="Arial" w:hAnsi="Arial"/>
                <w:sz w:val="18"/>
                <w:szCs w:val="18"/>
                <w:color w:val="auto"/>
              </w:rPr>
              <w:t>Chatham Lodging Trust</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3120" w:type="dxa"/>
            <w:vAlign w:val="bottom"/>
            <w:vMerge w:val="restart"/>
          </w:tcPr>
          <w:p>
            <w:pPr>
              <w:ind w:left="60"/>
              <w:spacing w:after="0"/>
              <w:rPr>
                <w:sz w:val="20"/>
                <w:szCs w:val="20"/>
                <w:color w:val="auto"/>
              </w:rPr>
            </w:pPr>
            <w:r>
              <w:rPr>
                <w:rFonts w:ascii="Arial" w:cs="Arial" w:eastAsia="Arial" w:hAnsi="Arial"/>
                <w:sz w:val="18"/>
                <w:szCs w:val="18"/>
                <w:color w:val="auto"/>
              </w:rPr>
              <w:t>Seaport Entertainment Group Inc.</w:t>
            </w: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8"/>
        </w:trPr>
        <w:tc>
          <w:tcPr>
            <w:tcW w:w="480" w:type="dxa"/>
            <w:vAlign w:val="bottom"/>
          </w:tcPr>
          <w:p>
            <w:pPr>
              <w:spacing w:after="0"/>
              <w:rPr>
                <w:sz w:val="5"/>
                <w:szCs w:val="5"/>
                <w:color w:val="auto"/>
              </w:rPr>
            </w:pPr>
          </w:p>
        </w:tc>
        <w:tc>
          <w:tcPr>
            <w:tcW w:w="31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312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3660" w:type="dxa"/>
            <w:vAlign w:val="bottom"/>
            <w:gridSpan w:val="2"/>
          </w:tcPr>
          <w:p>
            <w:pPr>
              <w:ind w:left="360"/>
              <w:spacing w:after="0"/>
              <w:rPr>
                <w:sz w:val="20"/>
                <w:szCs w:val="20"/>
                <w:color w:val="auto"/>
              </w:rPr>
            </w:pPr>
            <w:r>
              <w:rPr>
                <w:rFonts w:ascii="Arial" w:cs="Arial" w:eastAsia="Arial" w:hAnsi="Arial"/>
                <w:sz w:val="18"/>
                <w:szCs w:val="18"/>
                <w:color w:val="auto"/>
              </w:rPr>
              <w:t>• Community Healthcare Trust Inc.</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3120" w:type="dxa"/>
            <w:vAlign w:val="bottom"/>
            <w:vMerge w:val="restart"/>
          </w:tcPr>
          <w:p>
            <w:pPr>
              <w:ind w:left="60"/>
              <w:spacing w:after="0"/>
              <w:rPr>
                <w:sz w:val="20"/>
                <w:szCs w:val="20"/>
                <w:color w:val="auto"/>
              </w:rPr>
            </w:pPr>
            <w:r>
              <w:rPr>
                <w:rFonts w:ascii="Arial" w:cs="Arial" w:eastAsia="Arial" w:hAnsi="Arial"/>
                <w:sz w:val="18"/>
                <w:szCs w:val="18"/>
                <w:color w:val="auto"/>
              </w:rPr>
              <w:t>Urban Edge Properties</w:t>
            </w: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8"/>
        </w:trPr>
        <w:tc>
          <w:tcPr>
            <w:tcW w:w="480" w:type="dxa"/>
            <w:vAlign w:val="bottom"/>
          </w:tcPr>
          <w:p>
            <w:pPr>
              <w:spacing w:after="0"/>
              <w:rPr>
                <w:sz w:val="5"/>
                <w:szCs w:val="5"/>
                <w:color w:val="auto"/>
              </w:rPr>
            </w:pPr>
          </w:p>
        </w:tc>
        <w:tc>
          <w:tcPr>
            <w:tcW w:w="31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312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3660" w:type="dxa"/>
            <w:vAlign w:val="bottom"/>
            <w:gridSpan w:val="2"/>
          </w:tcPr>
          <w:p>
            <w:pPr>
              <w:ind w:left="360"/>
              <w:spacing w:after="0"/>
              <w:rPr>
                <w:sz w:val="20"/>
                <w:szCs w:val="20"/>
                <w:color w:val="auto"/>
              </w:rPr>
            </w:pPr>
            <w:r>
              <w:rPr>
                <w:rFonts w:ascii="Arial" w:cs="Arial" w:eastAsia="Arial" w:hAnsi="Arial"/>
                <w:sz w:val="18"/>
                <w:szCs w:val="18"/>
                <w:color w:val="auto"/>
              </w:rPr>
              <w:t>• Four Corners Property Trust, Inc.</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3120" w:type="dxa"/>
            <w:vAlign w:val="bottom"/>
            <w:vMerge w:val="restart"/>
          </w:tcPr>
          <w:p>
            <w:pPr>
              <w:ind w:left="60"/>
              <w:spacing w:after="0"/>
              <w:rPr>
                <w:sz w:val="20"/>
                <w:szCs w:val="20"/>
                <w:color w:val="auto"/>
              </w:rPr>
            </w:pPr>
            <w:r>
              <w:rPr>
                <w:rFonts w:ascii="Arial" w:cs="Arial" w:eastAsia="Arial" w:hAnsi="Arial"/>
                <w:sz w:val="18"/>
                <w:szCs w:val="18"/>
                <w:color w:val="auto"/>
              </w:rPr>
              <w:t>Whitestone REIT</w:t>
            </w: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8"/>
        </w:trPr>
        <w:tc>
          <w:tcPr>
            <w:tcW w:w="480" w:type="dxa"/>
            <w:vAlign w:val="bottom"/>
          </w:tcPr>
          <w:p>
            <w:pPr>
              <w:spacing w:after="0"/>
              <w:rPr>
                <w:sz w:val="5"/>
                <w:szCs w:val="5"/>
                <w:color w:val="auto"/>
              </w:rPr>
            </w:pPr>
          </w:p>
        </w:tc>
        <w:tc>
          <w:tcPr>
            <w:tcW w:w="31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312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ind w:left="1800" w:hanging="180"/>
        <w:spacing w:after="0"/>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FrontView REIT, Inc.</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Getty Realty Corp.</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Executive Compensation Elements</w:t>
      </w:r>
    </w:p>
    <w:p>
      <w:pPr>
        <w:spacing w:after="0" w:line="158" w:lineRule="exact"/>
        <w:rPr>
          <w:sz w:val="20"/>
          <w:szCs w:val="20"/>
          <w:color w:val="auto"/>
        </w:rPr>
      </w:pPr>
    </w:p>
    <w:p>
      <w:pPr>
        <w:jc w:val="both"/>
        <w:ind w:left="1260" w:right="419"/>
        <w:spacing w:after="0" w:line="252" w:lineRule="auto"/>
        <w:rPr>
          <w:sz w:val="20"/>
          <w:szCs w:val="20"/>
          <w:color w:val="auto"/>
        </w:rPr>
      </w:pPr>
      <w:r>
        <w:rPr>
          <w:rFonts w:ascii="Arial" w:cs="Arial" w:eastAsia="Arial" w:hAnsi="Arial"/>
          <w:sz w:val="18"/>
          <w:szCs w:val="18"/>
          <w:b w:val="1"/>
          <w:bCs w:val="1"/>
          <w:i w:val="1"/>
          <w:iCs w:val="1"/>
          <w:u w:val="single" w:color="auto"/>
          <w:color w:val="auto"/>
        </w:rPr>
        <w:t>Base Salary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Compensation Committee believes that base salaries provide our NEOs with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degree of financial certainty and stability and are essential in attracting and retaining highly qualified individuals. The base salaries of the NEOs were set at the time of their employment, and thereafter have been set annually in February after a review of the following:</w:t>
      </w:r>
    </w:p>
    <w:p>
      <w:pPr>
        <w:spacing w:after="0" w:line="62" w:lineRule="exact"/>
        <w:rPr>
          <w:sz w:val="20"/>
          <w:szCs w:val="20"/>
          <w:color w:val="auto"/>
        </w:rPr>
      </w:pPr>
    </w:p>
    <w:p>
      <w:pPr>
        <w:ind w:left="1800" w:right="419" w:hanging="180"/>
        <w:spacing w:after="0" w:line="287" w:lineRule="auto"/>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their performance during the previous year of the normal responsibilities associated with the NEO’s job description;</w:t>
      </w:r>
    </w:p>
    <w:p>
      <w:pPr>
        <w:spacing w:after="0" w:line="31" w:lineRule="exact"/>
        <w:rPr>
          <w:rFonts w:ascii="Arial" w:cs="Arial" w:eastAsia="Arial" w:hAnsi="Arial"/>
          <w:sz w:val="18"/>
          <w:szCs w:val="18"/>
          <w:color w:val="auto"/>
        </w:rPr>
      </w:pPr>
    </w:p>
    <w:p>
      <w:pPr>
        <w:jc w:val="both"/>
        <w:ind w:left="1800" w:right="419" w:hanging="180"/>
        <w:spacing w:after="0" w:line="268" w:lineRule="auto"/>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additional responsibilities assumed during the previous year, or any special or non-recurring projects undertaken during the year, and the NEO’s performance with respect to such additional responsibilities or projects; and</w:t>
      </w:r>
    </w:p>
    <w:p>
      <w:pPr>
        <w:sectPr>
          <w:pgSz w:w="11900" w:h="16838" w:orient="portrait"/>
          <w:cols w:equalWidth="0" w:num="1">
            <w:col w:w="9879"/>
          </w:cols>
          <w:pgMar w:left="580" w:top="97" w:right="1440" w:bottom="1440" w:gutter="0" w:footer="0" w:header="0"/>
        </w:sectPr>
      </w:pPr>
    </w:p>
    <w:p>
      <w:pPr>
        <w:spacing w:after="0" w:line="34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left="1800" w:right="1260" w:hanging="180"/>
        <w:spacing w:after="0" w:line="268" w:lineRule="auto"/>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compensation information provided by Ferguson Partners pertaining to our peer group of companies to benchmark each executive’s compensation, including base salary, total cash compensation, total equity compensation, “at risk” compensation, and overall pay mix.</w:t>
      </w:r>
    </w:p>
    <w:p>
      <w:pPr>
        <w:spacing w:after="0" w:line="103" w:lineRule="exact"/>
        <w:rPr>
          <w:sz w:val="20"/>
          <w:szCs w:val="20"/>
          <w:color w:val="auto"/>
        </w:rPr>
      </w:pPr>
    </w:p>
    <w:p>
      <w:pPr>
        <w:jc w:val="both"/>
        <w:ind w:left="1260" w:right="1260"/>
        <w:spacing w:after="0" w:line="268" w:lineRule="auto"/>
        <w:rPr>
          <w:sz w:val="20"/>
          <w:szCs w:val="20"/>
          <w:color w:val="auto"/>
        </w:rPr>
      </w:pPr>
      <w:r>
        <w:rPr>
          <w:rFonts w:ascii="Arial" w:cs="Arial" w:eastAsia="Arial" w:hAnsi="Arial"/>
          <w:sz w:val="18"/>
          <w:szCs w:val="18"/>
          <w:color w:val="auto"/>
        </w:rPr>
        <w:t>The Compensation Committee analyzed the total mix of available information on primarily a qualitative basis in determining base salary. For information regarding each NEO’s performance in 2025, please see below under the heading “</w:t>
      </w:r>
      <w:r>
        <w:rPr>
          <w:rFonts w:ascii="Arial" w:cs="Arial" w:eastAsia="Arial" w:hAnsi="Arial"/>
          <w:sz w:val="18"/>
          <w:szCs w:val="18"/>
          <w:i w:val="1"/>
          <w:iCs w:val="1"/>
          <w:color w:val="auto"/>
        </w:rPr>
        <w:t>Annual Incentive Plan.</w:t>
      </w:r>
      <w:r>
        <w:rPr>
          <w:rFonts w:ascii="Arial" w:cs="Arial" w:eastAsia="Arial" w:hAnsi="Arial"/>
          <w:sz w:val="18"/>
          <w:szCs w:val="18"/>
          <w:color w:val="auto"/>
        </w:rPr>
        <w:t>”</w:t>
      </w:r>
    </w:p>
    <w:p>
      <w:pPr>
        <w:spacing w:after="0" w:line="103" w:lineRule="exact"/>
        <w:rPr>
          <w:sz w:val="20"/>
          <w:szCs w:val="20"/>
          <w:color w:val="auto"/>
        </w:rPr>
      </w:pPr>
    </w:p>
    <w:p>
      <w:pPr>
        <w:jc w:val="both"/>
        <w:ind w:left="1260" w:right="1260"/>
        <w:spacing w:after="0" w:line="254" w:lineRule="auto"/>
        <w:rPr>
          <w:sz w:val="20"/>
          <w:szCs w:val="20"/>
          <w:color w:val="auto"/>
        </w:rPr>
      </w:pPr>
      <w:r>
        <w:rPr>
          <w:rFonts w:ascii="Arial" w:cs="Arial" w:eastAsia="Arial" w:hAnsi="Arial"/>
          <w:sz w:val="18"/>
          <w:szCs w:val="18"/>
          <w:color w:val="auto"/>
        </w:rPr>
        <w:t>Based on the information and advice provided by Ferguson Partners, in an effort to achieve a desirable combination of certainty as well as “at risk” incentive and performance-based compensation, and to achieve target total compensation for our NEOs competitive with our peer group for each NEO position, our NEOs’ base salaries were adjusted for fiscal year 2025, and remained flat for fiscal year 2026, with the exception of Mr. Mays, whose base salary was adjusted based on market data. For Mr. Mays, whose employment with the Company began on June 17, 2024, the 2024 amount is annualized. Ms. Vorakoun was appointed Interim Chief Financial Officer and Treasurer in April 2024, and resumed her role as Senior Vice President and Chief Accounting Officer effective as of the effective date of Mr. Mays’ employment. The amount shown below for 2024 for Ms. Vorakoun reflects her annualized base salary, taking into consideration her transitional roles.</w:t>
      </w:r>
    </w:p>
    <w:p>
      <w:pPr>
        <w:spacing w:after="0" w:line="141" w:lineRule="exact"/>
        <w:rPr>
          <w:sz w:val="20"/>
          <w:szCs w:val="20"/>
          <w:color w:val="auto"/>
        </w:rPr>
      </w:pPr>
    </w:p>
    <w:tbl>
      <w:tblPr>
        <w:tblLayout w:type="fixed"/>
        <w:tblInd w:w="1260" w:type="dxa"/>
        <w:tblCellMar>
          <w:top w:w="0" w:type="dxa"/>
          <w:left w:w="0" w:type="dxa"/>
          <w:bottom w:w="0" w:type="dxa"/>
          <w:right w:w="0" w:type="dxa"/>
        </w:tblCellMar>
      </w:tblPr>
      <w:tr>
        <w:trPr>
          <w:trHeight w:val="205"/>
        </w:trPr>
        <w:tc>
          <w:tcPr>
            <w:tcW w:w="3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6"/>
          </w:tcPr>
          <w:p>
            <w:pPr>
              <w:ind w:left="560"/>
              <w:spacing w:after="0"/>
              <w:rPr>
                <w:sz w:val="20"/>
                <w:szCs w:val="20"/>
                <w:color w:val="auto"/>
              </w:rPr>
            </w:pPr>
            <w:r>
              <w:rPr>
                <w:rFonts w:ascii="Arial" w:cs="Arial" w:eastAsia="Arial" w:hAnsi="Arial"/>
                <w:sz w:val="14"/>
                <w:szCs w:val="14"/>
                <w:b w:val="1"/>
                <w:bCs w:val="1"/>
                <w:color w:val="auto"/>
              </w:rPr>
              <w:t>NEO Base Salaries</w:t>
            </w:r>
          </w:p>
        </w:tc>
        <w:tc>
          <w:tcPr>
            <w:tcW w:w="780" w:type="dxa"/>
            <w:vAlign w:val="bottom"/>
            <w:tcBorders>
              <w:bottom w:val="single" w:sz="8" w:color="auto"/>
            </w:tcBorders>
          </w:tcPr>
          <w:p>
            <w:pPr>
              <w:spacing w:after="0"/>
              <w:rPr>
                <w:sz w:val="17"/>
                <w:szCs w:val="17"/>
                <w:color w:val="auto"/>
              </w:rPr>
            </w:pPr>
          </w:p>
        </w:tc>
      </w:tr>
      <w:tr>
        <w:trPr>
          <w:trHeight w:val="193"/>
        </w:trPr>
        <w:tc>
          <w:tcPr>
            <w:tcW w:w="3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ind w:left="20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ind w:left="22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7"/>
        </w:trPr>
        <w:tc>
          <w:tcPr>
            <w:tcW w:w="358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2024</w:t>
            </w:r>
          </w:p>
        </w:tc>
        <w:tc>
          <w:tcPr>
            <w:tcW w:w="220" w:type="dxa"/>
            <w:vAlign w:val="bottom"/>
          </w:tcPr>
          <w:p>
            <w:pPr>
              <w:spacing w:after="0"/>
              <w:rPr>
                <w:sz w:val="17"/>
                <w:szCs w:val="17"/>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increase</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2025</w:t>
            </w:r>
          </w:p>
        </w:tc>
        <w:tc>
          <w:tcPr>
            <w:tcW w:w="220" w:type="dxa"/>
            <w:vAlign w:val="bottom"/>
          </w:tcPr>
          <w:p>
            <w:pPr>
              <w:spacing w:after="0"/>
              <w:rPr>
                <w:sz w:val="17"/>
                <w:szCs w:val="17"/>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increase</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2026</w:t>
            </w:r>
          </w:p>
        </w:tc>
      </w:tr>
      <w:tr>
        <w:trPr>
          <w:trHeight w:val="20"/>
        </w:trPr>
        <w:tc>
          <w:tcPr>
            <w:tcW w:w="3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51"/>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John P. Albright</w:t>
            </w: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​$640,710</w:t>
            </w:r>
          </w:p>
        </w:tc>
        <w:tc>
          <w:tcPr>
            <w:tcW w:w="220" w:type="dxa"/>
            <w:vAlign w:val="bottom"/>
            <w:shd w:val="clear" w:color="auto" w:fill="CCEEFF"/>
          </w:tcPr>
          <w:p>
            <w:pPr>
              <w:spacing w:after="0"/>
              <w:rPr>
                <w:sz w:val="21"/>
                <w:szCs w:val="21"/>
                <w:color w:val="auto"/>
              </w:rPr>
            </w:pPr>
          </w:p>
        </w:tc>
        <w:tc>
          <w:tcPr>
            <w:tcW w:w="8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​35.8%​</w:t>
            </w:r>
          </w:p>
        </w:tc>
        <w:tc>
          <w:tcPr>
            <w:tcW w:w="10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​$870,000</w:t>
            </w:r>
          </w:p>
        </w:tc>
        <w:tc>
          <w:tcPr>
            <w:tcW w:w="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​0.0%​</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​$870,000</w:t>
            </w:r>
          </w:p>
        </w:tc>
      </w:tr>
      <w:tr>
        <w:trPr>
          <w:trHeight w:val="257"/>
        </w:trPr>
        <w:tc>
          <w:tcPr>
            <w:tcW w:w="3800" w:type="dxa"/>
            <w:vAlign w:val="bottom"/>
            <w:gridSpan w:val="2"/>
          </w:tcPr>
          <w:p>
            <w:pPr>
              <w:spacing w:after="0"/>
              <w:rPr>
                <w:sz w:val="20"/>
                <w:szCs w:val="20"/>
                <w:color w:val="auto"/>
              </w:rPr>
            </w:pPr>
            <w:r>
              <w:rPr>
                <w:rFonts w:ascii="Arial" w:cs="Arial" w:eastAsia="Arial" w:hAnsi="Arial"/>
                <w:sz w:val="18"/>
                <w:szCs w:val="18"/>
                <w:color w:val="auto"/>
              </w:rPr>
              <w:t>Steven R. Greathouse</w:t>
            </w: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color w:val="auto"/>
              </w:rPr>
              <w:t>​$400,000</w:t>
            </w:r>
          </w:p>
        </w:tc>
        <w:tc>
          <w:tcPr>
            <w:tcW w:w="800" w:type="dxa"/>
            <w:vAlign w:val="bottom"/>
            <w:gridSpan w:val="2"/>
          </w:tcPr>
          <w:p>
            <w:pPr>
              <w:ind w:left="120"/>
              <w:spacing w:after="0"/>
              <w:rPr>
                <w:sz w:val="20"/>
                <w:szCs w:val="20"/>
                <w:color w:val="auto"/>
              </w:rPr>
            </w:pPr>
            <w:r>
              <w:rPr>
                <w:rFonts w:ascii="Arial" w:cs="Arial" w:eastAsia="Arial" w:hAnsi="Arial"/>
                <w:sz w:val="18"/>
                <w:szCs w:val="18"/>
                <w:color w:val="auto"/>
              </w:rPr>
              <w:t>​30.0%​</w:t>
            </w: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color w:val="auto"/>
              </w:rPr>
              <w:t>​$520,000</w:t>
            </w:r>
          </w:p>
        </w:tc>
        <w:tc>
          <w:tcPr>
            <w:tcW w:w="820" w:type="dxa"/>
            <w:vAlign w:val="bottom"/>
            <w:gridSpan w:val="2"/>
          </w:tcPr>
          <w:p>
            <w:pPr>
              <w:ind w:left="180"/>
              <w:spacing w:after="0"/>
              <w:rPr>
                <w:sz w:val="20"/>
                <w:szCs w:val="20"/>
                <w:color w:val="auto"/>
              </w:rPr>
            </w:pPr>
            <w:r>
              <w:rPr>
                <w:rFonts w:ascii="Arial" w:cs="Arial" w:eastAsia="Arial" w:hAnsi="Arial"/>
                <w:sz w:val="18"/>
                <w:szCs w:val="18"/>
                <w:color w:val="auto"/>
              </w:rPr>
              <w:t>​0.0%​</w:t>
            </w:r>
          </w:p>
        </w:tc>
        <w:tc>
          <w:tcPr>
            <w:tcW w:w="780" w:type="dxa"/>
            <w:vAlign w:val="bottom"/>
          </w:tcPr>
          <w:p>
            <w:pPr>
              <w:jc w:val="center"/>
              <w:spacing w:after="0"/>
              <w:rPr>
                <w:sz w:val="20"/>
                <w:szCs w:val="20"/>
                <w:color w:val="auto"/>
              </w:rPr>
            </w:pPr>
            <w:r>
              <w:rPr>
                <w:rFonts w:ascii="Arial" w:cs="Arial" w:eastAsia="Arial" w:hAnsi="Arial"/>
                <w:sz w:val="18"/>
                <w:szCs w:val="18"/>
                <w:color w:val="auto"/>
              </w:rPr>
              <w:t>​$520,000</w:t>
            </w:r>
          </w:p>
        </w:tc>
      </w:tr>
      <w:tr>
        <w:trPr>
          <w:trHeight w:val="257"/>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Philip R. Mays</w:t>
            </w:r>
          </w:p>
        </w:tc>
        <w:tc>
          <w:tcPr>
            <w:tcW w:w="10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​$375,000</w:t>
            </w:r>
          </w:p>
        </w:tc>
        <w:tc>
          <w:tcPr>
            <w:tcW w:w="8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​10.7%​</w:t>
            </w:r>
          </w:p>
        </w:tc>
        <w:tc>
          <w:tcPr>
            <w:tcW w:w="10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​$415,000</w:t>
            </w:r>
          </w:p>
        </w:tc>
        <w:tc>
          <w:tcPr>
            <w:tcW w:w="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​7.2%​</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​$445,000</w:t>
            </w:r>
          </w:p>
        </w:tc>
      </w:tr>
      <w:tr>
        <w:trPr>
          <w:trHeight w:val="256"/>
        </w:trPr>
        <w:tc>
          <w:tcPr>
            <w:tcW w:w="3800" w:type="dxa"/>
            <w:vAlign w:val="bottom"/>
            <w:gridSpan w:val="2"/>
          </w:tcPr>
          <w:p>
            <w:pPr>
              <w:spacing w:after="0"/>
              <w:rPr>
                <w:sz w:val="20"/>
                <w:szCs w:val="20"/>
                <w:color w:val="auto"/>
              </w:rPr>
            </w:pPr>
            <w:r>
              <w:rPr>
                <w:rFonts w:ascii="Arial" w:cs="Arial" w:eastAsia="Arial" w:hAnsi="Arial"/>
                <w:sz w:val="18"/>
                <w:szCs w:val="18"/>
                <w:color w:val="auto"/>
              </w:rPr>
              <w:t>Daniel E. Smith</w:t>
            </w: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color w:val="auto"/>
              </w:rPr>
              <w:t>​$300,000</w:t>
            </w:r>
          </w:p>
        </w:tc>
        <w:tc>
          <w:tcPr>
            <w:tcW w:w="800" w:type="dxa"/>
            <w:vAlign w:val="bottom"/>
            <w:gridSpan w:val="2"/>
          </w:tcPr>
          <w:p>
            <w:pPr>
              <w:ind w:left="120"/>
              <w:spacing w:after="0"/>
              <w:rPr>
                <w:sz w:val="20"/>
                <w:szCs w:val="20"/>
                <w:color w:val="auto"/>
              </w:rPr>
            </w:pPr>
            <w:r>
              <w:rPr>
                <w:rFonts w:ascii="Arial" w:cs="Arial" w:eastAsia="Arial" w:hAnsi="Arial"/>
                <w:sz w:val="18"/>
                <w:szCs w:val="18"/>
                <w:color w:val="auto"/>
              </w:rPr>
              <w:t>​11.7%​</w:t>
            </w: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color w:val="auto"/>
              </w:rPr>
              <w:t>​$335,000</w:t>
            </w:r>
          </w:p>
        </w:tc>
        <w:tc>
          <w:tcPr>
            <w:tcW w:w="820" w:type="dxa"/>
            <w:vAlign w:val="bottom"/>
            <w:gridSpan w:val="2"/>
          </w:tcPr>
          <w:p>
            <w:pPr>
              <w:ind w:left="180"/>
              <w:spacing w:after="0"/>
              <w:rPr>
                <w:sz w:val="20"/>
                <w:szCs w:val="20"/>
                <w:color w:val="auto"/>
              </w:rPr>
            </w:pPr>
            <w:r>
              <w:rPr>
                <w:rFonts w:ascii="Arial" w:cs="Arial" w:eastAsia="Arial" w:hAnsi="Arial"/>
                <w:sz w:val="18"/>
                <w:szCs w:val="18"/>
                <w:color w:val="auto"/>
              </w:rPr>
              <w:t>​0.0%​</w:t>
            </w:r>
          </w:p>
        </w:tc>
        <w:tc>
          <w:tcPr>
            <w:tcW w:w="780" w:type="dxa"/>
            <w:vAlign w:val="bottom"/>
          </w:tcPr>
          <w:p>
            <w:pPr>
              <w:jc w:val="center"/>
              <w:spacing w:after="0"/>
              <w:rPr>
                <w:sz w:val="20"/>
                <w:szCs w:val="20"/>
                <w:color w:val="auto"/>
              </w:rPr>
            </w:pPr>
            <w:r>
              <w:rPr>
                <w:rFonts w:ascii="Arial" w:cs="Arial" w:eastAsia="Arial" w:hAnsi="Arial"/>
                <w:sz w:val="18"/>
                <w:szCs w:val="18"/>
                <w:color w:val="auto"/>
              </w:rPr>
              <w:t>​$335,000</w:t>
            </w:r>
          </w:p>
        </w:tc>
      </w:tr>
      <w:tr>
        <w:trPr>
          <w:trHeight w:val="270"/>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Lisa M. Vorakoun</w:t>
            </w:r>
          </w:p>
        </w:tc>
        <w:tc>
          <w:tcPr>
            <w:tcW w:w="10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​$275,000</w:t>
            </w:r>
          </w:p>
        </w:tc>
        <w:tc>
          <w:tcPr>
            <w:tcW w:w="8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 9.1%​</w:t>
            </w:r>
          </w:p>
        </w:tc>
        <w:tc>
          <w:tcPr>
            <w:tcW w:w="10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​$300,000</w:t>
            </w:r>
          </w:p>
        </w:tc>
        <w:tc>
          <w:tcPr>
            <w:tcW w:w="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​0.0%​</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​$300,000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5377815</wp:posOffset>
            </wp:positionH>
            <wp:positionV relativeFrom="paragraph">
              <wp:posOffset>-831215</wp:posOffset>
            </wp:positionV>
            <wp:extent cx="13716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4854575</wp:posOffset>
            </wp:positionH>
            <wp:positionV relativeFrom="paragraph">
              <wp:posOffset>-831215</wp:posOffset>
            </wp:positionV>
            <wp:extent cx="13716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4220210</wp:posOffset>
            </wp:positionH>
            <wp:positionV relativeFrom="paragraph">
              <wp:posOffset>-831215</wp:posOffset>
            </wp:positionV>
            <wp:extent cx="13716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3705860</wp:posOffset>
            </wp:positionH>
            <wp:positionV relativeFrom="paragraph">
              <wp:posOffset>-831215</wp:posOffset>
            </wp:positionV>
            <wp:extent cx="13716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3071495</wp:posOffset>
            </wp:positionH>
            <wp:positionV relativeFrom="paragraph">
              <wp:posOffset>-831215</wp:posOffset>
            </wp:positionV>
            <wp:extent cx="13716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10" w:lineRule="exact"/>
        <w:rPr>
          <w:sz w:val="20"/>
          <w:szCs w:val="20"/>
          <w:color w:val="auto"/>
        </w:rPr>
      </w:pPr>
    </w:p>
    <w:p>
      <w:pPr>
        <w:jc w:val="both"/>
        <w:ind w:left="1260" w:right="1260"/>
        <w:spacing w:after="0" w:line="252" w:lineRule="auto"/>
        <w:rPr>
          <w:sz w:val="20"/>
          <w:szCs w:val="20"/>
          <w:color w:val="auto"/>
        </w:rPr>
      </w:pPr>
      <w:r>
        <w:rPr>
          <w:rFonts w:ascii="Arial" w:cs="Arial" w:eastAsia="Arial" w:hAnsi="Arial"/>
          <w:sz w:val="18"/>
          <w:szCs w:val="18"/>
          <w:b w:val="1"/>
          <w:bCs w:val="1"/>
          <w:i w:val="1"/>
          <w:iCs w:val="1"/>
          <w:u w:val="single" w:color="auto"/>
          <w:color w:val="auto"/>
        </w:rPr>
        <w:t>Annual Incentive Plan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purpose of the Annual Incentive Plan is to create a mutuality of interest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between management and the Company’s stockholders through an annual cash incentive structure designed to incentivize and reward specific actions and outcomes that will contribute to and accelerate execution of the Company’s long-term strategic business plan, thereby increasing long-term stockholder value. During the beginning of each fiscal year, the Compensation Committee, with the assistance of its compensation consultant, establishes for each plan participant (i) target cash incentive amounts (usually a percentage of base salary), as well as (ii) objective performance metrics that will be used to evaluate the NEOs’ performance during the coming year, including the relative weighting among the various metrics. In addition, the Compensation Committee will establish, for each metric, a “threshold,” “target,” and “outperform/maximum” level of achievement (each, a “Goal” and, collectively, the “Goals”). The “threshold” Goal means the minimum level of achievement pertaining to the metric required for an award to be earned under the Annual Incentive Plan; the “target” Goal means the level of achievement pertaining to the metric required for the target award to be earned; and the “outperform/maximum” Goal means the level of achievement pertaining to the metric required for the maximum award. Payout percentages are as set forth in the following table. Linear interpolation is used to determine amounts earned and paid based on achievement levels between the “threshold” and “target” Goals and between the “target” and “outperform/maximum” Goals.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Annual Incentive Plan Payout Opportunity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32385</wp:posOffset>
            </wp:positionV>
            <wp:extent cx="52120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260" w:type="dxa"/>
            <w:vAlign w:val="bottom"/>
          </w:tcPr>
          <w:p>
            <w:pPr>
              <w:spacing w:after="0"/>
              <w:rPr>
                <w:sz w:val="17"/>
                <w:szCs w:val="17"/>
                <w:color w:val="auto"/>
              </w:rPr>
            </w:pPr>
          </w:p>
        </w:tc>
        <w:tc>
          <w:tcPr>
            <w:tcW w:w="2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Threshold</w:t>
            </w:r>
          </w:p>
        </w:tc>
        <w:tc>
          <w:tcPr>
            <w:tcW w:w="200" w:type="dxa"/>
            <w:vAlign w:val="bottom"/>
          </w:tcPr>
          <w:p>
            <w:pPr>
              <w:spacing w:after="0"/>
              <w:rPr>
                <w:sz w:val="17"/>
                <w:szCs w:val="17"/>
                <w:color w:val="auto"/>
              </w:rPr>
            </w:pPr>
          </w:p>
        </w:tc>
        <w:tc>
          <w:tcPr>
            <w:tcW w:w="2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Target</w:t>
            </w:r>
          </w:p>
        </w:tc>
        <w:tc>
          <w:tcPr>
            <w:tcW w:w="220" w:type="dxa"/>
            <w:vAlign w:val="bottom"/>
          </w:tcPr>
          <w:p>
            <w:pPr>
              <w:spacing w:after="0"/>
              <w:rPr>
                <w:sz w:val="17"/>
                <w:szCs w:val="17"/>
                <w:color w:val="auto"/>
              </w:rPr>
            </w:pPr>
          </w:p>
        </w:tc>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Maximum</w:t>
            </w:r>
          </w:p>
        </w:tc>
        <w:tc>
          <w:tcPr>
            <w:tcW w:w="1260" w:type="dxa"/>
            <w:vAlign w:val="bottom"/>
          </w:tcPr>
          <w:p>
            <w:pPr>
              <w:spacing w:after="0"/>
              <w:rPr>
                <w:sz w:val="17"/>
                <w:szCs w:val="17"/>
                <w:color w:val="auto"/>
              </w:rPr>
            </w:pPr>
          </w:p>
        </w:tc>
      </w:tr>
      <w:tr>
        <w:trPr>
          <w:trHeight w:val="260"/>
        </w:trPr>
        <w:tc>
          <w:tcPr>
            <w:tcW w:w="1260" w:type="dxa"/>
            <w:vAlign w:val="bottom"/>
          </w:tcPr>
          <w:p>
            <w:pPr>
              <w:spacing w:after="0"/>
              <w:rPr>
                <w:sz w:val="22"/>
                <w:szCs w:val="22"/>
                <w:color w:val="auto"/>
              </w:rPr>
            </w:pPr>
          </w:p>
        </w:tc>
        <w:tc>
          <w:tcPr>
            <w:tcW w:w="280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 of Target</w:t>
            </w:r>
          </w:p>
        </w:tc>
        <w:tc>
          <w:tcPr>
            <w:tcW w:w="2820" w:type="dxa"/>
            <w:vAlign w:val="bottom"/>
            <w:gridSpan w:val="2"/>
          </w:tcPr>
          <w:p>
            <w:pPr>
              <w:jc w:val="center"/>
              <w:ind w:right="200"/>
              <w:spacing w:after="0"/>
              <w:rPr>
                <w:sz w:val="20"/>
                <w:szCs w:val="20"/>
                <w:color w:val="auto"/>
              </w:rPr>
            </w:pPr>
            <w:r>
              <w:rPr>
                <w:rFonts w:ascii="Arial" w:cs="Arial" w:eastAsia="Arial" w:hAnsi="Arial"/>
                <w:sz w:val="18"/>
                <w:szCs w:val="18"/>
                <w:color w:val="auto"/>
                <w:w w:val="96"/>
              </w:rPr>
              <w:t>% of Target</w:t>
            </w:r>
          </w:p>
        </w:tc>
        <w:tc>
          <w:tcPr>
            <w:tcW w:w="2580" w:type="dxa"/>
            <w:vAlign w:val="bottom"/>
          </w:tcPr>
          <w:p>
            <w:pPr>
              <w:jc w:val="center"/>
              <w:spacing w:after="0"/>
              <w:rPr>
                <w:sz w:val="20"/>
                <w:szCs w:val="20"/>
                <w:color w:val="auto"/>
              </w:rPr>
            </w:pPr>
            <w:r>
              <w:rPr>
                <w:rFonts w:ascii="Arial" w:cs="Arial" w:eastAsia="Arial" w:hAnsi="Arial"/>
                <w:sz w:val="18"/>
                <w:szCs w:val="18"/>
                <w:color w:val="auto"/>
                <w:w w:val="96"/>
              </w:rPr>
              <w:t>% of Target</w:t>
            </w:r>
          </w:p>
        </w:tc>
        <w:tc>
          <w:tcPr>
            <w:tcW w:w="1260" w:type="dxa"/>
            <w:vAlign w:val="bottom"/>
          </w:tcPr>
          <w:p>
            <w:pPr>
              <w:spacing w:after="0"/>
              <w:rPr>
                <w:sz w:val="22"/>
                <w:szCs w:val="22"/>
                <w:color w:val="auto"/>
              </w:rPr>
            </w:pPr>
          </w:p>
        </w:tc>
      </w:tr>
      <w:tr>
        <w:trPr>
          <w:trHeight w:val="257"/>
        </w:trPr>
        <w:tc>
          <w:tcPr>
            <w:tcW w:w="1260" w:type="dxa"/>
            <w:vAlign w:val="bottom"/>
          </w:tcPr>
          <w:p>
            <w:pPr>
              <w:spacing w:after="0"/>
              <w:rPr>
                <w:sz w:val="22"/>
                <w:szCs w:val="22"/>
                <w:color w:val="auto"/>
              </w:rPr>
            </w:pPr>
          </w:p>
        </w:tc>
        <w:tc>
          <w:tcPr>
            <w:tcW w:w="2600" w:type="dxa"/>
            <w:vAlign w:val="bottom"/>
          </w:tcPr>
          <w:p>
            <w:pPr>
              <w:jc w:val="center"/>
              <w:spacing w:after="0"/>
              <w:rPr>
                <w:sz w:val="20"/>
                <w:szCs w:val="20"/>
                <w:color w:val="auto"/>
              </w:rPr>
            </w:pPr>
            <w:r>
              <w:rPr>
                <w:rFonts w:ascii="Arial" w:cs="Arial" w:eastAsia="Arial" w:hAnsi="Arial"/>
                <w:sz w:val="18"/>
                <w:szCs w:val="18"/>
                <w:color w:val="auto"/>
                <w:w w:val="99"/>
              </w:rPr>
              <w:t>50%</w:t>
            </w:r>
          </w:p>
        </w:tc>
        <w:tc>
          <w:tcPr>
            <w:tcW w:w="200" w:type="dxa"/>
            <w:vAlign w:val="bottom"/>
          </w:tcPr>
          <w:p>
            <w:pPr>
              <w:spacing w:after="0"/>
              <w:rPr>
                <w:sz w:val="22"/>
                <w:szCs w:val="22"/>
                <w:color w:val="auto"/>
              </w:rPr>
            </w:pPr>
          </w:p>
        </w:tc>
        <w:tc>
          <w:tcPr>
            <w:tcW w:w="2600" w:type="dxa"/>
            <w:vAlign w:val="bottom"/>
          </w:tcPr>
          <w:p>
            <w:pPr>
              <w:jc w:val="right"/>
              <w:ind w:right="975"/>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22"/>
                <w:szCs w:val="22"/>
                <w:color w:val="auto"/>
              </w:rPr>
            </w:pPr>
          </w:p>
        </w:tc>
        <w:tc>
          <w:tcPr>
            <w:tcW w:w="2580" w:type="dxa"/>
            <w:vAlign w:val="bottom"/>
          </w:tcPr>
          <w:p>
            <w:pPr>
              <w:jc w:val="center"/>
              <w:spacing w:after="0"/>
              <w:rPr>
                <w:sz w:val="20"/>
                <w:szCs w:val="20"/>
                <w:color w:val="auto"/>
              </w:rPr>
            </w:pPr>
            <w:r>
              <w:rPr>
                <w:rFonts w:ascii="Arial" w:cs="Arial" w:eastAsia="Arial" w:hAnsi="Arial"/>
                <w:sz w:val="18"/>
                <w:szCs w:val="18"/>
                <w:color w:val="auto"/>
                <w:w w:val="99"/>
              </w:rPr>
              <w:t>200%</w:t>
            </w:r>
          </w:p>
        </w:tc>
        <w:tc>
          <w:tcPr>
            <w:tcW w:w="1260" w:type="dxa"/>
            <w:vAlign w:val="bottom"/>
          </w:tcPr>
          <w:p>
            <w:pPr>
              <w:spacing w:after="0"/>
              <w:rPr>
                <w:sz w:val="22"/>
                <w:szCs w:val="22"/>
                <w:color w:val="auto"/>
              </w:rPr>
            </w:pPr>
          </w:p>
        </w:tc>
      </w:tr>
      <w:tr>
        <w:trPr>
          <w:trHeight w:val="743"/>
        </w:trPr>
        <w:tc>
          <w:tcPr>
            <w:tcW w:w="12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0" w:type="dxa"/>
            <w:vAlign w:val="bottom"/>
          </w:tcPr>
          <w:p>
            <w:pPr>
              <w:jc w:val="right"/>
              <w:ind w:right="1135"/>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95"/>
        </w:trPr>
        <w:tc>
          <w:tcPr>
            <w:tcW w:w="126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left="1260" w:right="419"/>
        <w:spacing w:after="0" w:line="278" w:lineRule="auto"/>
        <w:rPr>
          <w:sz w:val="20"/>
          <w:szCs w:val="20"/>
          <w:color w:val="auto"/>
        </w:rPr>
      </w:pPr>
      <w:r>
        <w:rPr>
          <w:rFonts w:ascii="Arial" w:cs="Arial" w:eastAsia="Arial" w:hAnsi="Arial"/>
          <w:sz w:val="17"/>
          <w:szCs w:val="17"/>
          <w:color w:val="auto"/>
        </w:rPr>
        <w:t>In addition, the Compensation Committee may exercise its discretion to allocate superior performance with respect to one or more metrics to the unachieved potential pertaining to another metric, so long as the total amount earned does not exceed the participant’s overall award potential. For 2025, the Compensation Committee selected one objective metric, weighted as 70% of the target annual incentive amount for the year, then established objective, measurable Goals for evaluation of that metric.</w:t>
      </w:r>
    </w:p>
    <w:p>
      <w:pPr>
        <w:spacing w:after="0" w:line="9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performance metric under the Annual Incentive Plan for 2025 is described below:</w:t>
      </w:r>
    </w:p>
    <w:p>
      <w:pPr>
        <w:spacing w:after="0" w:line="117" w:lineRule="exact"/>
        <w:rPr>
          <w:sz w:val="20"/>
          <w:szCs w:val="20"/>
          <w:color w:val="auto"/>
        </w:rPr>
      </w:pPr>
    </w:p>
    <w:p>
      <w:pPr>
        <w:jc w:val="both"/>
        <w:ind w:left="1800" w:right="419" w:hanging="180"/>
        <w:spacing w:after="0" w:line="255" w:lineRule="auto"/>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AFFO Per Diluted Share</w:t>
      </w:r>
      <w:r>
        <w:rPr>
          <w:rFonts w:ascii="Arial" w:cs="Arial" w:eastAsia="Arial" w:hAnsi="Arial"/>
          <w:sz w:val="18"/>
          <w:szCs w:val="18"/>
          <w:color w:val="auto"/>
        </w:rPr>
        <w:t>: By the end of 2020, the Company had largely completed its primary strategic objective of monetizing its land portfolio and redeploying the proceeds into income properties, which culminated in the Company’s conversion to a diversified retail-focused REIT. The Compensation Committee, with the assistance of Ferguson Partners, determined that “adjusted funds from operations,” or “AFFO per diluted share” would be the most appropriate metric to gauge management’s effective operation of the Company’s business as a REIT. As a result, for 2025, the Annual Incentive Plan allocation to the Company’s AFFO per diluted share was 70%.</w:t>
      </w:r>
    </w:p>
    <w:p>
      <w:pPr>
        <w:spacing w:after="0" w:line="117" w:lineRule="exact"/>
        <w:rPr>
          <w:sz w:val="20"/>
          <w:szCs w:val="20"/>
          <w:color w:val="auto"/>
        </w:rPr>
      </w:pPr>
    </w:p>
    <w:p>
      <w:pPr>
        <w:jc w:val="both"/>
        <w:ind w:left="1260" w:right="419"/>
        <w:spacing w:after="0" w:line="268" w:lineRule="auto"/>
        <w:rPr>
          <w:sz w:val="20"/>
          <w:szCs w:val="20"/>
          <w:color w:val="auto"/>
        </w:rPr>
      </w:pPr>
      <w:r>
        <w:rPr>
          <w:rFonts w:ascii="Arial" w:cs="Arial" w:eastAsia="Arial" w:hAnsi="Arial"/>
          <w:sz w:val="18"/>
          <w:szCs w:val="18"/>
          <w:color w:val="auto"/>
        </w:rPr>
        <w:t>The following table sets forth the weighting and Goals established during the first 90 days of 2025 under the Annual Incentive Plan for the above metric, along with the actual 2025 results achieved by management and the outcome under the metric, as determined by the Compensation Committee.</w:t>
      </w:r>
    </w:p>
    <w:p>
      <w:pPr>
        <w:spacing w:after="0" w:line="140" w:lineRule="exact"/>
        <w:rPr>
          <w:sz w:val="20"/>
          <w:szCs w:val="20"/>
          <w:color w:val="auto"/>
        </w:rPr>
      </w:pPr>
    </w:p>
    <w:tbl>
      <w:tblPr>
        <w:tblLayout w:type="fixed"/>
        <w:tblInd w:w="1260" w:type="dxa"/>
        <w:tblCellMar>
          <w:top w:w="0" w:type="dxa"/>
          <w:left w:w="0" w:type="dxa"/>
          <w:bottom w:w="0" w:type="dxa"/>
          <w:right w:w="0" w:type="dxa"/>
        </w:tblCellMar>
      </w:tblPr>
      <w:tr>
        <w:trPr>
          <w:trHeight w:val="185"/>
        </w:trPr>
        <w:tc>
          <w:tcPr>
            <w:tcW w:w="2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2025 GOALS</w:t>
            </w:r>
          </w:p>
        </w:tc>
        <w:tc>
          <w:tcPr>
            <w:tcW w:w="760" w:type="dxa"/>
            <w:vAlign w:val="bottom"/>
          </w:tcPr>
          <w:p>
            <w:pPr>
              <w:spacing w:after="0"/>
              <w:rPr>
                <w:sz w:val="16"/>
                <w:szCs w:val="16"/>
                <w:color w:val="auto"/>
              </w:rPr>
            </w:pPr>
          </w:p>
        </w:tc>
        <w:tc>
          <w:tcPr>
            <w:tcW w:w="240" w:type="dxa"/>
            <w:vAlign w:val="bottom"/>
          </w:tcPr>
          <w:p>
            <w:pPr>
              <w:jc w:val="right"/>
              <w:ind w:right="56"/>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center"/>
              <w:ind w:right="119"/>
              <w:spacing w:after="0"/>
              <w:rPr>
                <w:sz w:val="20"/>
                <w:szCs w:val="20"/>
                <w:color w:val="auto"/>
              </w:rPr>
            </w:pPr>
            <w:r>
              <w:rPr>
                <w:rFonts w:ascii="Arial" w:cs="Arial" w:eastAsia="Arial" w:hAnsi="Arial"/>
                <w:sz w:val="14"/>
                <w:szCs w:val="14"/>
                <w:b w:val="1"/>
                <w:bCs w:val="1"/>
                <w:color w:val="auto"/>
              </w:rPr>
              <w:t>2025</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880" w:type="dxa"/>
            <w:vAlign w:val="bottom"/>
          </w:tcPr>
          <w:p>
            <w:pPr>
              <w:spacing w:after="0"/>
              <w:rPr>
                <w:sz w:val="5"/>
                <w:szCs w:val="5"/>
                <w:color w:val="auto"/>
              </w:rPr>
            </w:pPr>
          </w:p>
        </w:tc>
        <w:tc>
          <w:tcPr>
            <w:tcW w:w="180" w:type="dxa"/>
            <w:vAlign w:val="bottom"/>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620" w:type="dxa"/>
            <w:vAlign w:val="bottom"/>
            <w:vMerge w:val="restart"/>
          </w:tcPr>
          <w:p>
            <w:pPr>
              <w:jc w:val="right"/>
              <w:ind w:right="96"/>
              <w:spacing w:after="0" w:line="139" w:lineRule="exact"/>
              <w:rPr>
                <w:sz w:val="20"/>
                <w:szCs w:val="20"/>
                <w:color w:val="auto"/>
              </w:rPr>
            </w:pPr>
            <w:r>
              <w:rPr>
                <w:rFonts w:ascii="Arial" w:cs="Arial" w:eastAsia="Arial" w:hAnsi="Arial"/>
                <w:sz w:val="14"/>
                <w:szCs w:val="14"/>
                <w:b w:val="1"/>
                <w:bCs w:val="1"/>
                <w:color w:val="auto"/>
              </w:rPr>
              <w:t>2025</w:t>
            </w:r>
          </w:p>
        </w:tc>
        <w:tc>
          <w:tcPr>
            <w:tcW w:w="200" w:type="dxa"/>
            <w:vAlign w:val="bottom"/>
          </w:tcPr>
          <w:p>
            <w:pPr>
              <w:spacing w:after="0"/>
              <w:rPr>
                <w:sz w:val="5"/>
                <w:szCs w:val="5"/>
                <w:color w:val="auto"/>
              </w:rPr>
            </w:pPr>
          </w:p>
        </w:tc>
        <w:tc>
          <w:tcPr>
            <w:tcW w:w="1060" w:type="dxa"/>
            <w:vAlign w:val="bottom"/>
            <w:gridSpan w:val="2"/>
            <w:vMerge w:val="restart"/>
          </w:tcPr>
          <w:p>
            <w:pPr>
              <w:jc w:val="center"/>
              <w:spacing w:after="0" w:line="139" w:lineRule="exact"/>
              <w:rPr>
                <w:sz w:val="20"/>
                <w:szCs w:val="20"/>
                <w:color w:val="auto"/>
              </w:rPr>
            </w:pPr>
            <w:r>
              <w:rPr>
                <w:rFonts w:ascii="Arial" w:cs="Arial" w:eastAsia="Arial" w:hAnsi="Arial"/>
                <w:sz w:val="14"/>
                <w:szCs w:val="14"/>
                <w:b w:val="1"/>
                <w:bCs w:val="1"/>
                <w:color w:val="auto"/>
              </w:rPr>
              <w:t>ACHIEVEMENT</w:t>
            </w: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880" w:type="dxa"/>
            <w:vAlign w:val="bottom"/>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60" w:type="dxa"/>
            <w:vAlign w:val="bottom"/>
          </w:tcPr>
          <w:p>
            <w:pPr>
              <w:spacing w:after="0"/>
              <w:rPr>
                <w:sz w:val="4"/>
                <w:szCs w:val="4"/>
                <w:color w:val="auto"/>
              </w:rPr>
            </w:pPr>
          </w:p>
        </w:tc>
        <w:tc>
          <w:tcPr>
            <w:tcW w:w="24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2880" w:type="dxa"/>
            <w:vAlign w:val="bottom"/>
          </w:tcPr>
          <w:p>
            <w:pPr>
              <w:spacing w:after="0"/>
              <w:rPr>
                <w:sz w:val="20"/>
                <w:szCs w:val="20"/>
                <w:color w:val="auto"/>
              </w:rPr>
            </w:pPr>
            <w:r>
              <w:rPr>
                <w:rFonts w:ascii="Arial" w:cs="Arial" w:eastAsia="Arial" w:hAnsi="Arial"/>
                <w:sz w:val="14"/>
                <w:szCs w:val="14"/>
                <w:b w:val="1"/>
                <w:bCs w:val="1"/>
                <w:color w:val="auto"/>
              </w:rPr>
              <w:t>METRIC (weighting)</w:t>
            </w:r>
          </w:p>
        </w:tc>
        <w:tc>
          <w:tcPr>
            <w:tcW w:w="180" w:type="dxa"/>
            <w:vAlign w:val="bottom"/>
          </w:tcPr>
          <w:p>
            <w:pPr>
              <w:spacing w:after="0"/>
              <w:rPr>
                <w:sz w:val="18"/>
                <w:szCs w:val="18"/>
                <w:color w:val="auto"/>
              </w:rPr>
            </w:pPr>
          </w:p>
        </w:tc>
        <w:tc>
          <w:tcPr>
            <w:tcW w:w="940" w:type="dxa"/>
            <w:vAlign w:val="bottom"/>
          </w:tcPr>
          <w:p>
            <w:pPr>
              <w:ind w:left="20"/>
              <w:spacing w:after="0"/>
              <w:rPr>
                <w:sz w:val="20"/>
                <w:szCs w:val="20"/>
                <w:color w:val="auto"/>
              </w:rPr>
            </w:pPr>
            <w:r>
              <w:rPr>
                <w:rFonts w:ascii="Arial" w:cs="Arial" w:eastAsia="Arial" w:hAnsi="Arial"/>
                <w:sz w:val="14"/>
                <w:szCs w:val="14"/>
                <w:b w:val="1"/>
                <w:bCs w:val="1"/>
                <w:color w:val="auto"/>
              </w:rPr>
              <w:t>THRESHOLD</w:t>
            </w:r>
          </w:p>
        </w:tc>
        <w:tc>
          <w:tcPr>
            <w:tcW w:w="220" w:type="dxa"/>
            <w:vAlign w:val="bottom"/>
          </w:tcPr>
          <w:p>
            <w:pPr>
              <w:spacing w:after="0"/>
              <w:rPr>
                <w:sz w:val="18"/>
                <w:szCs w:val="18"/>
                <w:color w:val="auto"/>
              </w:rPr>
            </w:pPr>
          </w:p>
        </w:tc>
        <w:tc>
          <w:tcPr>
            <w:tcW w:w="620" w:type="dxa"/>
            <w:vAlign w:val="bottom"/>
          </w:tcPr>
          <w:p>
            <w:pPr>
              <w:ind w:left="20"/>
              <w:spacing w:after="0"/>
              <w:rPr>
                <w:sz w:val="20"/>
                <w:szCs w:val="20"/>
                <w:color w:val="auto"/>
              </w:rPr>
            </w:pPr>
            <w:r>
              <w:rPr>
                <w:rFonts w:ascii="Arial" w:cs="Arial" w:eastAsia="Arial" w:hAnsi="Arial"/>
                <w:sz w:val="14"/>
                <w:szCs w:val="14"/>
                <w:b w:val="1"/>
                <w:bCs w:val="1"/>
                <w:color w:val="auto"/>
              </w:rPr>
              <w:t>TARGET</w:t>
            </w:r>
          </w:p>
        </w:tc>
        <w:tc>
          <w:tcPr>
            <w:tcW w:w="200" w:type="dxa"/>
            <w:vAlign w:val="bottom"/>
          </w:tcPr>
          <w:p>
            <w:pPr>
              <w:spacing w:after="0"/>
              <w:rPr>
                <w:sz w:val="18"/>
                <w:szCs w:val="18"/>
                <w:color w:val="auto"/>
              </w:rPr>
            </w:pPr>
          </w:p>
        </w:tc>
        <w:tc>
          <w:tcPr>
            <w:tcW w:w="2000" w:type="dxa"/>
            <w:vAlign w:val="bottom"/>
            <w:gridSpan w:val="5"/>
          </w:tcPr>
          <w:p>
            <w:pPr>
              <w:ind w:left="40"/>
              <w:spacing w:after="0" w:line="212" w:lineRule="exact"/>
              <w:rPr>
                <w:sz w:val="20"/>
                <w:szCs w:val="20"/>
                <w:color w:val="auto"/>
              </w:rPr>
            </w:pPr>
            <w:r>
              <w:rPr>
                <w:rFonts w:ascii="Arial" w:cs="Arial" w:eastAsia="Arial" w:hAnsi="Arial"/>
                <w:sz w:val="13"/>
                <w:szCs w:val="13"/>
                <w:b w:val="1"/>
                <w:bCs w:val="1"/>
                <w:color w:val="auto"/>
              </w:rPr>
              <w:t xml:space="preserve">MAXIMUM </w:t>
            </w:r>
            <w:r>
              <w:rPr>
                <w:rFonts w:ascii="Arial" w:cs="Arial" w:eastAsia="Arial" w:hAnsi="Arial"/>
                <w:sz w:val="24"/>
                <w:szCs w:val="24"/>
                <w:b w:val="1"/>
                <w:bCs w:val="1"/>
                <w:color w:val="auto"/>
                <w:vertAlign w:val="subscript"/>
              </w:rPr>
              <w:t>​ ​</w:t>
            </w:r>
            <w:r>
              <w:rPr>
                <w:rFonts w:ascii="Arial" w:cs="Arial" w:eastAsia="Arial" w:hAnsi="Arial"/>
                <w:sz w:val="13"/>
                <w:szCs w:val="13"/>
                <w:b w:val="1"/>
                <w:bCs w:val="1"/>
                <w:color w:val="auto"/>
              </w:rPr>
              <w:t xml:space="preserve"> RESULTS </w:t>
            </w:r>
            <w:r>
              <w:rPr>
                <w:rFonts w:ascii="Arial" w:cs="Arial" w:eastAsia="Arial" w:hAnsi="Arial"/>
                <w:sz w:val="24"/>
                <w:szCs w:val="24"/>
                <w:b w:val="1"/>
                <w:bCs w:val="1"/>
                <w:color w:val="auto"/>
                <w:vertAlign w:val="subscript"/>
              </w:rPr>
              <w:t>​ ​</w:t>
            </w:r>
          </w:p>
        </w:tc>
        <w:tc>
          <w:tcPr>
            <w:tcW w:w="880" w:type="dxa"/>
            <w:vAlign w:val="bottom"/>
          </w:tcPr>
          <w:p>
            <w:pPr>
              <w:jc w:val="center"/>
              <w:ind w:right="99"/>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jc w:val="right"/>
              <w:ind w:right="9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28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AFFO Per Diluted Share (70%)</w:t>
            </w:r>
            <w:r>
              <w:rPr>
                <w:rFonts w:ascii="Arial" w:cs="Arial" w:eastAsia="Arial" w:hAnsi="Arial"/>
                <w:sz w:val="23"/>
                <w:szCs w:val="23"/>
                <w:color w:val="auto"/>
                <w:vertAlign w:val="superscript"/>
              </w:rPr>
              <w:t>(1)</w:t>
            </w:r>
          </w:p>
        </w:tc>
        <w:tc>
          <w:tcPr>
            <w:tcW w:w="180" w:type="dxa"/>
            <w:vAlign w:val="bottom"/>
            <w:shd w:val="clear" w:color="auto" w:fill="CCEEFF"/>
          </w:tcPr>
          <w:p>
            <w:pPr>
              <w:spacing w:after="0"/>
              <w:rPr>
                <w:sz w:val="24"/>
                <w:szCs w:val="24"/>
                <w:color w:val="auto"/>
              </w:rPr>
            </w:pPr>
          </w:p>
        </w:tc>
        <w:tc>
          <w:tcPr>
            <w:tcW w:w="940" w:type="dxa"/>
            <w:vAlign w:val="bottom"/>
            <w:tcBorders>
              <w:right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​$1.85</w:t>
            </w:r>
          </w:p>
        </w:tc>
        <w:tc>
          <w:tcPr>
            <w:tcW w:w="1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​$1.90 ​</w:t>
            </w:r>
          </w:p>
        </w:tc>
        <w:tc>
          <w:tcPr>
            <w:tcW w:w="7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​$2.04</w:t>
            </w:r>
          </w:p>
        </w:tc>
        <w:tc>
          <w:tcPr>
            <w:tcW w:w="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62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​$1.97</w:t>
            </w:r>
          </w:p>
        </w:tc>
        <w:tc>
          <w:tcPr>
            <w:tcW w:w="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w:t>
            </w:r>
          </w:p>
        </w:tc>
        <w:tc>
          <w:tcPr>
            <w:tcW w:w="88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​150%</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3060" w:type="dxa"/>
            <w:vAlign w:val="bottom"/>
            <w:gridSpan w:val="2"/>
          </w:tcPr>
          <w:p>
            <w:pPr>
              <w:spacing w:after="0"/>
              <w:rPr>
                <w:sz w:val="20"/>
                <w:szCs w:val="20"/>
                <w:color w:val="auto"/>
              </w:rPr>
            </w:pPr>
            <w:r>
              <w:rPr>
                <w:rFonts w:ascii="Arial" w:cs="Arial" w:eastAsia="Arial" w:hAnsi="Arial"/>
                <w:sz w:val="18"/>
                <w:szCs w:val="18"/>
                <w:color w:val="auto"/>
              </w:rPr>
              <w:t>Strategic Objectives /​</w:t>
            </w:r>
          </w:p>
        </w:tc>
        <w:tc>
          <w:tcPr>
            <w:tcW w:w="2740" w:type="dxa"/>
            <w:vAlign w:val="bottom"/>
            <w:gridSpan w:val="5"/>
          </w:tcPr>
          <w:p>
            <w:pPr>
              <w:ind w:left="20"/>
              <w:spacing w:after="0"/>
              <w:rPr>
                <w:sz w:val="20"/>
                <w:szCs w:val="20"/>
                <w:color w:val="auto"/>
              </w:rPr>
            </w:pPr>
            <w:r>
              <w:rPr>
                <w:rFonts w:ascii="Arial" w:cs="Arial" w:eastAsia="Arial" w:hAnsi="Arial"/>
                <w:sz w:val="18"/>
                <w:szCs w:val="18"/>
                <w:color w:val="auto"/>
                <w:w w:val="99"/>
              </w:rPr>
              <w:t>Based on individual and collective</w:t>
            </w:r>
          </w:p>
        </w:tc>
        <w:tc>
          <w:tcPr>
            <w:tcW w:w="240" w:type="dxa"/>
            <w:vAlign w:val="bottom"/>
          </w:tcPr>
          <w:p>
            <w:pPr>
              <w:jc w:val="right"/>
              <w:spacing w:after="0"/>
              <w:rPr>
                <w:sz w:val="20"/>
                <w:szCs w:val="20"/>
                <w:color w:val="auto"/>
              </w:rPr>
            </w:pPr>
            <w:r>
              <w:rPr>
                <w:rFonts w:ascii="Arial" w:cs="Arial" w:eastAsia="Arial" w:hAnsi="Arial"/>
                <w:sz w:val="18"/>
                <w:szCs w:val="18"/>
                <w:color w:val="auto"/>
              </w:rPr>
              <w:t>​ ​</w:t>
            </w:r>
          </w:p>
        </w:tc>
        <w:tc>
          <w:tcPr>
            <w:tcW w:w="620" w:type="dxa"/>
            <w:vAlign w:val="bottom"/>
          </w:tcPr>
          <w:p>
            <w:pPr>
              <w:ind w:left="60"/>
              <w:spacing w:after="0"/>
              <w:rPr>
                <w:sz w:val="20"/>
                <w:szCs w:val="20"/>
                <w:color w:val="auto"/>
              </w:rPr>
            </w:pPr>
            <w:r>
              <w:rPr>
                <w:rFonts w:ascii="Arial" w:cs="Arial" w:eastAsia="Arial" w:hAnsi="Arial"/>
                <w:sz w:val="18"/>
                <w:szCs w:val="18"/>
                <w:color w:val="auto"/>
              </w:rPr>
              <w:t>​</w:t>
            </w:r>
          </w:p>
        </w:tc>
        <w:tc>
          <w:tcPr>
            <w:tcW w:w="380" w:type="dxa"/>
            <w:vAlign w:val="bottom"/>
            <w:gridSpan w:val="2"/>
          </w:tcPr>
          <w:p>
            <w:pPr>
              <w:spacing w:after="0"/>
              <w:rPr>
                <w:sz w:val="20"/>
                <w:szCs w:val="20"/>
                <w:color w:val="auto"/>
              </w:rPr>
            </w:pPr>
            <w:r>
              <w:rPr>
                <w:rFonts w:ascii="Arial" w:cs="Arial" w:eastAsia="Arial" w:hAnsi="Arial"/>
                <w:sz w:val="18"/>
                <w:szCs w:val="18"/>
                <w:color w:val="auto"/>
              </w:rPr>
              <w:t>​​ ​</w:t>
            </w:r>
          </w:p>
        </w:tc>
        <w:tc>
          <w:tcPr>
            <w:tcW w:w="880" w:type="dxa"/>
            <w:vAlign w:val="bottom"/>
          </w:tcPr>
          <w:p>
            <w:pPr>
              <w:ind w:left="240"/>
              <w:spacing w:after="0"/>
              <w:rPr>
                <w:sz w:val="20"/>
                <w:szCs w:val="20"/>
                <w:color w:val="auto"/>
              </w:rPr>
            </w:pPr>
            <w:r>
              <w:rPr>
                <w:rFonts w:ascii="Arial" w:cs="Arial" w:eastAsia="Arial" w:hAnsi="Arial"/>
                <w:sz w:val="18"/>
                <w:szCs w:val="18"/>
                <w:color w:val="auto"/>
              </w:rPr>
              <w:t>Varies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060" w:type="dxa"/>
            <w:vAlign w:val="bottom"/>
            <w:gridSpan w:val="2"/>
          </w:tcPr>
          <w:p>
            <w:pPr>
              <w:ind w:left="180"/>
              <w:spacing w:after="0"/>
              <w:rPr>
                <w:sz w:val="20"/>
                <w:szCs w:val="20"/>
                <w:color w:val="auto"/>
              </w:rPr>
            </w:pPr>
            <w:r>
              <w:rPr>
                <w:rFonts w:ascii="Arial" w:cs="Arial" w:eastAsia="Arial" w:hAnsi="Arial"/>
                <w:sz w:val="18"/>
                <w:szCs w:val="18"/>
                <w:color w:val="auto"/>
              </w:rPr>
              <w:t>Qualitative / Discretionary (30%)</w:t>
            </w:r>
          </w:p>
        </w:tc>
        <w:tc>
          <w:tcPr>
            <w:tcW w:w="2740" w:type="dxa"/>
            <w:vAlign w:val="bottom"/>
            <w:gridSpan w:val="5"/>
          </w:tcPr>
          <w:p>
            <w:pPr>
              <w:ind w:left="240"/>
              <w:spacing w:after="0"/>
              <w:rPr>
                <w:sz w:val="20"/>
                <w:szCs w:val="20"/>
                <w:color w:val="auto"/>
              </w:rPr>
            </w:pPr>
            <w:r>
              <w:rPr>
                <w:rFonts w:ascii="Arial" w:cs="Arial" w:eastAsia="Arial" w:hAnsi="Arial"/>
                <w:sz w:val="18"/>
                <w:szCs w:val="18"/>
                <w:color w:val="auto"/>
              </w:rPr>
              <w:t>performance as determined by</w:t>
            </w: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3869055</wp:posOffset>
            </wp:positionH>
            <wp:positionV relativeFrom="paragraph">
              <wp:posOffset>-478790</wp:posOffset>
            </wp:positionV>
            <wp:extent cx="13716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3337560</wp:posOffset>
            </wp:positionH>
            <wp:positionV relativeFrom="paragraph">
              <wp:posOffset>-478790</wp:posOffset>
            </wp:positionV>
            <wp:extent cx="13716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2634615</wp:posOffset>
            </wp:positionH>
            <wp:positionV relativeFrom="paragraph">
              <wp:posOffset>-478790</wp:posOffset>
            </wp:positionV>
            <wp:extent cx="10287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5831840</wp:posOffset>
            </wp:positionH>
            <wp:positionV relativeFrom="paragraph">
              <wp:posOffset>-478790</wp:posOffset>
            </wp:positionV>
            <wp:extent cx="603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-478790</wp:posOffset>
            </wp:positionV>
            <wp:extent cx="12001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4486275</wp:posOffset>
            </wp:positionH>
            <wp:positionV relativeFrom="paragraph">
              <wp:posOffset>-478790</wp:posOffset>
            </wp:positionV>
            <wp:extent cx="12001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tbl>
      <w:tblPr>
        <w:tblLayout w:type="fixed"/>
        <w:tblInd w:w="1260" w:type="dxa"/>
        <w:tblCellMar>
          <w:top w:w="0" w:type="dxa"/>
          <w:left w:w="0" w:type="dxa"/>
          <w:bottom w:w="0" w:type="dxa"/>
          <w:right w:w="0" w:type="dxa"/>
        </w:tblCellMar>
      </w:tblPr>
      <w:tr>
        <w:trPr>
          <w:trHeight w:val="230"/>
        </w:trPr>
        <w:tc>
          <w:tcPr>
            <w:tcW w:w="3020" w:type="dxa"/>
            <w:vAlign w:val="bottom"/>
            <w:vMerge w:val="restart"/>
          </w:tcPr>
          <w:p>
            <w:pPr>
              <w:spacing w:after="0"/>
              <w:rPr>
                <w:sz w:val="20"/>
                <w:szCs w:val="20"/>
                <w:color w:val="auto"/>
              </w:rPr>
            </w:pPr>
            <w:r>
              <w:rPr>
                <w:rFonts w:ascii="Arial" w:cs="Arial" w:eastAsia="Arial" w:hAnsi="Arial"/>
                <w:sz w:val="18"/>
                <w:szCs w:val="18"/>
                <w:color w:val="auto"/>
              </w:rPr>
              <w:t>− Same Store Leased</w:t>
            </w:r>
          </w:p>
        </w:tc>
        <w:tc>
          <w:tcPr>
            <w:tcW w:w="2680" w:type="dxa"/>
            <w:vAlign w:val="bottom"/>
          </w:tcPr>
          <w:p>
            <w:pPr>
              <w:ind w:left="320"/>
              <w:spacing w:after="0"/>
              <w:rPr>
                <w:sz w:val="20"/>
                <w:szCs w:val="20"/>
                <w:color w:val="auto"/>
              </w:rPr>
            </w:pPr>
            <w:r>
              <w:rPr>
                <w:rFonts w:ascii="Arial" w:cs="Arial" w:eastAsia="Arial" w:hAnsi="Arial"/>
                <w:sz w:val="18"/>
                <w:szCs w:val="18"/>
                <w:color w:val="auto"/>
                <w:w w:val="98"/>
              </w:rPr>
              <w:t>the Compensation Committee</w:t>
            </w:r>
          </w:p>
        </w:tc>
        <w:tc>
          <w:tcPr>
            <w:tcW w:w="0" w:type="dxa"/>
            <w:vAlign w:val="bottom"/>
          </w:tcPr>
          <w:p>
            <w:pPr>
              <w:spacing w:after="0"/>
              <w:rPr>
                <w:sz w:val="1"/>
                <w:szCs w:val="1"/>
                <w:color w:val="auto"/>
              </w:rPr>
            </w:pPr>
          </w:p>
        </w:tc>
      </w:tr>
      <w:tr>
        <w:trPr>
          <w:trHeight w:val="58"/>
        </w:trPr>
        <w:tc>
          <w:tcPr>
            <w:tcW w:w="3020" w:type="dxa"/>
            <w:vAlign w:val="bottom"/>
            <w:vMerge w:val="continue"/>
          </w:tcPr>
          <w:p>
            <w:pPr>
              <w:spacing w:after="0"/>
              <w:rPr>
                <w:sz w:val="5"/>
                <w:szCs w:val="5"/>
                <w:color w:val="auto"/>
              </w:rPr>
            </w:pPr>
          </w:p>
        </w:tc>
        <w:tc>
          <w:tcPr>
            <w:tcW w:w="2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3020" w:type="dxa"/>
            <w:vAlign w:val="bottom"/>
          </w:tcPr>
          <w:p>
            <w:pPr>
              <w:spacing w:after="0"/>
              <w:rPr>
                <w:sz w:val="20"/>
                <w:szCs w:val="20"/>
                <w:color w:val="auto"/>
              </w:rPr>
            </w:pPr>
            <w:r>
              <w:rPr>
                <w:rFonts w:ascii="Arial" w:cs="Arial" w:eastAsia="Arial" w:hAnsi="Arial"/>
                <w:sz w:val="18"/>
                <w:szCs w:val="18"/>
                <w:color w:val="auto"/>
              </w:rPr>
              <w:t>Occupancy Change</w:t>
            </w:r>
          </w:p>
        </w:tc>
        <w:tc>
          <w:tcPr>
            <w:tcW w:w="2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020" w:type="dxa"/>
            <w:vAlign w:val="bottom"/>
          </w:tcPr>
          <w:p>
            <w:pPr>
              <w:spacing w:after="0"/>
              <w:rPr>
                <w:sz w:val="20"/>
                <w:szCs w:val="20"/>
                <w:color w:val="auto"/>
              </w:rPr>
            </w:pPr>
            <w:r>
              <w:rPr>
                <w:rFonts w:ascii="Arial" w:cs="Arial" w:eastAsia="Arial" w:hAnsi="Arial"/>
                <w:sz w:val="18"/>
                <w:szCs w:val="18"/>
                <w:color w:val="auto"/>
              </w:rPr>
              <w:t>− Net Debt + Preferred / Pro</w:t>
            </w:r>
          </w:p>
        </w:tc>
        <w:tc>
          <w:tcPr>
            <w:tcW w:w="2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5"/>
        </w:trPr>
        <w:tc>
          <w:tcPr>
            <w:tcW w:w="3020" w:type="dxa"/>
            <w:vAlign w:val="bottom"/>
          </w:tcPr>
          <w:p>
            <w:pPr>
              <w:spacing w:after="0"/>
              <w:rPr>
                <w:sz w:val="20"/>
                <w:szCs w:val="20"/>
                <w:color w:val="auto"/>
              </w:rPr>
            </w:pPr>
            <w:r>
              <w:rPr>
                <w:rFonts w:ascii="Arial" w:cs="Arial" w:eastAsia="Arial" w:hAnsi="Arial"/>
                <w:sz w:val="18"/>
                <w:szCs w:val="18"/>
                <w:color w:val="auto"/>
              </w:rPr>
              <w:t>Forma Adjusted EBITDA</w:t>
            </w:r>
            <w:r>
              <w:rPr>
                <w:rFonts w:ascii="Arial" w:cs="Arial" w:eastAsia="Arial" w:hAnsi="Arial"/>
                <w:sz w:val="23"/>
                <w:szCs w:val="23"/>
                <w:color w:val="auto"/>
                <w:vertAlign w:val="superscript"/>
              </w:rPr>
              <w:t>(2)</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3020" w:type="dxa"/>
            <w:vAlign w:val="bottom"/>
          </w:tcPr>
          <w:p>
            <w:pPr>
              <w:spacing w:after="0"/>
              <w:rPr>
                <w:sz w:val="20"/>
                <w:szCs w:val="20"/>
                <w:color w:val="auto"/>
              </w:rPr>
            </w:pPr>
            <w:r>
              <w:rPr>
                <w:rFonts w:ascii="Arial" w:cs="Arial" w:eastAsia="Arial" w:hAnsi="Arial"/>
                <w:sz w:val="18"/>
                <w:szCs w:val="18"/>
                <w:color w:val="auto"/>
              </w:rPr>
              <w:t>− Investment Acquisition Volume</w:t>
            </w:r>
          </w:p>
        </w:tc>
        <w:tc>
          <w:tcPr>
            <w:tcW w:w="2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020" w:type="dxa"/>
            <w:vAlign w:val="bottom"/>
          </w:tcPr>
          <w:p>
            <w:pPr>
              <w:spacing w:after="0"/>
              <w:rPr>
                <w:sz w:val="20"/>
                <w:szCs w:val="20"/>
                <w:color w:val="auto"/>
              </w:rPr>
            </w:pPr>
            <w:r>
              <w:rPr>
                <w:rFonts w:ascii="Arial" w:cs="Arial" w:eastAsia="Arial" w:hAnsi="Arial"/>
                <w:sz w:val="18"/>
                <w:szCs w:val="18"/>
                <w:color w:val="auto"/>
              </w:rPr>
              <w:t>− Improvement of Earnings Profile</w:t>
            </w:r>
          </w:p>
        </w:tc>
        <w:tc>
          <w:tcPr>
            <w:tcW w:w="2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65"/>
        </w:trPr>
        <w:tc>
          <w:tcPr>
            <w:tcW w:w="3020" w:type="dxa"/>
            <w:vAlign w:val="bottom"/>
          </w:tcPr>
          <w:p>
            <w:pPr>
              <w:spacing w:after="0"/>
              <w:rPr>
                <w:sz w:val="20"/>
                <w:szCs w:val="20"/>
                <w:color w:val="auto"/>
              </w:rPr>
            </w:pPr>
            <w:r>
              <w:rPr>
                <w:rFonts w:ascii="Arial" w:cs="Arial" w:eastAsia="Arial" w:hAnsi="Arial"/>
                <w:sz w:val="18"/>
                <w:szCs w:val="18"/>
                <w:color w:val="auto"/>
              </w:rPr>
              <w:t>− Execution of Strategic Activities</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126365</wp:posOffset>
            </wp:positionV>
            <wp:extent cx="123444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31" w:lineRule="exact"/>
        <w:rPr>
          <w:sz w:val="20"/>
          <w:szCs w:val="20"/>
          <w:color w:val="auto"/>
        </w:rPr>
      </w:pPr>
    </w:p>
    <w:p>
      <w:pPr>
        <w:jc w:val="both"/>
        <w:ind w:left="1620" w:right="419" w:hanging="360"/>
        <w:spacing w:after="0" w:line="293" w:lineRule="auto"/>
        <w:tabs>
          <w:tab w:leader="none" w:pos="16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For calculations of FFO per diluted share, Core FFO per diluted share, and AFFO per diluted share, see pages 48 – 50 of our Annual Report on Form 10-K filed with the SEC on February 19, 2026, which also includes a GAAP reconciliation of these non-GAAP measures.</w:t>
      </w:r>
    </w:p>
    <w:p>
      <w:pPr>
        <w:spacing w:after="0" w:line="31" w:lineRule="exact"/>
        <w:rPr>
          <w:rFonts w:ascii="Arial" w:cs="Arial" w:eastAsia="Arial" w:hAnsi="Arial"/>
          <w:sz w:val="14"/>
          <w:szCs w:val="14"/>
          <w:color w:val="auto"/>
        </w:rPr>
      </w:pPr>
    </w:p>
    <w:p>
      <w:pPr>
        <w:ind w:left="1620" w:right="419" w:hanging="360"/>
        <w:spacing w:after="0" w:line="305" w:lineRule="auto"/>
        <w:tabs>
          <w:tab w:leader="none" w:pos="16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For calculations of net debt + preferred / pro forma adjusted EBITDA, see Appendix B to this proxy statement, which also includes a GAAP reconciliation of this non-GAAP measure.</w:t>
      </w:r>
    </w:p>
    <w:p>
      <w:pPr>
        <w:spacing w:after="0" w:line="81" w:lineRule="exact"/>
        <w:rPr>
          <w:sz w:val="20"/>
          <w:szCs w:val="20"/>
          <w:color w:val="auto"/>
        </w:rPr>
      </w:pPr>
    </w:p>
    <w:p>
      <w:pPr>
        <w:ind w:left="1260" w:right="419"/>
        <w:spacing w:after="0" w:line="318" w:lineRule="auto"/>
        <w:rPr>
          <w:sz w:val="20"/>
          <w:szCs w:val="20"/>
          <w:color w:val="auto"/>
        </w:rPr>
      </w:pPr>
      <w:r>
        <w:rPr>
          <w:rFonts w:ascii="Arial" w:cs="Arial" w:eastAsia="Arial" w:hAnsi="Arial"/>
          <w:sz w:val="17"/>
          <w:szCs w:val="17"/>
          <w:color w:val="auto"/>
        </w:rPr>
        <w:t>Regarding the qualitative portion of the Annual Incentive Plan for 2025, the Compensation Committee’s determinations regarding eligibility for such portion for each of our NEOs is set forth below.</w:t>
      </w:r>
    </w:p>
    <w:p>
      <w:pPr>
        <w:spacing w:after="0" w:line="6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During 2025, under the leadership of Mr. Albright, the Company accomplished the following:</w:t>
      </w:r>
    </w:p>
    <w:p>
      <w:pPr>
        <w:spacing w:after="0" w:line="158" w:lineRule="exact"/>
        <w:rPr>
          <w:sz w:val="20"/>
          <w:szCs w:val="20"/>
          <w:color w:val="auto"/>
        </w:rPr>
      </w:pPr>
    </w:p>
    <w:p>
      <w:pPr>
        <w:jc w:val="both"/>
        <w:ind w:left="1620" w:right="419"/>
        <w:spacing w:after="0" w:line="272" w:lineRule="auto"/>
        <w:rPr>
          <w:sz w:val="20"/>
          <w:szCs w:val="20"/>
          <w:color w:val="auto"/>
        </w:rPr>
      </w:pPr>
      <w:r>
        <w:rPr>
          <w:rFonts w:ascii="Arial" w:cs="Arial" w:eastAsia="Arial" w:hAnsi="Arial"/>
          <w:sz w:val="17"/>
          <w:szCs w:val="17"/>
          <w:u w:val="single" w:color="auto"/>
          <w:color w:val="auto"/>
        </w:rPr>
        <w:t>Total Stockholder Return</w:t>
      </w:r>
      <w:r>
        <w:rPr>
          <w:rFonts w:ascii="Arial" w:cs="Arial" w:eastAsia="Arial" w:hAnsi="Arial"/>
          <w:sz w:val="17"/>
          <w:szCs w:val="17"/>
          <w:color w:val="auto"/>
        </w:rPr>
        <w:t xml:space="preserve">. The Company delivered total stockholder return (“TSR”) of 1.7% during 2025, and annualized TSR of 9.2% during the three-year period 2023 to 2025, through a combination of share price appreciation and our $0.38 per share quarterly dividend. Our three-year and five-year total annualized TSR significantly outperformed both the Index and the compensation peer group average (see charts on page </w:t>
      </w:r>
      <w:r>
        <w:rPr>
          <w:rFonts w:ascii="Arial" w:cs="Arial" w:eastAsia="Arial" w:hAnsi="Arial"/>
          <w:sz w:val="17"/>
          <w:szCs w:val="17"/>
          <w:u w:val="single" w:color="auto"/>
          <w:color w:val="0000EE"/>
        </w:rPr>
        <w:t>29</w:t>
      </w:r>
      <w:r>
        <w:rPr>
          <w:rFonts w:ascii="Arial" w:cs="Arial" w:eastAsia="Arial" w:hAnsi="Arial"/>
          <w:sz w:val="17"/>
          <w:szCs w:val="17"/>
          <w:color w:val="auto"/>
        </w:rPr>
        <w:t xml:space="preserve"> above), and our one-year TSR outperformed the compensation peer group average. Our $0.38 per share quarterly dividend represented an annualized yield of 8.3% based on the closing price of our common stock on December 31, 2025. The Company declared and paid total dividends in 2025 of $1.52 per diluted share.</w:t>
      </w:r>
    </w:p>
    <w:p>
      <w:pPr>
        <w:spacing w:after="0" w:line="91" w:lineRule="exact"/>
        <w:rPr>
          <w:sz w:val="20"/>
          <w:szCs w:val="20"/>
          <w:color w:val="auto"/>
        </w:rPr>
      </w:pPr>
    </w:p>
    <w:p>
      <w:pPr>
        <w:jc w:val="both"/>
        <w:ind w:left="1620" w:right="419"/>
        <w:spacing w:after="0" w:line="287" w:lineRule="auto"/>
        <w:rPr>
          <w:sz w:val="20"/>
          <w:szCs w:val="20"/>
          <w:color w:val="auto"/>
        </w:rPr>
      </w:pPr>
      <w:r>
        <w:rPr>
          <w:rFonts w:ascii="Arial" w:cs="Arial" w:eastAsia="Arial" w:hAnsi="Arial"/>
          <w:sz w:val="18"/>
          <w:szCs w:val="18"/>
          <w:u w:val="single" w:color="auto"/>
          <w:color w:val="auto"/>
        </w:rPr>
        <w:t>Portfolio Growth and Repositioning</w:t>
      </w:r>
      <w:r>
        <w:rPr>
          <w:rFonts w:ascii="Arial" w:cs="Arial" w:eastAsia="Arial" w:hAnsi="Arial"/>
          <w:sz w:val="18"/>
          <w:szCs w:val="18"/>
          <w:color w:val="auto"/>
        </w:rPr>
        <w:t>. Investments totaled $165.9 million, including two high-quality shopping centers and two structured investments, at a weighted average initial cash yield of 9.0%.</w:t>
      </w:r>
    </w:p>
    <w:p>
      <w:pPr>
        <w:sectPr>
          <w:pgSz w:w="11900" w:h="16838" w:orient="portrait"/>
          <w:cols w:equalWidth="0" w:num="1">
            <w:col w:w="9879"/>
          </w:cols>
          <w:pgMar w:left="580" w:top="97" w:right="1440" w:bottom="1440" w:gutter="0" w:footer="0" w:header="0"/>
        </w:sectPr>
      </w:pPr>
    </w:p>
    <w:p>
      <w:pPr>
        <w:spacing w:after="0" w:line="34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left="1620" w:right="419"/>
        <w:spacing w:after="0" w:line="245" w:lineRule="auto"/>
        <w:rPr>
          <w:sz w:val="20"/>
          <w:szCs w:val="20"/>
          <w:color w:val="auto"/>
        </w:rPr>
      </w:pPr>
      <w:r>
        <w:rPr>
          <w:rFonts w:ascii="Arial" w:cs="Arial" w:eastAsia="Arial" w:hAnsi="Arial"/>
          <w:sz w:val="18"/>
          <w:szCs w:val="18"/>
          <w:color w:val="auto"/>
        </w:rPr>
        <w:t>The locations of the newly acquired shopping centers include well-located submarkets of the high-growth cities of Atlanta, Georgia and Fort Lauderdale, Florida, and include anchor tenants such as Dick’s Sporting Goods, Best Buy, Burlington Coat Factory, TJ Maxx, and Ross Dress for Less. In addition, we opportunistically recycled capital by disposing of four of our retail properties, including three single-tenant properties and one shopping center, for aggregate gross proceeds of $85.1 million at a weighted average exit cash cap rate of mid-5%, generating total gains of $20.9 million. As a result of our overall portfolio growth, Total Revenues and Core FFO Attributable to Common Stockholders increased 20.1% and 43.3%, respectively, versus 2024, and have increased 37.0% and 52.1%, respectively, versus 2023.</w:t>
      </w:r>
    </w:p>
    <w:p>
      <w:pPr>
        <w:spacing w:after="0" w:line="110" w:lineRule="exact"/>
        <w:rPr>
          <w:sz w:val="20"/>
          <w:szCs w:val="20"/>
          <w:color w:val="auto"/>
        </w:rPr>
      </w:pPr>
    </w:p>
    <w:p>
      <w:pPr>
        <w:jc w:val="both"/>
        <w:ind w:left="1620" w:right="419"/>
        <w:spacing w:after="0" w:line="246" w:lineRule="auto"/>
        <w:rPr>
          <w:sz w:val="20"/>
          <w:szCs w:val="20"/>
          <w:color w:val="auto"/>
        </w:rPr>
      </w:pPr>
      <w:r>
        <w:rPr>
          <w:rFonts w:ascii="Arial" w:cs="Arial" w:eastAsia="Arial" w:hAnsi="Arial"/>
          <w:sz w:val="18"/>
          <w:szCs w:val="18"/>
          <w:u w:val="single" w:color="auto"/>
          <w:color w:val="auto"/>
        </w:rPr>
        <w:t>Capital Markets Activity</w:t>
      </w:r>
      <w:r>
        <w:rPr>
          <w:rFonts w:ascii="Arial" w:cs="Arial" w:eastAsia="Arial" w:hAnsi="Arial"/>
          <w:sz w:val="18"/>
          <w:szCs w:val="18"/>
          <w:color w:val="auto"/>
        </w:rPr>
        <w:t>. We repurchased $9.3 million of common stock at a weighted average purchase price of $16.27 per share in 2025. Further, we closed $150 million in term loan financings, including a new 5-year $125 million term loan due in September of 2030, and a $25 million upsizing of our existing term loan due in September of 2029. The proceeds from these new term loan financings were used to retire a $65 million term loan due in March of 2026 and to reduce the balance on our existing revolving credit facility, providing enhanced liquidity. Consequently, our only maturity in 2026 is a $17.8 million mortgage note payable.</w:t>
      </w:r>
    </w:p>
    <w:p>
      <w:pPr>
        <w:spacing w:after="0" w:line="108" w:lineRule="exact"/>
        <w:rPr>
          <w:sz w:val="20"/>
          <w:szCs w:val="20"/>
          <w:color w:val="auto"/>
        </w:rPr>
      </w:pPr>
    </w:p>
    <w:p>
      <w:pPr>
        <w:jc w:val="both"/>
        <w:ind w:left="1620" w:right="419"/>
        <w:spacing w:after="0" w:line="242" w:lineRule="auto"/>
        <w:rPr>
          <w:sz w:val="20"/>
          <w:szCs w:val="20"/>
          <w:color w:val="auto"/>
        </w:rPr>
      </w:pPr>
      <w:r>
        <w:rPr>
          <w:rFonts w:ascii="Arial" w:cs="Arial" w:eastAsia="Arial" w:hAnsi="Arial"/>
          <w:sz w:val="18"/>
          <w:szCs w:val="18"/>
          <w:u w:val="single" w:color="auto"/>
          <w:color w:val="auto"/>
        </w:rPr>
        <w:t>Alpine Investment</w:t>
      </w:r>
      <w:r>
        <w:rPr>
          <w:rFonts w:ascii="Arial" w:cs="Arial" w:eastAsia="Arial" w:hAnsi="Arial"/>
          <w:sz w:val="18"/>
          <w:szCs w:val="18"/>
          <w:color w:val="auto"/>
        </w:rPr>
        <w:t>. We continued to successfully execute the current opportunistic growth and capital recycling strategy for Alpine, an externally advised, net-lease REIT managed by the Company that was formed in August 2019 and completed its initial public offering in November 2019. During 2025, Alpine acquired 13 net lease retail properties for total acquisition volume of $100.6 million, reflecting a weighted-average going-in cash cap rate of 7.4%, and originated $177.0 million of commercial loans and investments at a 12.0% weighted average initial yield (including paid-in-kind interest). Alpine also disposed of 21 investments (20 properties and one commercial loan) during 2025 for $82.8 million. Excluding three vacant properties sold for $5.3 million, the weighted average exit cap rate for dispositions was 8.3%. In 2025, Alpine also issued an additional 618,757 common shares under its ATM program at a weighted average price of $17.10 per share for net proceeds of $10.4 million, and repurchased 546,390 common shares for $8.8 million at a weighted average price of $16.07 per share. Further, on November 5, 2025, Alpine announced the pricing of a public offering of 2,000,000 shares of its 8.00% Series A Cumulative Redeemable Preferred Stock at a public offering price of $25.00. Subsequently, Alpine issued 83,328 preferred shares under its Series A Preferred Stock ATM offering program at a weighted average gross price of $24.96 per share for net proceeds of $2.0 million.</w:t>
      </w:r>
    </w:p>
    <w:p>
      <w:pPr>
        <w:spacing w:after="0" w:line="117" w:lineRule="exact"/>
        <w:rPr>
          <w:sz w:val="20"/>
          <w:szCs w:val="20"/>
          <w:color w:val="auto"/>
        </w:rPr>
      </w:pPr>
    </w:p>
    <w:p>
      <w:pPr>
        <w:jc w:val="both"/>
        <w:ind w:left="1620" w:right="419"/>
        <w:spacing w:after="0" w:line="256" w:lineRule="auto"/>
        <w:rPr>
          <w:sz w:val="20"/>
          <w:szCs w:val="20"/>
          <w:color w:val="auto"/>
        </w:rPr>
      </w:pPr>
      <w:r>
        <w:rPr>
          <w:rFonts w:ascii="Arial" w:cs="Arial" w:eastAsia="Arial" w:hAnsi="Arial"/>
          <w:sz w:val="18"/>
          <w:szCs w:val="18"/>
          <w:u w:val="single" w:color="auto"/>
          <w:color w:val="auto"/>
        </w:rPr>
        <w:t>Operations</w:t>
      </w:r>
      <w:r>
        <w:rPr>
          <w:rFonts w:ascii="Arial" w:cs="Arial" w:eastAsia="Arial" w:hAnsi="Arial"/>
          <w:sz w:val="18"/>
          <w:szCs w:val="18"/>
          <w:color w:val="auto"/>
        </w:rPr>
        <w:t>. We reported net income attributable to common stockholders of $0.08 per diluted share, and FFO, Core FFO and AFFO attributable to common stockholders per diluted share of $1.27, $1.87 and $1.97, respectively. We also signed over 670,000 square feet of retail leases, including 592,000 square feet of comparable retail leases at an average cash rent spread increase of 24% for 2025. This leasing activity helped drive leased occupancy up 250 bps year-over-year to 95.9% at year-end. Additionally, the leasing activity helped grow shopping center same property NOI by 4.4% in 2025 versus 2024.</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NEO Performance Evaluation and Annual Incentive Plan Computation</w:t>
      </w:r>
    </w:p>
    <w:p>
      <w:pPr>
        <w:spacing w:after="0" w:line="142" w:lineRule="exact"/>
        <w:rPr>
          <w:sz w:val="20"/>
          <w:szCs w:val="20"/>
          <w:color w:val="auto"/>
        </w:rPr>
      </w:pPr>
    </w:p>
    <w:p>
      <w:pPr>
        <w:jc w:val="both"/>
        <w:ind w:left="1260" w:right="419"/>
        <w:spacing w:after="0" w:line="257" w:lineRule="auto"/>
        <w:rPr>
          <w:sz w:val="20"/>
          <w:szCs w:val="20"/>
          <w:color w:val="auto"/>
        </w:rPr>
      </w:pPr>
      <w:r>
        <w:rPr>
          <w:rFonts w:ascii="Arial" w:cs="Arial" w:eastAsia="Arial" w:hAnsi="Arial"/>
          <w:sz w:val="18"/>
          <w:szCs w:val="18"/>
          <w:color w:val="auto"/>
        </w:rPr>
        <w:t>The Board evaluated Mr. Albright’s performance for 2025, including a review of the accomplishments described above. Upon the recommendation of the Compensation Committee, the Board determined that with respect to his annual incentive opportunity for 2025 under the Annual Incentive Plan,</w:t>
      </w:r>
    </w:p>
    <w:p>
      <w:pPr>
        <w:spacing w:after="0" w:line="1" w:lineRule="exact"/>
        <w:rPr>
          <w:sz w:val="20"/>
          <w:szCs w:val="20"/>
          <w:color w:val="auto"/>
        </w:rPr>
      </w:pPr>
    </w:p>
    <w:p>
      <w:pPr>
        <w:jc w:val="both"/>
        <w:ind w:left="1260" w:right="419"/>
        <w:spacing w:after="0" w:line="252" w:lineRule="auto"/>
        <w:tabs>
          <w:tab w:leader="none" w:pos="1514" w:val="left"/>
        </w:tabs>
        <w:numPr>
          <w:ilvl w:val="0"/>
          <w:numId w:val="35"/>
        </w:numPr>
        <w:rPr>
          <w:rFonts w:ascii="Arial" w:cs="Arial" w:eastAsia="Arial" w:hAnsi="Arial"/>
          <w:sz w:val="18"/>
          <w:szCs w:val="18"/>
          <w:color w:val="auto"/>
        </w:rPr>
      </w:pPr>
      <w:r>
        <w:rPr>
          <w:rFonts w:ascii="Arial" w:cs="Arial" w:eastAsia="Arial" w:hAnsi="Arial"/>
          <w:sz w:val="18"/>
          <w:szCs w:val="18"/>
          <w:color w:val="auto"/>
        </w:rPr>
        <w:t>Mr. Albright had earned 150% of target with respect to the objective Goals established at the beginning of 2025 (constituting 70% of his annual incentive compensation opportunity); and (ii) with respect to the strategic/qualitative/discretionary component (constituting the remaining 30% of his annual incentive compensation opportunity), Mr. Albright had earned 150% of target. The determination regarding the strategic/qualitative/discretionary component was based on a combination of factors including Net Debt + Preferred / Pro Forma Adjusted EBITDA as of year-end 2025, positive change to Same Store Leased Occupancy, and other subjective factors. The foregoing resulted in total payout under the Annual Incentive Plan for 2025 of 150% of his target award (constituting 75% of his maximum annual incentive compensation opportunity).</w:t>
      </w:r>
    </w:p>
    <w:p>
      <w:pPr>
        <w:spacing w:after="0" w:line="37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left="1260" w:right="419"/>
        <w:spacing w:after="0" w:line="265" w:lineRule="auto"/>
        <w:rPr>
          <w:sz w:val="20"/>
          <w:szCs w:val="20"/>
          <w:color w:val="auto"/>
        </w:rPr>
      </w:pPr>
      <w:r>
        <w:rPr>
          <w:rFonts w:ascii="Arial" w:cs="Arial" w:eastAsia="Arial" w:hAnsi="Arial"/>
          <w:sz w:val="18"/>
          <w:szCs w:val="18"/>
          <w:color w:val="auto"/>
        </w:rPr>
        <w:t>Mr. Albright reviewed Mr. Greathouse’s performance for 2025 with input from the Board. His most significant accomplishments and contributions to the Company’s success included his key role in leading the Company’s asset acquisition, loan origination and asset disposition efforts at both the Company and Alpine. He also led the asset management team with respect to oversight of management and leasing of the Company’s and Alpine’s existing investment portfolios. In February 2026, the Board, upon the recommendation of Mr. Albright and the Compensation Committee, determined that for 2025, Mr. Greathouse had earned 150% of target for the 70% of his annual incentive opportunity pertaining to the objective Goals established at the beginning of 2025, and 150% of target for the 30% of his annual incentive opportunity pertaining to strategic/qualitative/discretionary items, for a total payout under the Annual Incentive Plan for 2025 of 150% of his target award (constituting 75% of his maximum annual incentive compensation opportunity).</w:t>
      </w:r>
    </w:p>
    <w:p>
      <w:pPr>
        <w:spacing w:after="0" w:line="105" w:lineRule="exact"/>
        <w:rPr>
          <w:sz w:val="20"/>
          <w:szCs w:val="20"/>
          <w:color w:val="auto"/>
        </w:rPr>
      </w:pPr>
    </w:p>
    <w:p>
      <w:pPr>
        <w:jc w:val="both"/>
        <w:ind w:left="1260" w:right="359"/>
        <w:spacing w:after="0" w:line="280" w:lineRule="auto"/>
        <w:rPr>
          <w:sz w:val="20"/>
          <w:szCs w:val="20"/>
          <w:color w:val="auto"/>
        </w:rPr>
      </w:pPr>
      <w:r>
        <w:rPr>
          <w:rFonts w:ascii="Arial" w:cs="Arial" w:eastAsia="Arial" w:hAnsi="Arial"/>
          <w:sz w:val="17"/>
          <w:szCs w:val="17"/>
          <w:color w:val="auto"/>
        </w:rPr>
        <w:t>Mr. Albright reviewed Mr. Mays’ performance for 2025 with input from the Board. His most significant accomplishments and contributions to the Company’s success included his efforts to proactively manage the Company’s and Alpine’s balance sheets and liquidity, which included key transactions for both the Company and Alpine in the debt and equity markets; his continued consistent dialogue with investors and equity analysts, resulting in additional equity research coverage for both the Company and Alpine; and enhancements to the Company’s financial reporting framework, strategic planning and forecasting, and internal controls. In February 2026, the Board, upon the recommendation of Mr. Albright and the Compensation Committee, determined that for 2025, Mr. Mays had earned 150% of target for the 70% of his annual incentive opportunity pertaining to the objective Goals established at the beginning of 2025, and 150% of target for the 30% of his annual incentive opportunity pertaining to strategic/qualitative/​ discretionary items, for a total payout under the Annual Incentive Plan for 2025 of 150% of his target award (constituting 75% of his maximum annual incentive compensation opportunity).</w:t>
      </w:r>
    </w:p>
    <w:p>
      <w:pPr>
        <w:spacing w:after="0" w:line="112" w:lineRule="exact"/>
        <w:rPr>
          <w:sz w:val="20"/>
          <w:szCs w:val="20"/>
          <w:color w:val="auto"/>
        </w:rPr>
      </w:pPr>
    </w:p>
    <w:p>
      <w:pPr>
        <w:jc w:val="both"/>
        <w:ind w:left="1260" w:right="419"/>
        <w:spacing w:after="0" w:line="263" w:lineRule="auto"/>
        <w:rPr>
          <w:sz w:val="20"/>
          <w:szCs w:val="20"/>
          <w:color w:val="auto"/>
        </w:rPr>
      </w:pPr>
      <w:r>
        <w:rPr>
          <w:rFonts w:ascii="Arial" w:cs="Arial" w:eastAsia="Arial" w:hAnsi="Arial"/>
          <w:sz w:val="18"/>
          <w:szCs w:val="18"/>
          <w:color w:val="auto"/>
        </w:rPr>
        <w:t>Mr. Albright reviewed Mr. Smith’s performance for 2025 with input from the Board. His most significant accomplishments and contributions to the Company’s success included oversight of negotiation and successful execution of key transactions in collaboration with the executive team in support of the Company’s strategic objectives; his continued execution and development of the Company’s and Alpine’s public disclosures and corporate governance; and successful management of initiatives in connection with the Company’s growing employee base. In February 2026, the Board, upon the recommendation of Mr. Albright and the Compensation Committee, determined that for 2025, Mr. Smith had earned 150% of target for the 70% of his annual incentive opportunity pertaining to the objective Goals established at the beginning of 2025, and 150% of target for the 30% of his annual incentive opportunity pertaining to strategic/qualitative/discretionary items, for a total payout under the Annual Incentive Plan for 2025 of 150% of his target award (constituting 75% of his maximum annual incentive compensation opportunity).</w:t>
      </w:r>
    </w:p>
    <w:p>
      <w:pPr>
        <w:spacing w:after="0" w:line="113" w:lineRule="exact"/>
        <w:rPr>
          <w:sz w:val="20"/>
          <w:szCs w:val="20"/>
          <w:color w:val="auto"/>
        </w:rPr>
      </w:pPr>
    </w:p>
    <w:p>
      <w:pPr>
        <w:jc w:val="both"/>
        <w:ind w:left="1260" w:right="419"/>
        <w:spacing w:after="0" w:line="263" w:lineRule="auto"/>
        <w:rPr>
          <w:sz w:val="20"/>
          <w:szCs w:val="20"/>
          <w:color w:val="auto"/>
        </w:rPr>
      </w:pPr>
      <w:r>
        <w:rPr>
          <w:rFonts w:ascii="Arial" w:cs="Arial" w:eastAsia="Arial" w:hAnsi="Arial"/>
          <w:sz w:val="18"/>
          <w:szCs w:val="18"/>
          <w:color w:val="auto"/>
        </w:rPr>
        <w:t>Mr. Albright reviewed Ms. Vorakoun’s performance for 2025 with input from the Board. Her most significant accomplishments and contributions to the Company’s success included her oversight and continued execution and improvement of the Company’s and Alpine’s financial disclosures and internal controls environment. She also continued to successfully manage relationships with both external and internal auditors, and during 2025 maintained her responsibilities for the Company’s and Alpine’s cybersecurity matters, including continued implementation of ongoing Company-wide cybersecurity training. In February 2026, the Board, upon the recommendation of Mr. Albright and the Compensation Committee, determined that for 2025, Ms. Vorakoun had earned 150% of target for the 70% of her annual incentive opportunity pertaining to the objective Goals established at the beginning of 2025, and 150% of target for the 30% of her annual incentive opportunity pertaining to strategic/qualitative/discretionary items, for a total payout under the Annual Incentive Plan for 2025 of 150% of her target award (constituting 75% of her maximum annual incentive compensation opportunity).</w:t>
      </w:r>
    </w:p>
    <w:p>
      <w:pPr>
        <w:spacing w:after="0" w:line="116" w:lineRule="exact"/>
        <w:rPr>
          <w:sz w:val="20"/>
          <w:szCs w:val="20"/>
          <w:color w:val="auto"/>
        </w:rPr>
      </w:pPr>
    </w:p>
    <w:p>
      <w:pPr>
        <w:jc w:val="both"/>
        <w:ind w:left="1260" w:right="419"/>
        <w:spacing w:after="0" w:line="303" w:lineRule="auto"/>
        <w:rPr>
          <w:sz w:val="20"/>
          <w:szCs w:val="20"/>
          <w:color w:val="auto"/>
        </w:rPr>
      </w:pPr>
      <w:r>
        <w:rPr>
          <w:rFonts w:ascii="Arial" w:cs="Arial" w:eastAsia="Arial" w:hAnsi="Arial"/>
          <w:sz w:val="18"/>
          <w:szCs w:val="18"/>
          <w:color w:val="auto"/>
        </w:rPr>
        <w:t>The table below sets forth the actual awards earned by each of the NEOs under the Annual Incentive Plan based on their achievements during 2025.</w:t>
      </w:r>
    </w:p>
    <w:p>
      <w:pPr>
        <w:sectPr>
          <w:pgSz w:w="11900" w:h="16838" w:orient="portrait"/>
          <w:cols w:equalWidth="0" w:num="1">
            <w:col w:w="9879"/>
          </w:cols>
          <w:pgMar w:left="580" w:top="97" w:right="1440" w:bottom="1440" w:gutter="0" w:footer="0" w:header="0"/>
        </w:sectPr>
      </w:pPr>
    </w:p>
    <w:p>
      <w:pPr>
        <w:spacing w:after="0" w:line="328"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ind w:left="20"/>
              <w:spacing w:after="0"/>
              <w:rPr>
                <w:sz w:val="20"/>
                <w:szCs w:val="20"/>
                <w:color w:val="auto"/>
              </w:rPr>
            </w:pPr>
            <w:r>
              <w:rPr>
                <w:rFonts w:ascii="Arial" w:cs="Arial" w:eastAsia="Arial" w:hAnsi="Arial"/>
                <w:sz w:val="14"/>
                <w:szCs w:val="14"/>
                <w:b w:val="1"/>
                <w:bCs w:val="1"/>
                <w:color w:val="auto"/>
              </w:rPr>
              <w:t>2025 Target</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b w:val="1"/>
                <w:bCs w:val="1"/>
                <w:color w:val="auto"/>
              </w:rPr>
              <w:t>2025 Actual</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2025 Actual</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2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20"/>
                <w:szCs w:val="20"/>
                <w:color w:val="auto"/>
              </w:rPr>
            </w:pPr>
            <w:r>
              <w:rPr>
                <w:rFonts w:ascii="Arial" w:cs="Arial" w:eastAsia="Arial" w:hAnsi="Arial"/>
                <w:sz w:val="14"/>
                <w:szCs w:val="14"/>
                <w:b w:val="1"/>
                <w:bCs w:val="1"/>
                <w:color w:val="auto"/>
              </w:rPr>
              <w:t>Award (% of</w:t>
            </w:r>
          </w:p>
        </w:tc>
        <w:tc>
          <w:tcPr>
            <w:tcW w:w="220" w:type="dxa"/>
            <w:vAlign w:val="bottom"/>
          </w:tcPr>
          <w:p>
            <w:pPr>
              <w:spacing w:after="0"/>
              <w:rPr>
                <w:sz w:val="14"/>
                <w:szCs w:val="14"/>
                <w:color w:val="auto"/>
              </w:rPr>
            </w:pPr>
          </w:p>
        </w:tc>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2025 Target</w:t>
            </w: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Award (% of</w:t>
            </w:r>
          </w:p>
        </w:tc>
        <w:tc>
          <w:tcPr>
            <w:tcW w:w="11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Award (% of</w:t>
            </w:r>
          </w:p>
        </w:tc>
        <w:tc>
          <w:tcPr>
            <w:tcW w:w="200" w:type="dxa"/>
            <w:vAlign w:val="bottom"/>
          </w:tcPr>
          <w:p>
            <w:pPr>
              <w:spacing w:after="0"/>
              <w:rPr>
                <w:sz w:val="14"/>
                <w:szCs w:val="14"/>
                <w:color w:val="auto"/>
              </w:rPr>
            </w:pPr>
          </w:p>
        </w:tc>
        <w:tc>
          <w:tcPr>
            <w:tcW w:w="740" w:type="dxa"/>
            <w:vAlign w:val="bottom"/>
          </w:tcPr>
          <w:p>
            <w:pPr>
              <w:jc w:val="right"/>
              <w:ind w:right="234"/>
              <w:spacing w:after="0"/>
              <w:rPr>
                <w:sz w:val="20"/>
                <w:szCs w:val="20"/>
                <w:color w:val="auto"/>
              </w:rPr>
            </w:pPr>
            <w:r>
              <w:rPr>
                <w:rFonts w:ascii="Arial" w:cs="Arial" w:eastAsia="Arial" w:hAnsi="Arial"/>
                <w:sz w:val="14"/>
                <w:szCs w:val="14"/>
                <w:b w:val="1"/>
                <w:bCs w:val="1"/>
                <w:color w:val="auto"/>
              </w:rPr>
              <w:t>2025</w:t>
            </w:r>
          </w:p>
        </w:tc>
        <w:tc>
          <w:tcPr>
            <w:tcW w:w="60" w:type="dxa"/>
            <w:vAlign w:val="bottom"/>
          </w:tcPr>
          <w:p>
            <w:pPr>
              <w:spacing w:after="0"/>
              <w:rPr>
                <w:sz w:val="14"/>
                <w:szCs w:val="14"/>
                <w:color w:val="auto"/>
              </w:rPr>
            </w:pPr>
          </w:p>
        </w:tc>
      </w:tr>
      <w:tr>
        <w:trPr>
          <w:trHeight w:val="197"/>
        </w:trPr>
        <w:tc>
          <w:tcPr>
            <w:tcW w:w="2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Officer</w:t>
            </w:r>
          </w:p>
        </w:tc>
        <w:tc>
          <w:tcPr>
            <w:tcW w:w="22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9"/>
              </w:rPr>
              <w:t>Base Salary)</w:t>
            </w:r>
          </w:p>
        </w:tc>
        <w:tc>
          <w:tcPr>
            <w:tcW w:w="22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Award</w:t>
            </w:r>
          </w:p>
        </w:tc>
        <w:tc>
          <w:tcPr>
            <w:tcW w:w="2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Base Salary)</w:t>
            </w:r>
          </w:p>
        </w:tc>
        <w:tc>
          <w:tcPr>
            <w:tcW w:w="22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Target Award)</w:t>
            </w:r>
          </w:p>
        </w:tc>
        <w:tc>
          <w:tcPr>
            <w:tcW w:w="22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Actual Award</w:t>
            </w:r>
          </w:p>
        </w:tc>
        <w:tc>
          <w:tcPr>
            <w:tcW w:w="60" w:type="dxa"/>
            <w:vAlign w:val="bottom"/>
          </w:tcPr>
          <w:p>
            <w:pPr>
              <w:spacing w:after="0"/>
              <w:rPr>
                <w:sz w:val="17"/>
                <w:szCs w:val="17"/>
                <w:color w:val="auto"/>
              </w:rPr>
            </w:pPr>
          </w:p>
        </w:tc>
      </w:tr>
      <w:tr>
        <w:trPr>
          <w:trHeight w:val="251"/>
        </w:trPr>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P. Albright</w:t>
            </w:r>
          </w:p>
        </w:tc>
        <w:tc>
          <w:tcPr>
            <w:tcW w:w="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​95%</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​$826,500 ​</w:t>
            </w:r>
          </w:p>
        </w:tc>
        <w:tc>
          <w:tcPr>
            <w:tcW w:w="1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​142.5% ​</w:t>
            </w: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​150.0% ​</w:t>
            </w:r>
          </w:p>
        </w:tc>
        <w:tc>
          <w:tcPr>
            <w:tcW w:w="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​$1,239,750</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2820" w:type="dxa"/>
            <w:vAlign w:val="bottom"/>
            <w:gridSpan w:val="2"/>
          </w:tcPr>
          <w:p>
            <w:pPr>
              <w:spacing w:after="0"/>
              <w:rPr>
                <w:sz w:val="20"/>
                <w:szCs w:val="20"/>
                <w:color w:val="auto"/>
              </w:rPr>
            </w:pPr>
            <w:r>
              <w:rPr>
                <w:rFonts w:ascii="Arial" w:cs="Arial" w:eastAsia="Arial" w:hAnsi="Arial"/>
                <w:sz w:val="18"/>
                <w:szCs w:val="18"/>
                <w:color w:val="auto"/>
              </w:rPr>
              <w:t>Steven R. Greathouse</w:t>
            </w:r>
          </w:p>
        </w:tc>
        <w:tc>
          <w:tcPr>
            <w:tcW w:w="880" w:type="dxa"/>
            <w:vAlign w:val="bottom"/>
          </w:tcPr>
          <w:p>
            <w:pPr>
              <w:ind w:left="340"/>
              <w:spacing w:after="0"/>
              <w:rPr>
                <w:sz w:val="20"/>
                <w:szCs w:val="20"/>
                <w:color w:val="auto"/>
              </w:rPr>
            </w:pPr>
            <w:r>
              <w:rPr>
                <w:rFonts w:ascii="Arial" w:cs="Arial" w:eastAsia="Arial" w:hAnsi="Arial"/>
                <w:sz w:val="18"/>
                <w:szCs w:val="18"/>
                <w:color w:val="auto"/>
              </w:rPr>
              <w:t>​75%</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20"/>
              <w:spacing w:after="0"/>
              <w:rPr>
                <w:sz w:val="20"/>
                <w:szCs w:val="20"/>
                <w:color w:val="auto"/>
              </w:rPr>
            </w:pPr>
            <w:r>
              <w:rPr>
                <w:rFonts w:ascii="Arial" w:cs="Arial" w:eastAsia="Arial" w:hAnsi="Arial"/>
                <w:sz w:val="18"/>
                <w:szCs w:val="18"/>
                <w:color w:val="auto"/>
              </w:rPr>
              <w:t>​$390,000 ​</w:t>
            </w:r>
          </w:p>
        </w:tc>
        <w:tc>
          <w:tcPr>
            <w:tcW w:w="1120" w:type="dxa"/>
            <w:vAlign w:val="bottom"/>
            <w:gridSpan w:val="2"/>
          </w:tcPr>
          <w:p>
            <w:pPr>
              <w:ind w:left="220"/>
              <w:spacing w:after="0"/>
              <w:rPr>
                <w:sz w:val="20"/>
                <w:szCs w:val="20"/>
                <w:color w:val="auto"/>
              </w:rPr>
            </w:pPr>
            <w:r>
              <w:rPr>
                <w:rFonts w:ascii="Arial" w:cs="Arial" w:eastAsia="Arial" w:hAnsi="Arial"/>
                <w:sz w:val="18"/>
                <w:szCs w:val="18"/>
                <w:color w:val="auto"/>
              </w:rPr>
              <w:t>​112.5% ​</w:t>
            </w:r>
          </w:p>
        </w:tc>
        <w:tc>
          <w:tcPr>
            <w:tcW w:w="1180" w:type="dxa"/>
            <w:vAlign w:val="bottom"/>
            <w:gridSpan w:val="3"/>
          </w:tcPr>
          <w:p>
            <w:pPr>
              <w:jc w:val="right"/>
              <w:ind w:right="160"/>
              <w:spacing w:after="0"/>
              <w:rPr>
                <w:sz w:val="20"/>
                <w:szCs w:val="20"/>
                <w:color w:val="auto"/>
              </w:rPr>
            </w:pPr>
            <w:r>
              <w:rPr>
                <w:rFonts w:ascii="Arial" w:cs="Arial" w:eastAsia="Arial" w:hAnsi="Arial"/>
                <w:sz w:val="18"/>
                <w:szCs w:val="18"/>
                <w:color w:val="auto"/>
              </w:rPr>
              <w:t>​150.0% ​</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585,000​</w:t>
            </w:r>
          </w:p>
        </w:tc>
      </w:tr>
      <w:tr>
        <w:trPr>
          <w:trHeight w:val="257"/>
        </w:trPr>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Philip R. Mays</w:t>
            </w:r>
          </w:p>
        </w:tc>
        <w:tc>
          <w:tcPr>
            <w:tcW w:w="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​75%</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​$ 311,250 ​</w:t>
            </w:r>
          </w:p>
        </w:tc>
        <w:tc>
          <w:tcPr>
            <w:tcW w:w="1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​112.5% ​</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466,875</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2820" w:type="dxa"/>
            <w:vAlign w:val="bottom"/>
            <w:gridSpan w:val="2"/>
          </w:tcPr>
          <w:p>
            <w:pPr>
              <w:spacing w:after="0"/>
              <w:rPr>
                <w:sz w:val="20"/>
                <w:szCs w:val="20"/>
                <w:color w:val="auto"/>
              </w:rPr>
            </w:pPr>
            <w:r>
              <w:rPr>
                <w:rFonts w:ascii="Arial" w:cs="Arial" w:eastAsia="Arial" w:hAnsi="Arial"/>
                <w:sz w:val="18"/>
                <w:szCs w:val="18"/>
                <w:color w:val="auto"/>
              </w:rPr>
              <w:t>Daniel E. Smith</w:t>
            </w:r>
          </w:p>
        </w:tc>
        <w:tc>
          <w:tcPr>
            <w:tcW w:w="880" w:type="dxa"/>
            <w:vAlign w:val="bottom"/>
          </w:tcPr>
          <w:p>
            <w:pPr>
              <w:ind w:left="340"/>
              <w:spacing w:after="0"/>
              <w:rPr>
                <w:sz w:val="20"/>
                <w:szCs w:val="20"/>
                <w:color w:val="auto"/>
              </w:rPr>
            </w:pPr>
            <w:r>
              <w:rPr>
                <w:rFonts w:ascii="Arial" w:cs="Arial" w:eastAsia="Arial" w:hAnsi="Arial"/>
                <w:sz w:val="18"/>
                <w:szCs w:val="18"/>
                <w:color w:val="auto"/>
              </w:rPr>
              <w:t>​75%</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20"/>
              <w:spacing w:after="0"/>
              <w:rPr>
                <w:sz w:val="20"/>
                <w:szCs w:val="20"/>
                <w:color w:val="auto"/>
              </w:rPr>
            </w:pPr>
            <w:r>
              <w:rPr>
                <w:rFonts w:ascii="Arial" w:cs="Arial" w:eastAsia="Arial" w:hAnsi="Arial"/>
                <w:sz w:val="18"/>
                <w:szCs w:val="18"/>
                <w:color w:val="auto"/>
              </w:rPr>
              <w:t>​$251,250 ​</w:t>
            </w:r>
          </w:p>
        </w:tc>
        <w:tc>
          <w:tcPr>
            <w:tcW w:w="1120" w:type="dxa"/>
            <w:vAlign w:val="bottom"/>
            <w:gridSpan w:val="2"/>
          </w:tcPr>
          <w:p>
            <w:pPr>
              <w:ind w:left="220"/>
              <w:spacing w:after="0"/>
              <w:rPr>
                <w:sz w:val="20"/>
                <w:szCs w:val="20"/>
                <w:color w:val="auto"/>
              </w:rPr>
            </w:pPr>
            <w:r>
              <w:rPr>
                <w:rFonts w:ascii="Arial" w:cs="Arial" w:eastAsia="Arial" w:hAnsi="Arial"/>
                <w:sz w:val="18"/>
                <w:szCs w:val="18"/>
                <w:color w:val="auto"/>
              </w:rPr>
              <w:t>​112.5% ​</w:t>
            </w:r>
          </w:p>
        </w:tc>
        <w:tc>
          <w:tcPr>
            <w:tcW w:w="920" w:type="dxa"/>
            <w:vAlign w:val="bottom"/>
          </w:tcPr>
          <w:p>
            <w:pPr>
              <w:jc w:val="right"/>
              <w:spacing w:after="0"/>
              <w:rPr>
                <w:sz w:val="20"/>
                <w:szCs w:val="20"/>
                <w:color w:val="auto"/>
              </w:rPr>
            </w:pPr>
            <w:r>
              <w:rPr>
                <w:rFonts w:ascii="Arial" w:cs="Arial" w:eastAsia="Arial" w:hAnsi="Arial"/>
                <w:sz w:val="18"/>
                <w:szCs w:val="18"/>
                <w:color w:val="auto"/>
              </w:rPr>
              <w:t>​150.0%</w:t>
            </w:r>
          </w:p>
        </w:tc>
        <w:tc>
          <w:tcPr>
            <w:tcW w:w="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376,875​</w:t>
            </w:r>
          </w:p>
        </w:tc>
      </w:tr>
      <w:tr>
        <w:trPr>
          <w:trHeight w:val="270"/>
        </w:trPr>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Lisa M. Vorakoun</w:t>
            </w:r>
          </w:p>
        </w:tc>
        <w:tc>
          <w:tcPr>
            <w:tcW w:w="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​75%</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​$225,000 ​</w:t>
            </w:r>
          </w:p>
        </w:tc>
        <w:tc>
          <w:tcPr>
            <w:tcW w:w="1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​112.5% ​</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337,500</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5274945</wp:posOffset>
            </wp:positionH>
            <wp:positionV relativeFrom="paragraph">
              <wp:posOffset>-831215</wp:posOffset>
            </wp:positionV>
            <wp:extent cx="13716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4520565</wp:posOffset>
            </wp:positionH>
            <wp:positionV relativeFrom="paragraph">
              <wp:posOffset>-831215</wp:posOffset>
            </wp:positionV>
            <wp:extent cx="13716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3817620</wp:posOffset>
            </wp:positionH>
            <wp:positionV relativeFrom="paragraph">
              <wp:posOffset>-831215</wp:posOffset>
            </wp:positionV>
            <wp:extent cx="13716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3148965</wp:posOffset>
            </wp:positionH>
            <wp:positionV relativeFrom="paragraph">
              <wp:posOffset>-831215</wp:posOffset>
            </wp:positionV>
            <wp:extent cx="13716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2454275</wp:posOffset>
            </wp:positionH>
            <wp:positionV relativeFrom="paragraph">
              <wp:posOffset>-831215</wp:posOffset>
            </wp:positionV>
            <wp:extent cx="13716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10" w:lineRule="exact"/>
        <w:rPr>
          <w:sz w:val="20"/>
          <w:szCs w:val="20"/>
          <w:color w:val="auto"/>
        </w:rPr>
      </w:pPr>
    </w:p>
    <w:p>
      <w:pPr>
        <w:jc w:val="both"/>
        <w:ind w:left="1260" w:right="419"/>
        <w:spacing w:after="0" w:line="256" w:lineRule="auto"/>
        <w:rPr>
          <w:sz w:val="20"/>
          <w:szCs w:val="20"/>
          <w:color w:val="auto"/>
        </w:rPr>
      </w:pPr>
      <w:r>
        <w:rPr>
          <w:rFonts w:ascii="Arial" w:cs="Arial" w:eastAsia="Arial" w:hAnsi="Arial"/>
          <w:sz w:val="18"/>
          <w:szCs w:val="18"/>
          <w:b w:val="1"/>
          <w:bCs w:val="1"/>
          <w:i w:val="1"/>
          <w:iCs w:val="1"/>
          <w:u w:val="single" w:color="auto"/>
          <w:color w:val="auto"/>
        </w:rPr>
        <w:t>Equity Compensation</w:t>
      </w:r>
      <w:r>
        <w:rPr>
          <w:rFonts w:ascii="Arial" w:cs="Arial" w:eastAsia="Arial" w:hAnsi="Arial"/>
          <w:sz w:val="18"/>
          <w:szCs w:val="18"/>
          <w:color w:val="auto"/>
        </w:rPr>
        <w:t>. The 2010 Plan was originally adopted by the Board and approved by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stockholders in 2010, and was most recently amended by the Board and the Company’s stockholders in 2023. Awards under the 2010 Plan are approved by the Compensation Committee. The 2010 Plan provides the Compensation Committee with flexibility to design compensatory awards that are responsive to the Company’s needs and to determine the terms of each award. The Board and the Compensation Committee intend for the 2010 Plan to be the primary vehicle for providing long-term compensation to and retention of its NEOs and other key managers in the near-term.</w:t>
      </w:r>
    </w:p>
    <w:p>
      <w:pPr>
        <w:spacing w:after="0" w:line="115" w:lineRule="exact"/>
        <w:rPr>
          <w:sz w:val="20"/>
          <w:szCs w:val="20"/>
          <w:color w:val="auto"/>
        </w:rPr>
      </w:pPr>
    </w:p>
    <w:p>
      <w:pPr>
        <w:jc w:val="both"/>
        <w:ind w:left="1260" w:right="399"/>
        <w:spacing w:after="0" w:line="262" w:lineRule="auto"/>
        <w:rPr>
          <w:sz w:val="20"/>
          <w:szCs w:val="20"/>
          <w:color w:val="auto"/>
        </w:rPr>
      </w:pPr>
      <w:r>
        <w:rPr>
          <w:rFonts w:ascii="Arial" w:cs="Arial" w:eastAsia="Arial" w:hAnsi="Arial"/>
          <w:sz w:val="18"/>
          <w:szCs w:val="18"/>
          <w:color w:val="auto"/>
        </w:rPr>
        <w:t>The long-term incentive component of our executive compensation program typically employs a combination of two types of equity awards — Performance Shares and Time-Based Restricted Stock —  which are normally awarded to our NEOs near the beginning of each year, in approximately the percentages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937260</wp:posOffset>
            </wp:positionH>
            <wp:positionV relativeFrom="paragraph">
              <wp:posOffset>98425</wp:posOffset>
            </wp:positionV>
            <wp:extent cx="4937760" cy="21945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937760" cy="2194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left="1260" w:right="419"/>
        <w:spacing w:after="0" w:line="262" w:lineRule="auto"/>
        <w:rPr>
          <w:sz w:val="20"/>
          <w:szCs w:val="20"/>
          <w:color w:val="auto"/>
        </w:rPr>
      </w:pPr>
      <w:r>
        <w:rPr>
          <w:rFonts w:ascii="Arial" w:cs="Arial" w:eastAsia="Arial" w:hAnsi="Arial"/>
          <w:sz w:val="18"/>
          <w:szCs w:val="18"/>
          <w:color w:val="auto"/>
        </w:rPr>
        <w:t>In addition, the Compensation Committee will, in its discretion, occasionally grant off-cycle incentive equity awards, including to new employees to ensure their alignment with the Company’s stockholders, and to existing employees for retention purposes. No off-cycle incentive equity awards were made to executive officers in 2025.</w:t>
      </w:r>
    </w:p>
    <w:p>
      <w:pPr>
        <w:spacing w:after="0" w:line="109" w:lineRule="exact"/>
        <w:rPr>
          <w:sz w:val="20"/>
          <w:szCs w:val="20"/>
          <w:color w:val="auto"/>
        </w:rPr>
      </w:pPr>
    </w:p>
    <w:p>
      <w:pPr>
        <w:jc w:val="both"/>
        <w:ind w:left="1260" w:right="359"/>
        <w:spacing w:after="0" w:line="274" w:lineRule="auto"/>
        <w:rPr>
          <w:sz w:val="20"/>
          <w:szCs w:val="20"/>
          <w:color w:val="auto"/>
        </w:rPr>
      </w:pPr>
      <w:r>
        <w:rPr>
          <w:rFonts w:ascii="Arial" w:cs="Arial" w:eastAsia="Arial" w:hAnsi="Arial"/>
          <w:sz w:val="17"/>
          <w:szCs w:val="17"/>
          <w:i w:val="1"/>
          <w:iCs w:val="1"/>
          <w:color w:val="auto"/>
        </w:rPr>
        <w:t xml:space="preserve">Performance Shares. </w:t>
      </w:r>
      <w:r>
        <w:rPr>
          <w:rFonts w:ascii="Arial" w:cs="Arial" w:eastAsia="Arial" w:hAnsi="Arial"/>
          <w:sz w:val="17"/>
          <w:szCs w:val="17"/>
          <w:color w:val="auto"/>
        </w:rPr>
        <w:t>Performance Share award recipients are eligible to vest in and receive shares of</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Company’s common stock based on the Company’s TSR during a three-year performance period relative to an established comparison group of companies (“Relative TSR”). Each award of Performance Shares stipulates an initial target number of shares, and the recipient is eligible to receive, at the end of the performance period, a percentage of the target number of shares based on the achievement of threshold, target, and maximum Relative TSR percentile goals. The threshold, target, and outperform/​ maximum Relative TSR percentile goals for the 2025 awards are set forth in the table below.</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840"/>
        <w:spacing w:after="0"/>
        <w:rPr>
          <w:sz w:val="20"/>
          <w:szCs w:val="20"/>
          <w:color w:val="auto"/>
        </w:rPr>
      </w:pPr>
      <w:r>
        <w:rPr>
          <w:rFonts w:ascii="Arial" w:cs="Arial" w:eastAsia="Arial" w:hAnsi="Arial"/>
          <w:sz w:val="14"/>
          <w:szCs w:val="14"/>
          <w:b w:val="1"/>
          <w:bCs w:val="1"/>
          <w:color w:val="auto"/>
        </w:rPr>
        <w:t>2025 PERFORMANCE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32385</wp:posOffset>
            </wp:positionV>
            <wp:extent cx="52120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76" w:lineRule="exact"/>
        <w:rPr>
          <w:sz w:val="20"/>
          <w:szCs w:val="20"/>
          <w:color w:val="auto"/>
        </w:rPr>
      </w:pPr>
    </w:p>
    <w:p>
      <w:pPr>
        <w:jc w:val="center"/>
        <w:ind w:right="-860"/>
        <w:spacing w:after="0"/>
        <w:rPr>
          <w:sz w:val="20"/>
          <w:szCs w:val="20"/>
          <w:color w:val="auto"/>
        </w:rPr>
      </w:pPr>
      <w:r>
        <w:rPr>
          <w:rFonts w:ascii="Arial" w:cs="Arial" w:eastAsia="Arial" w:hAnsi="Arial"/>
          <w:sz w:val="14"/>
          <w:szCs w:val="14"/>
          <w:b w:val="1"/>
          <w:bCs w:val="1"/>
          <w:color w:val="auto"/>
        </w:rPr>
        <w:t>RELATIVE TSR PERCENTILE GOALS AND PAYOUT PERCENTAGES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32385</wp:posOffset>
            </wp:positionV>
            <wp:extent cx="52120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7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628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Relative TSR</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8"/>
              </w:rPr>
              <w:t>Payout</w:t>
            </w:r>
          </w:p>
        </w:tc>
        <w:tc>
          <w:tcPr>
            <w:tcW w:w="60" w:type="dxa"/>
            <w:vAlign w:val="bottom"/>
          </w:tcPr>
          <w:p>
            <w:pPr>
              <w:spacing w:after="0"/>
              <w:rPr>
                <w:sz w:val="14"/>
                <w:szCs w:val="14"/>
                <w:color w:val="auto"/>
              </w:rPr>
            </w:pPr>
          </w:p>
        </w:tc>
      </w:tr>
      <w:tr>
        <w:trPr>
          <w:trHeight w:val="197"/>
        </w:trPr>
        <w:tc>
          <w:tcPr>
            <w:tcW w:w="628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Percentile</w:t>
            </w: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Percentage</w:t>
            </w:r>
          </w:p>
        </w:tc>
        <w:tc>
          <w:tcPr>
            <w:tcW w:w="60" w:type="dxa"/>
            <w:vAlign w:val="bottom"/>
          </w:tcPr>
          <w:p>
            <w:pPr>
              <w:spacing w:after="0"/>
              <w:rPr>
                <w:sz w:val="17"/>
                <w:szCs w:val="17"/>
                <w:color w:val="auto"/>
              </w:rPr>
            </w:pPr>
          </w:p>
        </w:tc>
      </w:tr>
      <w:tr>
        <w:trPr>
          <w:trHeight w:val="265"/>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Threshold</w:t>
            </w:r>
          </w:p>
        </w:tc>
        <w:tc>
          <w:tcPr>
            <w:tcW w:w="900" w:type="dxa"/>
            <w:vAlign w:val="bottom"/>
            <w:shd w:val="clear" w:color="auto" w:fill="CCEEFF"/>
          </w:tcPr>
          <w:p>
            <w:pPr>
              <w:jc w:val="center"/>
              <w:spacing w:after="0" w:line="265"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34</w:t>
            </w:r>
            <w:r>
              <w:rPr>
                <w:rFonts w:ascii="Arial" w:cs="Arial" w:eastAsia="Arial" w:hAnsi="Arial"/>
                <w:sz w:val="23"/>
                <w:szCs w:val="23"/>
                <w:color w:val="auto"/>
                <w:vertAlign w:val="superscript"/>
              </w:rPr>
              <w:t>th</w:t>
            </w:r>
          </w:p>
        </w:tc>
        <w:tc>
          <w:tcPr>
            <w:tcW w:w="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 50%</w:t>
            </w: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70"/>
        </w:trPr>
        <w:tc>
          <w:tcPr>
            <w:tcW w:w="6280" w:type="dxa"/>
            <w:vAlign w:val="bottom"/>
          </w:tcPr>
          <w:p>
            <w:pPr>
              <w:spacing w:after="0"/>
              <w:rPr>
                <w:sz w:val="20"/>
                <w:szCs w:val="20"/>
                <w:color w:val="auto"/>
              </w:rPr>
            </w:pPr>
            <w:r>
              <w:rPr>
                <w:rFonts w:ascii="Arial" w:cs="Arial" w:eastAsia="Arial" w:hAnsi="Arial"/>
                <w:sz w:val="18"/>
                <w:szCs w:val="18"/>
                <w:color w:val="auto"/>
              </w:rPr>
              <w:t>Target</w:t>
            </w:r>
          </w:p>
        </w:tc>
        <w:tc>
          <w:tcPr>
            <w:tcW w:w="900" w:type="dxa"/>
            <w:vAlign w:val="bottom"/>
          </w:tcPr>
          <w:p>
            <w:pPr>
              <w:jc w:val="center"/>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51</w:t>
            </w:r>
            <w:r>
              <w:rPr>
                <w:rFonts w:ascii="Arial" w:cs="Arial" w:eastAsia="Arial" w:hAnsi="Arial"/>
                <w:sz w:val="23"/>
                <w:szCs w:val="23"/>
                <w:color w:val="auto"/>
                <w:vertAlign w:val="superscript"/>
              </w:rPr>
              <w:t>st</w:t>
            </w:r>
          </w:p>
        </w:tc>
        <w:tc>
          <w:tcPr>
            <w:tcW w:w="2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780" w:type="dxa"/>
            <w:vAlign w:val="bottom"/>
          </w:tcPr>
          <w:p>
            <w:pPr>
              <w:ind w:left="240"/>
              <w:spacing w:after="0"/>
              <w:rPr>
                <w:sz w:val="20"/>
                <w:szCs w:val="20"/>
                <w:color w:val="auto"/>
              </w:rPr>
            </w:pPr>
            <w:r>
              <w:rPr>
                <w:rFonts w:ascii="Arial" w:cs="Arial" w:eastAsia="Arial" w:hAnsi="Arial"/>
                <w:sz w:val="18"/>
                <w:szCs w:val="18"/>
                <w:color w:val="auto"/>
              </w:rPr>
              <w:t>​100%</w:t>
            </w: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70"/>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Maximum</w:t>
            </w:r>
          </w:p>
        </w:tc>
        <w:tc>
          <w:tcPr>
            <w:tcW w:w="900" w:type="dxa"/>
            <w:vAlign w:val="bottom"/>
            <w:shd w:val="clear" w:color="auto" w:fill="CCEEFF"/>
          </w:tcPr>
          <w:p>
            <w:pPr>
              <w:jc w:val="center"/>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67</w:t>
            </w:r>
            <w:r>
              <w:rPr>
                <w:rFonts w:ascii="Arial" w:cs="Arial" w:eastAsia="Arial" w:hAnsi="Arial"/>
                <w:sz w:val="23"/>
                <w:szCs w:val="23"/>
                <w:color w:val="auto"/>
                <w:vertAlign w:val="superscript"/>
              </w:rPr>
              <w:t>th</w:t>
            </w:r>
          </w:p>
        </w:tc>
        <w:tc>
          <w:tcPr>
            <w:tcW w:w="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​150%</w:t>
            </w:r>
          </w:p>
        </w:tc>
        <w:tc>
          <w:tcPr>
            <w:tcW w:w="60" w:type="dxa"/>
            <w:vAlign w:val="bottom"/>
          </w:tcPr>
          <w:p>
            <w:pPr>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-522605</wp:posOffset>
            </wp:positionV>
            <wp:extent cx="470598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705985" cy="8890"/>
                    </a:xfrm>
                    <a:prstGeom prst="rect">
                      <a:avLst/>
                    </a:prstGeom>
                    <a:noFill/>
                  </pic:spPr>
                </pic:pic>
              </a:graphicData>
            </a:graphic>
          </wp:anchor>
        </w:drawing>
      </w:r>
    </w:p>
    <w:p>
      <w:pPr>
        <w:spacing w:after="0" w:line="110"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 xml:space="preserve">Performance Period:  </w:t>
      </w:r>
      <w:r>
        <w:rPr>
          <w:rFonts w:ascii="Arial" w:cs="Arial" w:eastAsia="Arial" w:hAnsi="Arial"/>
          <w:sz w:val="18"/>
          <w:szCs w:val="18"/>
          <w:color w:val="auto"/>
        </w:rPr>
        <w:t>January 1, 2025 to December 31, 2027</w:t>
      </w:r>
    </w:p>
    <w:p>
      <w:pPr>
        <w:spacing w:after="0" w:line="144" w:lineRule="exact"/>
        <w:rPr>
          <w:sz w:val="20"/>
          <w:szCs w:val="20"/>
          <w:color w:val="auto"/>
        </w:rPr>
      </w:pPr>
    </w:p>
    <w:p>
      <w:pPr>
        <w:ind w:left="1260"/>
        <w:spacing w:after="0"/>
        <w:tabs>
          <w:tab w:leader="none" w:pos="2960" w:val="left"/>
        </w:tabs>
        <w:rPr>
          <w:sz w:val="20"/>
          <w:szCs w:val="20"/>
          <w:color w:val="auto"/>
        </w:rPr>
      </w:pPr>
      <w:r>
        <w:rPr>
          <w:rFonts w:ascii="Arial" w:cs="Arial" w:eastAsia="Arial" w:hAnsi="Arial"/>
          <w:sz w:val="18"/>
          <w:szCs w:val="18"/>
          <w:i w:val="1"/>
          <w:iCs w:val="1"/>
          <w:color w:val="auto"/>
        </w:rPr>
        <w:t>Comparison Group:</w:t>
      </w:r>
      <w:r>
        <w:rPr>
          <w:sz w:val="20"/>
          <w:szCs w:val="20"/>
          <w:color w:val="auto"/>
        </w:rPr>
        <w:tab/>
      </w:r>
      <w:r>
        <w:rPr>
          <w:rFonts w:ascii="Arial" w:cs="Arial" w:eastAsia="Arial" w:hAnsi="Arial"/>
          <w:sz w:val="17"/>
          <w:szCs w:val="17"/>
          <w:color w:val="auto"/>
        </w:rPr>
        <w:t>Constituent companies of the Index as of January 1, 2025</w:t>
      </w:r>
    </w:p>
    <w:p>
      <w:pPr>
        <w:spacing w:after="0" w:line="158" w:lineRule="exact"/>
        <w:rPr>
          <w:sz w:val="20"/>
          <w:szCs w:val="20"/>
          <w:color w:val="auto"/>
        </w:rPr>
      </w:pPr>
    </w:p>
    <w:p>
      <w:pPr>
        <w:jc w:val="both"/>
        <w:ind w:left="1260" w:right="419"/>
        <w:spacing w:after="0" w:line="271" w:lineRule="auto"/>
        <w:rPr>
          <w:sz w:val="20"/>
          <w:szCs w:val="20"/>
          <w:color w:val="auto"/>
        </w:rPr>
      </w:pPr>
      <w:r>
        <w:rPr>
          <w:rFonts w:ascii="Arial" w:cs="Arial" w:eastAsia="Arial" w:hAnsi="Arial"/>
          <w:sz w:val="18"/>
          <w:szCs w:val="18"/>
          <w:i w:val="1"/>
          <w:iCs w:val="1"/>
          <w:color w:val="auto"/>
        </w:rPr>
        <w:t xml:space="preserve">TSR Governor: </w:t>
      </w:r>
      <w:r>
        <w:rPr>
          <w:rFonts w:ascii="Arial" w:cs="Arial" w:eastAsia="Arial" w:hAnsi="Arial"/>
          <w:sz w:val="18"/>
          <w:szCs w:val="18"/>
          <w:color w:val="auto"/>
        </w:rPr>
        <w:t>Payout percentage cannot exceed 100% if absolute TSR does not exceed 3% per</w:t>
      </w:r>
      <w:r>
        <w:rPr>
          <w:rFonts w:ascii="Arial" w:cs="Arial" w:eastAsia="Arial" w:hAnsi="Arial"/>
          <w:sz w:val="18"/>
          <w:szCs w:val="18"/>
          <w:i w:val="1"/>
          <w:iCs w:val="1"/>
          <w:color w:val="auto"/>
        </w:rPr>
        <w:t xml:space="preserve"> </w:t>
      </w:r>
      <w:r>
        <w:rPr>
          <w:rFonts w:ascii="Arial" w:cs="Arial" w:eastAsia="Arial" w:hAnsi="Arial"/>
          <w:sz w:val="18"/>
          <w:szCs w:val="18"/>
          <w:color w:val="auto"/>
        </w:rPr>
        <w:t>annum</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If the Company’s Relative TSR percentile falls below the 34</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percentile, then none of the 2025</w:t>
      </w:r>
    </w:p>
    <w:p>
      <w:pPr>
        <w:jc w:val="both"/>
        <w:ind w:left="1260" w:right="419"/>
        <w:spacing w:after="0" w:line="242" w:lineRule="auto"/>
        <w:rPr>
          <w:sz w:val="20"/>
          <w:szCs w:val="20"/>
          <w:color w:val="auto"/>
        </w:rPr>
      </w:pPr>
      <w:r>
        <w:rPr>
          <w:rFonts w:ascii="Arial" w:cs="Arial" w:eastAsia="Arial" w:hAnsi="Arial"/>
          <w:sz w:val="18"/>
          <w:szCs w:val="18"/>
          <w:color w:val="auto"/>
        </w:rPr>
        <w:t>Performance Shares will vest. If the Relative TSR percentile falls between the threshold and target goals, or between the target and outperform/maximum goals, linear interpolation will be used to determine the vesting percentage.</w:t>
      </w:r>
    </w:p>
    <w:p>
      <w:pPr>
        <w:spacing w:after="0" w:line="112" w:lineRule="exact"/>
        <w:rPr>
          <w:sz w:val="20"/>
          <w:szCs w:val="20"/>
          <w:color w:val="auto"/>
        </w:rPr>
      </w:pPr>
    </w:p>
    <w:p>
      <w:pPr>
        <w:jc w:val="both"/>
        <w:ind w:left="1260" w:right="419"/>
        <w:spacing w:after="0" w:line="245" w:lineRule="auto"/>
        <w:rPr>
          <w:sz w:val="20"/>
          <w:szCs w:val="20"/>
          <w:color w:val="auto"/>
        </w:rPr>
      </w:pPr>
      <w:r>
        <w:rPr>
          <w:rFonts w:ascii="Arial" w:cs="Arial" w:eastAsia="Arial" w:hAnsi="Arial"/>
          <w:sz w:val="18"/>
          <w:szCs w:val="18"/>
          <w:color w:val="auto"/>
        </w:rPr>
        <w:t>In addition, if the Company declares and pays dividends on its outstanding common stock during the performance period, the Performance Share award recipients will be entitled to have dividend equivalents accrued with respect to the Performance Shares. Such dividend equivalents will be subject to the same vesting and forfeiture requirements as the underlying Performance Shares to which they relate and, to the extent they become vested, will be paid to the Performance Share award recipients in cash no later than 60 days after the conclusion of the performance period. In the event of a nonqualifying termination of a Performance Share award recipient prior to the end of the performance period, all of the rights to performance shares will be automatically forfeited along with the participants’ rights to the cash payment of any dividend equivalent.</w:t>
      </w:r>
    </w:p>
    <w:p>
      <w:pPr>
        <w:spacing w:after="0" w:line="110" w:lineRule="exact"/>
        <w:rPr>
          <w:sz w:val="20"/>
          <w:szCs w:val="20"/>
          <w:color w:val="auto"/>
        </w:rPr>
      </w:pPr>
    </w:p>
    <w:p>
      <w:pPr>
        <w:jc w:val="both"/>
        <w:ind w:left="1260" w:right="419"/>
        <w:spacing w:after="0" w:line="271" w:lineRule="auto"/>
        <w:rPr>
          <w:sz w:val="20"/>
          <w:szCs w:val="20"/>
          <w:color w:val="auto"/>
        </w:rPr>
      </w:pPr>
      <w:r>
        <w:rPr>
          <w:rFonts w:ascii="Arial" w:cs="Arial" w:eastAsia="Arial" w:hAnsi="Arial"/>
          <w:sz w:val="18"/>
          <w:szCs w:val="18"/>
          <w:color w:val="auto"/>
        </w:rPr>
        <w:t>The table below shows the Company’s Relative TSR percentile and payout percentage of target for Performance Shares since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825500</wp:posOffset>
            </wp:positionH>
            <wp:positionV relativeFrom="paragraph">
              <wp:posOffset>92075</wp:posOffset>
            </wp:positionV>
            <wp:extent cx="5168900" cy="20828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168900" cy="2082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left="1260" w:right="419"/>
        <w:spacing w:after="0" w:line="243" w:lineRule="auto"/>
        <w:rPr>
          <w:sz w:val="20"/>
          <w:szCs w:val="20"/>
          <w:color w:val="auto"/>
        </w:rPr>
      </w:pPr>
      <w:r>
        <w:rPr>
          <w:rFonts w:ascii="Arial" w:cs="Arial" w:eastAsia="Arial" w:hAnsi="Arial"/>
          <w:sz w:val="18"/>
          <w:szCs w:val="18"/>
          <w:i w:val="1"/>
          <w:iCs w:val="1"/>
          <w:color w:val="auto"/>
        </w:rPr>
        <w:t xml:space="preserve">Time-Based Restricted Stock. </w:t>
      </w:r>
      <w:r>
        <w:rPr>
          <w:rFonts w:ascii="Arial" w:cs="Arial" w:eastAsia="Arial" w:hAnsi="Arial"/>
          <w:sz w:val="18"/>
          <w:szCs w:val="18"/>
          <w:color w:val="auto"/>
        </w:rPr>
        <w:t>Time-Based Restricted Stock awards consist of a fixed number of</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of the Company’s common stock, which vest ratably over approximately three years, provided that the holder is continuously employed with the Company through each anniversary date. In addition, each restricted stock award entitles its holder to a cash payment equal to the aggregate dividends that would have been paid on the total number of shares that ultimately vest, as if such shares had been outstanding on each dividend record date over the period from the grant date through the vesting of the shares. Such dividend equivalents will be subject to the same vesting and forfeiture requirements as the underlying shares of restricted stock to which they relate. In the event of a nonqualifying termination of a participant</w:t>
      </w:r>
    </w:p>
    <w:p>
      <w:pPr>
        <w:sectPr>
          <w:pgSz w:w="11900" w:h="16838" w:orient="portrait"/>
          <w:cols w:equalWidth="0" w:num="1">
            <w:col w:w="9879"/>
          </w:cols>
          <w:pgMar w:left="580" w:top="97" w:right="1440" w:bottom="1440" w:gutter="0" w:footer="0" w:header="0"/>
        </w:sectPr>
      </w:pPr>
    </w:p>
    <w:p>
      <w:pPr>
        <w:spacing w:after="0" w:line="368"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419"/>
        <w:spacing w:after="0" w:line="287" w:lineRule="auto"/>
        <w:rPr>
          <w:sz w:val="20"/>
          <w:szCs w:val="20"/>
          <w:color w:val="auto"/>
        </w:rPr>
      </w:pPr>
      <w:r>
        <w:rPr>
          <w:rFonts w:ascii="Arial" w:cs="Arial" w:eastAsia="Arial" w:hAnsi="Arial"/>
          <w:sz w:val="18"/>
          <w:szCs w:val="18"/>
          <w:color w:val="auto"/>
        </w:rPr>
        <w:t>prior to the vesting date, all of the rights to unvested restricted stock will be automatically forfeited along with the participants’ rights to the cash payment of any dividend equivalent.</w:t>
      </w:r>
    </w:p>
    <w:p>
      <w:pPr>
        <w:spacing w:after="0" w:line="8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table below details the equity-based awards granted to each of our NEOs in fiscal year 2025.</w:t>
      </w:r>
    </w:p>
    <w:p>
      <w:pPr>
        <w:spacing w:after="0" w:line="194"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800" w:type="dxa"/>
            <w:vAlign w:val="bottom"/>
          </w:tcPr>
          <w:p>
            <w:pPr>
              <w:spacing w:after="0"/>
              <w:rPr>
                <w:sz w:val="14"/>
                <w:szCs w:val="14"/>
                <w:color w:val="auto"/>
              </w:rPr>
            </w:pPr>
          </w:p>
        </w:tc>
        <w:tc>
          <w:tcPr>
            <w:tcW w:w="1820" w:type="dxa"/>
            <w:vAlign w:val="bottom"/>
            <w:gridSpan w:val="5"/>
          </w:tcPr>
          <w:p>
            <w:pPr>
              <w:ind w:left="340"/>
              <w:spacing w:after="0"/>
              <w:rPr>
                <w:sz w:val="20"/>
                <w:szCs w:val="20"/>
                <w:color w:val="auto"/>
              </w:rPr>
            </w:pPr>
            <w:r>
              <w:rPr>
                <w:rFonts w:ascii="Arial" w:cs="Arial" w:eastAsia="Arial" w:hAnsi="Arial"/>
                <w:sz w:val="14"/>
                <w:szCs w:val="14"/>
                <w:b w:val="1"/>
                <w:bCs w:val="1"/>
                <w:color w:val="auto"/>
              </w:rPr>
              <w:t>Performance</w:t>
            </w:r>
          </w:p>
        </w:tc>
        <w:tc>
          <w:tcPr>
            <w:tcW w:w="1640" w:type="dxa"/>
            <w:vAlign w:val="bottom"/>
            <w:gridSpan w:val="4"/>
          </w:tcPr>
          <w:p>
            <w:pPr>
              <w:spacing w:after="0"/>
              <w:rPr>
                <w:sz w:val="20"/>
                <w:szCs w:val="20"/>
                <w:color w:val="auto"/>
              </w:rPr>
            </w:pPr>
            <w:r>
              <w:rPr>
                <w:rFonts w:ascii="Arial" w:cs="Arial" w:eastAsia="Arial" w:hAnsi="Arial"/>
                <w:sz w:val="14"/>
                <w:szCs w:val="14"/>
                <w:b w:val="1"/>
                <w:bCs w:val="1"/>
                <w:color w:val="auto"/>
              </w:rPr>
              <w:t>Time-Based Restricted</w:t>
            </w:r>
          </w:p>
        </w:tc>
      </w:tr>
      <w:tr>
        <w:trPr>
          <w:trHeight w:val="197"/>
        </w:trPr>
        <w:tc>
          <w:tcPr>
            <w:tcW w:w="4800" w:type="dxa"/>
            <w:vAlign w:val="bottom"/>
          </w:tcPr>
          <w:p>
            <w:pPr>
              <w:spacing w:after="0"/>
              <w:rPr>
                <w:sz w:val="17"/>
                <w:szCs w:val="17"/>
                <w:color w:val="auto"/>
              </w:rPr>
            </w:pPr>
          </w:p>
        </w:tc>
        <w:tc>
          <w:tcPr>
            <w:tcW w:w="16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7"/>
                <w:szCs w:val="17"/>
                <w:color w:val="auto"/>
              </w:rPr>
            </w:pPr>
          </w:p>
        </w:tc>
        <w:tc>
          <w:tcPr>
            <w:tcW w:w="1580" w:type="dxa"/>
            <w:vAlign w:val="bottom"/>
            <w:tcBorders>
              <w:bottom w:val="single" w:sz="8" w:color="auto"/>
            </w:tcBorders>
            <w:gridSpan w:val="3"/>
          </w:tcPr>
          <w:p>
            <w:pPr>
              <w:ind w:left="600"/>
              <w:spacing w:after="0"/>
              <w:rPr>
                <w:sz w:val="20"/>
                <w:szCs w:val="20"/>
                <w:color w:val="auto"/>
              </w:rPr>
            </w:pPr>
            <w:r>
              <w:rPr>
                <w:rFonts w:ascii="Arial" w:cs="Arial" w:eastAsia="Arial" w:hAnsi="Arial"/>
                <w:sz w:val="14"/>
                <w:szCs w:val="14"/>
                <w:b w:val="1"/>
                <w:bCs w:val="1"/>
                <w:color w:val="auto"/>
              </w:rPr>
              <w:t>Stock</w:t>
            </w:r>
          </w:p>
        </w:tc>
        <w:tc>
          <w:tcPr>
            <w:tcW w:w="60" w:type="dxa"/>
            <w:vAlign w:val="bottom"/>
          </w:tcPr>
          <w:p>
            <w:pPr>
              <w:spacing w:after="0"/>
              <w:rPr>
                <w:sz w:val="17"/>
                <w:szCs w:val="17"/>
                <w:color w:val="auto"/>
              </w:rPr>
            </w:pPr>
          </w:p>
        </w:tc>
      </w:tr>
      <w:tr>
        <w:trPr>
          <w:trHeight w:val="188"/>
        </w:trPr>
        <w:tc>
          <w:tcPr>
            <w:tcW w:w="48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ind w:left="40"/>
              <w:spacing w:after="0" w:line="188" w:lineRule="exact"/>
              <w:rPr>
                <w:sz w:val="20"/>
                <w:szCs w:val="20"/>
                <w:color w:val="auto"/>
              </w:rPr>
            </w:pPr>
            <w:r>
              <w:rPr>
                <w:rFonts w:ascii="Arial" w:cs="Arial" w:eastAsia="Arial" w:hAnsi="Arial"/>
                <w:sz w:val="14"/>
                <w:szCs w:val="14"/>
                <w:b w:val="1"/>
                <w:bCs w:val="1"/>
                <w:color w:val="auto"/>
              </w:rPr>
              <w:t>Value</w:t>
            </w:r>
            <w:r>
              <w:rPr>
                <w:rFonts w:ascii="Arial" w:cs="Arial" w:eastAsia="Arial" w:hAnsi="Arial"/>
                <w:sz w:val="17"/>
                <w:szCs w:val="17"/>
                <w:b w:val="1"/>
                <w:bCs w:val="1"/>
                <w:color w:val="auto"/>
                <w:vertAlign w:val="superscript"/>
              </w:rPr>
              <w:t>(2)</w:t>
            </w: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gridSpan w:val="2"/>
          </w:tcPr>
          <w:p>
            <w:pPr>
              <w:jc w:val="right"/>
              <w:ind w:right="110"/>
              <w:spacing w:after="0" w:line="188" w:lineRule="exact"/>
              <w:rPr>
                <w:sz w:val="20"/>
                <w:szCs w:val="20"/>
                <w:color w:val="auto"/>
              </w:rPr>
            </w:pPr>
            <w:r>
              <w:rPr>
                <w:rFonts w:ascii="Arial" w:cs="Arial" w:eastAsia="Arial" w:hAnsi="Arial"/>
                <w:sz w:val="14"/>
                <w:szCs w:val="14"/>
                <w:b w:val="1"/>
                <w:bCs w:val="1"/>
                <w:color w:val="auto"/>
              </w:rPr>
              <w:t>Value</w:t>
            </w:r>
            <w:r>
              <w:rPr>
                <w:rFonts w:ascii="Arial" w:cs="Arial" w:eastAsia="Arial" w:hAnsi="Arial"/>
                <w:sz w:val="17"/>
                <w:szCs w:val="17"/>
                <w:b w:val="1"/>
                <w:bCs w:val="1"/>
                <w:color w:val="auto"/>
                <w:vertAlign w:val="superscript"/>
              </w:rPr>
              <w:t>(4)</w:t>
            </w:r>
          </w:p>
        </w:tc>
      </w:tr>
      <w:tr>
        <w:trPr>
          <w:trHeight w:val="198"/>
        </w:trPr>
        <w:tc>
          <w:tcPr>
            <w:tcW w:w="480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jc w:val="center"/>
              <w:spacing w:after="0" w:line="199" w:lineRule="exact"/>
              <w:rPr>
                <w:sz w:val="20"/>
                <w:szCs w:val="20"/>
                <w:color w:val="auto"/>
              </w:rPr>
            </w:pPr>
            <w:r>
              <w:rPr>
                <w:rFonts w:ascii="Arial" w:cs="Arial" w:eastAsia="Arial" w:hAnsi="Arial"/>
                <w:sz w:val="22"/>
                <w:szCs w:val="22"/>
                <w:b w:val="1"/>
                <w:bCs w:val="1"/>
                <w:color w:val="auto"/>
                <w:vertAlign w:val="subscript"/>
              </w:rPr>
              <w:t>#</w:t>
            </w:r>
            <w:r>
              <w:rPr>
                <w:rFonts w:ascii="Arial" w:cs="Arial" w:eastAsia="Arial" w:hAnsi="Arial"/>
                <w:sz w:val="8"/>
                <w:szCs w:val="8"/>
                <w:b w:val="1"/>
                <w:bCs w:val="1"/>
                <w:color w:val="auto"/>
              </w:rPr>
              <w:t>(1)</w:t>
            </w: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ind w:left="220"/>
              <w:spacing w:after="0" w:line="199" w:lineRule="exact"/>
              <w:rPr>
                <w:sz w:val="20"/>
                <w:szCs w:val="20"/>
                <w:color w:val="auto"/>
              </w:rPr>
            </w:pPr>
            <w:r>
              <w:rPr>
                <w:rFonts w:ascii="Arial" w:cs="Arial" w:eastAsia="Arial" w:hAnsi="Arial"/>
                <w:sz w:val="22"/>
                <w:szCs w:val="22"/>
                <w:b w:val="1"/>
                <w:bCs w:val="1"/>
                <w:color w:val="auto"/>
                <w:vertAlign w:val="subscript"/>
              </w:rPr>
              <w:t>#</w:t>
            </w:r>
            <w:r>
              <w:rPr>
                <w:rFonts w:ascii="Arial" w:cs="Arial" w:eastAsia="Arial" w:hAnsi="Arial"/>
                <w:sz w:val="8"/>
                <w:szCs w:val="8"/>
                <w:b w:val="1"/>
                <w:bCs w:val="1"/>
                <w:color w:val="auto"/>
              </w:rPr>
              <w:t>(3)</w:t>
            </w:r>
          </w:p>
        </w:tc>
        <w:tc>
          <w:tcPr>
            <w:tcW w:w="22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60" w:type="dxa"/>
            <w:vAlign w:val="bottom"/>
          </w:tcPr>
          <w:p>
            <w:pPr>
              <w:spacing w:after="0"/>
              <w:rPr>
                <w:sz w:val="17"/>
                <w:szCs w:val="17"/>
                <w:color w:val="auto"/>
              </w:rPr>
            </w:pPr>
          </w:p>
        </w:tc>
      </w:tr>
      <w:tr>
        <w:trPr>
          <w:trHeight w:val="250"/>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John P. Albright</w:t>
            </w:r>
          </w:p>
        </w:tc>
        <w:tc>
          <w:tcPr>
            <w:tcW w:w="7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​78,494</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9"/>
              </w:rPr>
              <w:t>​1,623,256</w:t>
            </w:r>
          </w:p>
        </w:tc>
        <w:tc>
          <w:tcPr>
            <w:tcW w:w="8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​34,174 ​</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​696,257</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4800" w:type="dxa"/>
            <w:vAlign w:val="bottom"/>
          </w:tcPr>
          <w:p>
            <w:pPr>
              <w:spacing w:after="0"/>
              <w:rPr>
                <w:sz w:val="20"/>
                <w:szCs w:val="20"/>
                <w:color w:val="auto"/>
              </w:rPr>
            </w:pPr>
            <w:r>
              <w:rPr>
                <w:rFonts w:ascii="Arial" w:cs="Arial" w:eastAsia="Arial" w:hAnsi="Arial"/>
                <w:sz w:val="18"/>
                <w:szCs w:val="18"/>
                <w:color w:val="auto"/>
              </w:rPr>
              <w:t>Steven R. Greathouse</w:t>
            </w:r>
          </w:p>
        </w:tc>
        <w:tc>
          <w:tcPr>
            <w:tcW w:w="780" w:type="dxa"/>
            <w:vAlign w:val="bottom"/>
            <w:gridSpan w:val="2"/>
          </w:tcPr>
          <w:p>
            <w:pPr>
              <w:jc w:val="center"/>
              <w:ind w:right="220"/>
              <w:spacing w:after="0"/>
              <w:rPr>
                <w:sz w:val="20"/>
                <w:szCs w:val="20"/>
                <w:color w:val="auto"/>
              </w:rPr>
            </w:pPr>
            <w:r>
              <w:rPr>
                <w:rFonts w:ascii="Arial" w:cs="Arial" w:eastAsia="Arial" w:hAnsi="Arial"/>
                <w:sz w:val="18"/>
                <w:szCs w:val="18"/>
                <w:color w:val="auto"/>
              </w:rPr>
              <w:t>​28,787</w:t>
            </w:r>
          </w:p>
        </w:tc>
        <w:tc>
          <w:tcPr>
            <w:tcW w:w="100" w:type="dxa"/>
            <w:vAlign w:val="bottom"/>
          </w:tcPr>
          <w:p>
            <w:pPr>
              <w:jc w:val="cente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595,315</w:t>
            </w:r>
          </w:p>
        </w:tc>
        <w:tc>
          <w:tcPr>
            <w:tcW w:w="840" w:type="dxa"/>
            <w:vAlign w:val="bottom"/>
            <w:gridSpan w:val="2"/>
          </w:tcPr>
          <w:p>
            <w:pPr>
              <w:ind w:left="40"/>
              <w:spacing w:after="0"/>
              <w:rPr>
                <w:sz w:val="20"/>
                <w:szCs w:val="20"/>
                <w:color w:val="auto"/>
              </w:rPr>
            </w:pPr>
            <w:r>
              <w:rPr>
                <w:rFonts w:ascii="Arial" w:cs="Arial" w:eastAsia="Arial" w:hAnsi="Arial"/>
                <w:sz w:val="18"/>
                <w:szCs w:val="18"/>
                <w:color w:val="auto"/>
              </w:rPr>
              <w:t>​16,090 ​</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​328,075 ​</w:t>
            </w:r>
          </w:p>
        </w:tc>
      </w:tr>
      <w:tr>
        <w:trPr>
          <w:trHeight w:val="257"/>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Philip R. Mays</w:t>
            </w:r>
          </w:p>
        </w:tc>
        <w:tc>
          <w:tcPr>
            <w:tcW w:w="7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​22,974</w:t>
            </w:r>
          </w:p>
        </w:tc>
        <w:tc>
          <w:tcPr>
            <w:tcW w:w="1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475,102</w:t>
            </w:r>
          </w:p>
        </w:tc>
        <w:tc>
          <w:tcPr>
            <w:tcW w:w="8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​12,841 ​</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​261,828</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4800" w:type="dxa"/>
            <w:vAlign w:val="bottom"/>
          </w:tcPr>
          <w:p>
            <w:pPr>
              <w:spacing w:after="0"/>
              <w:rPr>
                <w:sz w:val="20"/>
                <w:szCs w:val="20"/>
                <w:color w:val="auto"/>
              </w:rPr>
            </w:pPr>
            <w:r>
              <w:rPr>
                <w:rFonts w:ascii="Arial" w:cs="Arial" w:eastAsia="Arial" w:hAnsi="Arial"/>
                <w:sz w:val="18"/>
                <w:szCs w:val="18"/>
                <w:color w:val="auto"/>
              </w:rPr>
              <w:t>Daniel E. Smith</w:t>
            </w:r>
          </w:p>
        </w:tc>
        <w:tc>
          <w:tcPr>
            <w:tcW w:w="780" w:type="dxa"/>
            <w:vAlign w:val="bottom"/>
            <w:gridSpan w:val="2"/>
          </w:tcPr>
          <w:p>
            <w:pPr>
              <w:jc w:val="center"/>
              <w:ind w:right="220"/>
              <w:spacing w:after="0"/>
              <w:rPr>
                <w:sz w:val="20"/>
                <w:szCs w:val="20"/>
                <w:color w:val="auto"/>
              </w:rPr>
            </w:pPr>
            <w:r>
              <w:rPr>
                <w:rFonts w:ascii="Arial" w:cs="Arial" w:eastAsia="Arial" w:hAnsi="Arial"/>
                <w:sz w:val="18"/>
                <w:szCs w:val="18"/>
                <w:color w:val="auto"/>
              </w:rPr>
              <w:t>​18,545</w:t>
            </w:r>
          </w:p>
        </w:tc>
        <w:tc>
          <w:tcPr>
            <w:tcW w:w="100" w:type="dxa"/>
            <w:vAlign w:val="bottom"/>
          </w:tcPr>
          <w:p>
            <w:pPr>
              <w:jc w:val="cente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383,511</w:t>
            </w:r>
          </w:p>
        </w:tc>
        <w:tc>
          <w:tcPr>
            <w:tcW w:w="840" w:type="dxa"/>
            <w:vAlign w:val="bottom"/>
            <w:gridSpan w:val="2"/>
          </w:tcPr>
          <w:p>
            <w:pPr>
              <w:ind w:left="40"/>
              <w:spacing w:after="0"/>
              <w:rPr>
                <w:sz w:val="20"/>
                <w:szCs w:val="20"/>
                <w:color w:val="auto"/>
              </w:rPr>
            </w:pPr>
            <w:r>
              <w:rPr>
                <w:rFonts w:ascii="Arial" w:cs="Arial" w:eastAsia="Arial" w:hAnsi="Arial"/>
                <w:sz w:val="18"/>
                <w:szCs w:val="18"/>
                <w:color w:val="auto"/>
              </w:rPr>
              <w:t>​10,366 ​</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​211,363 ​</w:t>
            </w:r>
          </w:p>
        </w:tc>
      </w:tr>
      <w:tr>
        <w:trPr>
          <w:trHeight w:val="270"/>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Lisa M. Vorakoun</w:t>
            </w:r>
          </w:p>
        </w:tc>
        <w:tc>
          <w:tcPr>
            <w:tcW w:w="7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​16,607</w:t>
            </w:r>
          </w:p>
        </w:tc>
        <w:tc>
          <w:tcPr>
            <w:tcW w:w="1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343,433</w:t>
            </w:r>
          </w:p>
        </w:tc>
        <w:tc>
          <w:tcPr>
            <w:tcW w:w="8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9,283 ​</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​189,280</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5403215</wp:posOffset>
            </wp:positionH>
            <wp:positionV relativeFrom="paragraph">
              <wp:posOffset>-831215</wp:posOffset>
            </wp:positionV>
            <wp:extent cx="13716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-831215</wp:posOffset>
            </wp:positionV>
            <wp:extent cx="420052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20052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145415</wp:posOffset>
            </wp:positionV>
            <wp:extent cx="123444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62" w:lineRule="exact"/>
        <w:rPr>
          <w:sz w:val="20"/>
          <w:szCs w:val="20"/>
          <w:color w:val="auto"/>
        </w:rPr>
      </w:pPr>
    </w:p>
    <w:p>
      <w:pPr>
        <w:ind w:left="1620" w:right="419" w:hanging="360"/>
        <w:spacing w:after="0" w:line="322" w:lineRule="auto"/>
        <w:tabs>
          <w:tab w:leader="none" w:pos="16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Represents the number of shares of Company common stock that may be earned if maximum performance under the Performance Share award is achieved.</w:t>
      </w:r>
    </w:p>
    <w:p>
      <w:pPr>
        <w:jc w:val="both"/>
        <w:ind w:left="1620" w:right="419" w:hanging="360"/>
        <w:spacing w:after="0" w:line="293" w:lineRule="auto"/>
        <w:tabs>
          <w:tab w:leader="none" w:pos="16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Represents the per share grant date fair value of the Performance Shares granted on February 12, 2025, calculated in accordance with FASB ASC Topic 718, times the number of shares that may be earned if maximum performance under the Performance Share award is achieved.</w:t>
      </w:r>
    </w:p>
    <w:p>
      <w:pPr>
        <w:spacing w:after="0" w:line="31" w:lineRule="exact"/>
        <w:rPr>
          <w:rFonts w:ascii="Arial" w:cs="Arial" w:eastAsia="Arial" w:hAnsi="Arial"/>
          <w:sz w:val="14"/>
          <w:szCs w:val="14"/>
          <w:color w:val="auto"/>
        </w:rPr>
      </w:pPr>
    </w:p>
    <w:p>
      <w:pPr>
        <w:ind w:left="1620" w:right="419" w:hanging="360"/>
        <w:spacing w:after="0" w:line="305" w:lineRule="auto"/>
        <w:tabs>
          <w:tab w:leader="none" w:pos="16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shares of Time-Based Restricted Stock vest ratably in three annual installments beginning on January 28, 2026, provided that the NEO is an employee of the Company on the applicable vesting dates.</w:t>
      </w:r>
    </w:p>
    <w:p>
      <w:pPr>
        <w:spacing w:after="0" w:line="22" w:lineRule="exact"/>
        <w:rPr>
          <w:rFonts w:ascii="Arial" w:cs="Arial" w:eastAsia="Arial" w:hAnsi="Arial"/>
          <w:sz w:val="14"/>
          <w:szCs w:val="14"/>
          <w:color w:val="auto"/>
        </w:rPr>
      </w:pPr>
    </w:p>
    <w:p>
      <w:pPr>
        <w:ind w:left="1620" w:right="419" w:hanging="360"/>
        <w:spacing w:after="0" w:line="305" w:lineRule="auto"/>
        <w:tabs>
          <w:tab w:leader="none" w:pos="16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Represents the grant date fair value of shares of Time-Based Restricted Stock granted on February 12, 2025, calculated in accordance with FASB ASC Topic 718.</w:t>
      </w:r>
    </w:p>
    <w:p>
      <w:pPr>
        <w:spacing w:after="0" w:line="81" w:lineRule="exact"/>
        <w:rPr>
          <w:sz w:val="20"/>
          <w:szCs w:val="20"/>
          <w:color w:val="auto"/>
        </w:rPr>
      </w:pPr>
    </w:p>
    <w:p>
      <w:pPr>
        <w:jc w:val="both"/>
        <w:ind w:left="1260" w:right="419"/>
        <w:spacing w:after="0" w:line="270" w:lineRule="auto"/>
        <w:rPr>
          <w:sz w:val="20"/>
          <w:szCs w:val="20"/>
          <w:color w:val="auto"/>
        </w:rPr>
      </w:pPr>
      <w:r>
        <w:rPr>
          <w:rFonts w:ascii="Arial" w:cs="Arial" w:eastAsia="Arial" w:hAnsi="Arial"/>
          <w:sz w:val="17"/>
          <w:szCs w:val="17"/>
          <w:b w:val="1"/>
          <w:bCs w:val="1"/>
          <w:i w:val="1"/>
          <w:iCs w:val="1"/>
          <w:u w:val="single" w:color="auto"/>
          <w:color w:val="auto"/>
        </w:rPr>
        <w:t>401(k)Plan.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Employees (including the NEOs) may participate in our 401(k) Plan, a tax-qualified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retirement plan maintained to provide the opportunity to provide for retirement savings through tax-advantaged employee contributions. The 401(k) Plan permits eligible employees to contribute compensation up to the maximum limit set annually by the Internal Revenue Service, subject to certain limitations imposed by the Internal Revenue Code (the “Tax Code”). The employees’ elective contributions are immediately vested and non-forfeitable in the 401(k) Plan. Eligibility for the 401(k) Plan requires two calendar months of service in which the employee is credited with 160 hours of service in each month. The Company has adopted a “safe harbor” matching program, in which the Company matches (i) 100% of the employee’s contribution up to 3% of the employee’s compensation and (ii) 50% of the employee’s contribution up to the employee’s next 2% of compensation, for a total potential match of 4% of the employee’s compensation, subject to certain limitations imposed by the Tax Code.</w:t>
      </w:r>
    </w:p>
    <w:p>
      <w:pPr>
        <w:spacing w:after="0" w:line="106" w:lineRule="exact"/>
        <w:rPr>
          <w:sz w:val="20"/>
          <w:szCs w:val="20"/>
          <w:color w:val="auto"/>
        </w:rPr>
      </w:pPr>
    </w:p>
    <w:p>
      <w:pPr>
        <w:jc w:val="both"/>
        <w:ind w:left="1260" w:right="419"/>
        <w:spacing w:after="0" w:line="253" w:lineRule="auto"/>
        <w:rPr>
          <w:sz w:val="20"/>
          <w:szCs w:val="20"/>
          <w:color w:val="auto"/>
        </w:rPr>
      </w:pPr>
      <w:r>
        <w:rPr>
          <w:rFonts w:ascii="Arial" w:cs="Arial" w:eastAsia="Arial" w:hAnsi="Arial"/>
          <w:sz w:val="18"/>
          <w:szCs w:val="18"/>
          <w:b w:val="1"/>
          <w:bCs w:val="1"/>
          <w:i w:val="1"/>
          <w:iCs w:val="1"/>
          <w:u w:val="single" w:color="auto"/>
          <w:color w:val="auto"/>
        </w:rPr>
        <w:t>Employment Agreements</w:t>
      </w:r>
      <w:r>
        <w:rPr>
          <w:rFonts w:ascii="Arial" w:cs="Arial" w:eastAsia="Arial" w:hAnsi="Arial"/>
          <w:sz w:val="18"/>
          <w:szCs w:val="18"/>
          <w:b w:val="1"/>
          <w:bCs w:val="1"/>
          <w:u w:val="single" w:color="auto"/>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June 30, 2011, we entered into an employment agreement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Albright to serve as our President and CEO, effective August 1, 2011, which agreement was amended and restated on May 20, 2015, and July 29, 2020, and further amended on October 22, 2024. On October 22, 2014, we entered into an employment agreement with Mr. Smith to serve as our Senior Vice President, General Counsel and Corporate Secretary, which agreement was amended on February 26, 2016, August 4, 2017 and October 22, 2024. On February 26, 2016, we entered into an employment agreement with Mr. Greathouse to serve as our Senior Vice President-Investments, which agreement was amended on August 4, 2017 and October 22, 2024. On May 29, 2024, we entered into an employment agreement with Mr. Mays to serve as our Senior Vice President, Chief Financial Officer and Treasurer. On October 22, 2024, we entered into an employment agreement with Ms. Vorakoun to serve as our Senior Vice President and Chief Accounting Officer. We do not have any such agreements with any other officers or employees.</w:t>
      </w:r>
    </w:p>
    <w:p>
      <w:pPr>
        <w:spacing w:after="0" w:line="122" w:lineRule="exact"/>
        <w:rPr>
          <w:sz w:val="20"/>
          <w:szCs w:val="20"/>
          <w:color w:val="auto"/>
        </w:rPr>
      </w:pPr>
    </w:p>
    <w:p>
      <w:pPr>
        <w:jc w:val="both"/>
        <w:ind w:left="1260" w:right="419"/>
        <w:spacing w:after="0" w:line="257" w:lineRule="auto"/>
        <w:rPr>
          <w:sz w:val="20"/>
          <w:szCs w:val="20"/>
          <w:color w:val="auto"/>
        </w:rPr>
      </w:pPr>
      <w:r>
        <w:rPr>
          <w:rFonts w:ascii="Arial" w:cs="Arial" w:eastAsia="Arial" w:hAnsi="Arial"/>
          <w:sz w:val="18"/>
          <w:szCs w:val="18"/>
          <w:b w:val="1"/>
          <w:bCs w:val="1"/>
          <w:i w:val="1"/>
          <w:iCs w:val="1"/>
          <w:u w:val="single" w:color="auto"/>
          <w:color w:val="auto"/>
        </w:rPr>
        <w:t>Severance Benefits.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NEOs who are party to an employment agreement may become entitled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receive certain payments or benefits upon a qualifying termination of employment (either prior to, or following, a Change in Control) pursuant to the terms and conditions in their respective employment agreements. These payments and benefits are described in detail in the section entitled “</w:t>
      </w:r>
      <w:r>
        <w:rPr>
          <w:rFonts w:ascii="Arial" w:cs="Arial" w:eastAsia="Arial" w:hAnsi="Arial"/>
          <w:sz w:val="18"/>
          <w:szCs w:val="18"/>
          <w:i w:val="1"/>
          <w:iCs w:val="1"/>
          <w:color w:val="auto"/>
        </w:rPr>
        <w:t>Potential</w:t>
      </w:r>
      <w:r>
        <w:rPr>
          <w:rFonts w:ascii="Arial" w:cs="Arial" w:eastAsia="Arial" w:hAnsi="Arial"/>
          <w:sz w:val="18"/>
          <w:szCs w:val="18"/>
          <w:color w:val="auto"/>
        </w:rPr>
        <w:t xml:space="preserve"> </w:t>
      </w:r>
      <w:r>
        <w:rPr>
          <w:rFonts w:ascii="Arial" w:cs="Arial" w:eastAsia="Arial" w:hAnsi="Arial"/>
          <w:sz w:val="18"/>
          <w:szCs w:val="18"/>
          <w:i w:val="1"/>
          <w:iCs w:val="1"/>
          <w:color w:val="auto"/>
        </w:rPr>
        <w:t>Payments upon Termination or Change in Control</w:t>
      </w:r>
      <w:r>
        <w:rPr>
          <w:rFonts w:ascii="Arial" w:cs="Arial" w:eastAsia="Arial" w:hAnsi="Arial"/>
          <w:sz w:val="18"/>
          <w:szCs w:val="18"/>
          <w:color w:val="auto"/>
        </w:rPr>
        <w:t>” beginning on page</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0000EE"/>
        </w:rPr>
        <w:t>49</w:t>
      </w:r>
      <w:r>
        <w:rPr>
          <w:rFonts w:ascii="Arial" w:cs="Arial" w:eastAsia="Arial" w:hAnsi="Arial"/>
          <w:sz w:val="18"/>
          <w:szCs w:val="18"/>
          <w:i w:val="1"/>
          <w:iCs w:val="1"/>
          <w:color w:val="auto"/>
        </w:rPr>
        <w:t xml:space="preserve"> </w:t>
      </w:r>
      <w:r>
        <w:rPr>
          <w:rFonts w:ascii="Arial" w:cs="Arial" w:eastAsia="Arial" w:hAnsi="Arial"/>
          <w:sz w:val="18"/>
          <w:szCs w:val="18"/>
          <w:color w:val="auto"/>
        </w:rPr>
        <w:t>of this proxy statement. None</w:t>
      </w:r>
      <w:r>
        <w:rPr>
          <w:rFonts w:ascii="Arial" w:cs="Arial" w:eastAsia="Arial" w:hAnsi="Arial"/>
          <w:sz w:val="18"/>
          <w:szCs w:val="18"/>
          <w:i w:val="1"/>
          <w:iCs w:val="1"/>
          <w:color w:val="auto"/>
        </w:rPr>
        <w:t xml:space="preserve"> </w:t>
      </w:r>
      <w:r>
        <w:rPr>
          <w:rFonts w:ascii="Arial" w:cs="Arial" w:eastAsia="Arial" w:hAnsi="Arial"/>
          <w:sz w:val="18"/>
          <w:szCs w:val="18"/>
          <w:color w:val="auto"/>
        </w:rPr>
        <w:t>of our other employees has a severance agreement or an employment agreement providing severance</w:t>
      </w:r>
    </w:p>
    <w:p>
      <w:pPr>
        <w:sectPr>
          <w:pgSz w:w="11900" w:h="16838" w:orient="portrait"/>
          <w:cols w:equalWidth="0" w:num="1">
            <w:col w:w="9879"/>
          </w:cols>
          <w:pgMar w:left="580" w:top="97" w:right="1440" w:bottom="1440" w:gutter="0" w:footer="0" w:header="0"/>
        </w:sectPr>
      </w:pPr>
    </w:p>
    <w:p>
      <w:pPr>
        <w:spacing w:after="0" w:line="358"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left="1260" w:right="419"/>
        <w:spacing w:after="0" w:line="287" w:lineRule="auto"/>
        <w:rPr>
          <w:sz w:val="20"/>
          <w:szCs w:val="20"/>
          <w:color w:val="auto"/>
        </w:rPr>
      </w:pPr>
      <w:r>
        <w:rPr>
          <w:rFonts w:ascii="Arial" w:cs="Arial" w:eastAsia="Arial" w:hAnsi="Arial"/>
          <w:sz w:val="18"/>
          <w:szCs w:val="18"/>
          <w:color w:val="auto"/>
        </w:rPr>
        <w:t>benefits; however, all full-time employees of the Company, including our NEOs, may qualify to participate under the Company’s broad-based severance policy.</w:t>
      </w:r>
    </w:p>
    <w:p>
      <w:pPr>
        <w:spacing w:after="0" w:line="13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2026 Incentive Awards</w:t>
      </w:r>
    </w:p>
    <w:p>
      <w:pPr>
        <w:spacing w:after="0" w:line="158" w:lineRule="exact"/>
        <w:rPr>
          <w:sz w:val="20"/>
          <w:szCs w:val="20"/>
          <w:color w:val="auto"/>
        </w:rPr>
      </w:pPr>
    </w:p>
    <w:p>
      <w:pPr>
        <w:jc w:val="both"/>
        <w:ind w:left="1260" w:right="419"/>
        <w:spacing w:after="0" w:line="247" w:lineRule="auto"/>
        <w:rPr>
          <w:sz w:val="20"/>
          <w:szCs w:val="20"/>
          <w:color w:val="auto"/>
        </w:rPr>
      </w:pPr>
      <w:r>
        <w:rPr>
          <w:rFonts w:ascii="Arial" w:cs="Arial" w:eastAsia="Arial" w:hAnsi="Arial"/>
          <w:sz w:val="18"/>
          <w:szCs w:val="18"/>
          <w:color w:val="auto"/>
        </w:rPr>
        <w:t>In February 2026, the Board approved 2026 award opportunities for our NEOs under the Annual Incentive Plan. The terms of the Annual Incentive Plan opportunities for 2026 are similar to the award terms from 2025, with the CEO’s threshold, target, and maximum payout opportunities at 47.5%, 95%, and 190%, respectively, of base salary, and the other NEOs’ threshold, target, and maximum payout opportunities at 37.5%, 75%, and 150%, respectively, of base salary.</w:t>
      </w:r>
    </w:p>
    <w:p>
      <w:pPr>
        <w:spacing w:after="0" w:line="109" w:lineRule="exact"/>
        <w:rPr>
          <w:sz w:val="20"/>
          <w:szCs w:val="20"/>
          <w:color w:val="auto"/>
        </w:rPr>
      </w:pPr>
    </w:p>
    <w:p>
      <w:pPr>
        <w:jc w:val="both"/>
        <w:ind w:left="1260" w:right="419"/>
        <w:spacing w:after="0" w:line="247" w:lineRule="auto"/>
        <w:rPr>
          <w:sz w:val="20"/>
          <w:szCs w:val="20"/>
          <w:color w:val="auto"/>
        </w:rPr>
      </w:pPr>
      <w:r>
        <w:rPr>
          <w:rFonts w:ascii="Arial" w:cs="Arial" w:eastAsia="Arial" w:hAnsi="Arial"/>
          <w:sz w:val="17"/>
          <w:szCs w:val="17"/>
          <w:color w:val="auto"/>
        </w:rPr>
        <w:t>Equity awards granted to the NEOs in February 2026 were largely consistent with the awards granted in February 2025 and prior years — i.e., the restricted stock awards each include three-year vesting schedules, and the performance-based awards are structured similarly to the performance-based awards from prior years, with threshold/target/outperform achievement hurdles and payout percentages, and the comparison group comprised of the constituent companies of the Index as of February 1, 2026, and the same TSR Governor of 3%. The 2026 performance-based awards differ from prior years in that the “maximum” achievement hurdle for Relative TSR was increased from the 67</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percentile to the 75</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percentile, and the payout percentage for such achievement hurdle was increased from 150% to</w:t>
      </w:r>
    </w:p>
    <w:p>
      <w:pPr>
        <w:spacing w:after="0" w:line="1" w:lineRule="exact"/>
        <w:rPr>
          <w:sz w:val="20"/>
          <w:szCs w:val="20"/>
          <w:color w:val="auto"/>
        </w:rPr>
      </w:pPr>
    </w:p>
    <w:p>
      <w:pPr>
        <w:jc w:val="both"/>
        <w:ind w:left="1260" w:right="419"/>
        <w:spacing w:after="0" w:line="242" w:lineRule="auto"/>
        <w:rPr>
          <w:sz w:val="20"/>
          <w:szCs w:val="20"/>
          <w:color w:val="auto"/>
        </w:rPr>
      </w:pPr>
      <w:r>
        <w:rPr>
          <w:rFonts w:ascii="Arial" w:cs="Arial" w:eastAsia="Arial" w:hAnsi="Arial"/>
          <w:sz w:val="18"/>
          <w:szCs w:val="18"/>
          <w:color w:val="auto"/>
        </w:rPr>
        <w:t>200%. The Compensation Committee, after consultation with Ferguson Partners, determined that this modification was consistent with the structure of performance-based equity incentive awards in the REIT industry and at the Company’s peers, and was also consistent with the Compensation Committee’s desire to appropriately incentivize and reward the management team for delivering outsized returns and superior stockholder value.</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2026 Peer Group</w:t>
      </w:r>
    </w:p>
    <w:p>
      <w:pPr>
        <w:spacing w:after="0" w:line="158" w:lineRule="exact"/>
        <w:rPr>
          <w:sz w:val="20"/>
          <w:szCs w:val="20"/>
          <w:color w:val="auto"/>
        </w:rPr>
      </w:pPr>
    </w:p>
    <w:p>
      <w:pPr>
        <w:jc w:val="both"/>
        <w:ind w:left="1260" w:right="419"/>
        <w:spacing w:after="0" w:line="253" w:lineRule="auto"/>
        <w:rPr>
          <w:sz w:val="20"/>
          <w:szCs w:val="20"/>
          <w:color w:val="auto"/>
        </w:rPr>
      </w:pPr>
      <w:r>
        <w:rPr>
          <w:rFonts w:ascii="Arial" w:cs="Arial" w:eastAsia="Arial" w:hAnsi="Arial"/>
          <w:sz w:val="18"/>
          <w:szCs w:val="18"/>
          <w:color w:val="auto"/>
        </w:rPr>
        <w:t xml:space="preserve">As part of our ongoing compensation practices, the Compensation Committee periodically undertakes, with the assistance of Ferguson Partners, a thorough review of the current peer group to determine whether any modifications are appropriate. In late 2025, prior to performing its benchmarking review of executive compensation, the Compensation Committee once again undertook the peer group review process, with the assistance of Ferguson Partners. The Compensation Committee paid special attention to the Company’s current asset base, market capitalization, and total enterprise value, as well as other factors. As a result of the review, no changes to the peer group were made for 2026. As noted on page </w:t>
      </w:r>
      <w:r>
        <w:rPr>
          <w:rFonts w:ascii="Arial" w:cs="Arial" w:eastAsia="Arial" w:hAnsi="Arial"/>
          <w:sz w:val="18"/>
          <w:szCs w:val="18"/>
          <w:u w:val="single" w:color="auto"/>
          <w:color w:val="0000EE"/>
        </w:rPr>
        <w:t>33</w:t>
      </w:r>
      <w:r>
        <w:rPr>
          <w:rFonts w:ascii="Arial" w:cs="Arial" w:eastAsia="Arial" w:hAnsi="Arial"/>
          <w:sz w:val="18"/>
          <w:szCs w:val="18"/>
          <w:color w:val="auto"/>
        </w:rPr>
        <w:t xml:space="preserve"> above, the Compensation Committee recognizes that one of the peer group companies is no longer publicly traded, and another has entered into a definitive agreement that contemplates the company ceasing to be publicly traded; nevertheless, these two peer companies’ public disclosures regarding compensation were available and relevant for early 2026 compensation benchmarking purposes. We anticipate that they will be removed from the peer group for 2027.</w:t>
      </w:r>
    </w:p>
    <w:p>
      <w:pPr>
        <w:spacing w:after="0" w:line="190" w:lineRule="exact"/>
        <w:rPr>
          <w:sz w:val="20"/>
          <w:szCs w:val="20"/>
          <w:color w:val="auto"/>
        </w:rPr>
      </w:pPr>
    </w:p>
    <w:tbl>
      <w:tblPr>
        <w:tblLayout w:type="fixed"/>
        <w:tblInd w:w="1260" w:type="dxa"/>
        <w:tblCellMar>
          <w:top w:w="0" w:type="dxa"/>
          <w:left w:w="0" w:type="dxa"/>
          <w:bottom w:w="0" w:type="dxa"/>
          <w:right w:w="0" w:type="dxa"/>
        </w:tblCellMar>
      </w:tblPr>
      <w:tr>
        <w:trPr>
          <w:trHeight w:val="247"/>
        </w:trPr>
        <w:tc>
          <w:tcPr>
            <w:tcW w:w="3660" w:type="dxa"/>
            <w:vAlign w:val="bottom"/>
            <w:gridSpan w:val="2"/>
          </w:tcPr>
          <w:p>
            <w:pPr>
              <w:spacing w:after="0"/>
              <w:rPr>
                <w:sz w:val="20"/>
                <w:szCs w:val="20"/>
                <w:color w:val="auto"/>
              </w:rPr>
            </w:pPr>
            <w:r>
              <w:rPr>
                <w:rFonts w:ascii="Arial" w:cs="Arial" w:eastAsia="Arial" w:hAnsi="Arial"/>
                <w:sz w:val="18"/>
                <w:szCs w:val="18"/>
                <w:b w:val="1"/>
                <w:bCs w:val="1"/>
                <w:color w:val="auto"/>
              </w:rPr>
              <w:t>Peer Group for 2026:</w:t>
            </w:r>
          </w:p>
        </w:tc>
        <w:tc>
          <w:tcPr>
            <w:tcW w:w="66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1"/>
        </w:trPr>
        <w:tc>
          <w:tcPr>
            <w:tcW w:w="480" w:type="dxa"/>
            <w:vAlign w:val="bottom"/>
          </w:tcPr>
          <w:p>
            <w:pPr>
              <w:ind w:left="360"/>
              <w:spacing w:after="0"/>
              <w:rPr>
                <w:sz w:val="20"/>
                <w:szCs w:val="20"/>
                <w:color w:val="auto"/>
              </w:rPr>
            </w:pPr>
            <w:r>
              <w:rPr>
                <w:rFonts w:ascii="Arial" w:cs="Arial" w:eastAsia="Arial" w:hAnsi="Arial"/>
                <w:sz w:val="18"/>
                <w:szCs w:val="18"/>
                <w:color w:val="auto"/>
              </w:rPr>
              <w:t>​•</w:t>
            </w:r>
          </w:p>
        </w:tc>
        <w:tc>
          <w:tcPr>
            <w:tcW w:w="3840" w:type="dxa"/>
            <w:vAlign w:val="bottom"/>
            <w:gridSpan w:val="2"/>
          </w:tcPr>
          <w:p>
            <w:pPr>
              <w:jc w:val="right"/>
              <w:spacing w:after="0"/>
              <w:rPr>
                <w:sz w:val="20"/>
                <w:szCs w:val="20"/>
                <w:color w:val="auto"/>
              </w:rPr>
            </w:pPr>
            <w:r>
              <w:rPr>
                <w:rFonts w:ascii="Arial" w:cs="Arial" w:eastAsia="Arial" w:hAnsi="Arial"/>
                <w:sz w:val="18"/>
                <w:szCs w:val="18"/>
                <w:color w:val="auto"/>
              </w:rPr>
              <w:t>AH Realty Trust, Inc. (f/k/a Armada Hoffler  ​ ​ •</w:t>
            </w:r>
          </w:p>
        </w:tc>
        <w:tc>
          <w:tcPr>
            <w:tcW w:w="3120" w:type="dxa"/>
            <w:vAlign w:val="bottom"/>
          </w:tcPr>
          <w:p>
            <w:pPr>
              <w:ind w:left="60"/>
              <w:spacing w:after="0"/>
              <w:rPr>
                <w:sz w:val="20"/>
                <w:szCs w:val="20"/>
                <w:color w:val="auto"/>
              </w:rPr>
            </w:pPr>
            <w:r>
              <w:rPr>
                <w:rFonts w:ascii="Arial" w:cs="Arial" w:eastAsia="Arial" w:hAnsi="Arial"/>
                <w:sz w:val="18"/>
                <w:szCs w:val="18"/>
                <w:color w:val="auto"/>
              </w:rPr>
              <w:t>InvenTrust Properties Corp.</w:t>
            </w:r>
          </w:p>
        </w:tc>
        <w:tc>
          <w:tcPr>
            <w:tcW w:w="440" w:type="dxa"/>
            <w:vAlign w:val="bottom"/>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480" w:type="dxa"/>
            <w:vAlign w:val="bottom"/>
          </w:tcPr>
          <w:p>
            <w:pPr>
              <w:spacing w:after="0"/>
              <w:rPr>
                <w:sz w:val="20"/>
                <w:szCs w:val="20"/>
                <w:color w:val="auto"/>
              </w:rPr>
            </w:pPr>
          </w:p>
        </w:tc>
        <w:tc>
          <w:tcPr>
            <w:tcW w:w="3180" w:type="dxa"/>
            <w:vAlign w:val="bottom"/>
          </w:tcPr>
          <w:p>
            <w:pPr>
              <w:ind w:left="60"/>
              <w:spacing w:after="0"/>
              <w:rPr>
                <w:sz w:val="20"/>
                <w:szCs w:val="20"/>
                <w:color w:val="auto"/>
              </w:rPr>
            </w:pPr>
            <w:r>
              <w:rPr>
                <w:rFonts w:ascii="Arial" w:cs="Arial" w:eastAsia="Arial" w:hAnsi="Arial"/>
                <w:sz w:val="18"/>
                <w:szCs w:val="18"/>
                <w:color w:val="auto"/>
              </w:rPr>
              <w:t>Properties, Inc.)</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3120" w:type="dxa"/>
            <w:vAlign w:val="bottom"/>
            <w:vMerge w:val="restart"/>
          </w:tcPr>
          <w:p>
            <w:pPr>
              <w:ind w:left="60"/>
              <w:spacing w:after="0"/>
              <w:rPr>
                <w:sz w:val="20"/>
                <w:szCs w:val="20"/>
                <w:color w:val="auto"/>
              </w:rPr>
            </w:pPr>
            <w:r>
              <w:rPr>
                <w:rFonts w:ascii="Arial" w:cs="Arial" w:eastAsia="Arial" w:hAnsi="Arial"/>
                <w:sz w:val="18"/>
                <w:szCs w:val="18"/>
                <w:color w:val="auto"/>
              </w:rPr>
              <w:t>NETSTREIT Corp.</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480" w:type="dxa"/>
            <w:vAlign w:val="bottom"/>
          </w:tcPr>
          <w:p>
            <w:pPr>
              <w:spacing w:after="0"/>
              <w:rPr>
                <w:sz w:val="8"/>
                <w:szCs w:val="8"/>
                <w:color w:val="auto"/>
              </w:rPr>
            </w:pPr>
          </w:p>
        </w:tc>
        <w:tc>
          <w:tcPr>
            <w:tcW w:w="318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312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3660" w:type="dxa"/>
            <w:vAlign w:val="bottom"/>
            <w:gridSpan w:val="2"/>
          </w:tcPr>
          <w:p>
            <w:pPr>
              <w:ind w:left="360"/>
              <w:spacing w:after="0"/>
              <w:rPr>
                <w:sz w:val="20"/>
                <w:szCs w:val="20"/>
                <w:color w:val="auto"/>
              </w:rPr>
            </w:pPr>
            <w:r>
              <w:rPr>
                <w:rFonts w:ascii="Arial" w:cs="Arial" w:eastAsia="Arial" w:hAnsi="Arial"/>
                <w:sz w:val="18"/>
                <w:szCs w:val="18"/>
                <w:color w:val="auto"/>
              </w:rPr>
              <w:t>• Alexander &amp; Baldwin, Inc.</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3120" w:type="dxa"/>
            <w:vAlign w:val="bottom"/>
            <w:vMerge w:val="restart"/>
          </w:tcPr>
          <w:p>
            <w:pPr>
              <w:ind w:left="60"/>
              <w:spacing w:after="0"/>
              <w:rPr>
                <w:sz w:val="20"/>
                <w:szCs w:val="20"/>
                <w:color w:val="auto"/>
              </w:rPr>
            </w:pPr>
            <w:r>
              <w:rPr>
                <w:rFonts w:ascii="Arial" w:cs="Arial" w:eastAsia="Arial" w:hAnsi="Arial"/>
                <w:sz w:val="18"/>
                <w:szCs w:val="18"/>
                <w:color w:val="auto"/>
              </w:rPr>
              <w:t>Plymouth Industrial REIT Inc.</w:t>
            </w: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8"/>
        </w:trPr>
        <w:tc>
          <w:tcPr>
            <w:tcW w:w="480" w:type="dxa"/>
            <w:vAlign w:val="bottom"/>
          </w:tcPr>
          <w:p>
            <w:pPr>
              <w:spacing w:after="0"/>
              <w:rPr>
                <w:sz w:val="5"/>
                <w:szCs w:val="5"/>
                <w:color w:val="auto"/>
              </w:rPr>
            </w:pPr>
          </w:p>
        </w:tc>
        <w:tc>
          <w:tcPr>
            <w:tcW w:w="31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312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80" w:type="dxa"/>
            <w:vAlign w:val="bottom"/>
          </w:tcPr>
          <w:p>
            <w:pPr>
              <w:ind w:left="360"/>
              <w:spacing w:after="0"/>
              <w:rPr>
                <w:sz w:val="20"/>
                <w:szCs w:val="20"/>
                <w:color w:val="auto"/>
              </w:rPr>
            </w:pPr>
            <w:r>
              <w:rPr>
                <w:rFonts w:ascii="Arial" w:cs="Arial" w:eastAsia="Arial" w:hAnsi="Arial"/>
                <w:sz w:val="18"/>
                <w:szCs w:val="18"/>
                <w:color w:val="auto"/>
              </w:rPr>
              <w:t>•</w:t>
            </w:r>
          </w:p>
        </w:tc>
        <w:tc>
          <w:tcPr>
            <w:tcW w:w="3180" w:type="dxa"/>
            <w:vAlign w:val="bottom"/>
          </w:tcPr>
          <w:p>
            <w:pPr>
              <w:ind w:left="60"/>
              <w:spacing w:after="0"/>
              <w:rPr>
                <w:sz w:val="20"/>
                <w:szCs w:val="20"/>
                <w:color w:val="auto"/>
              </w:rPr>
            </w:pPr>
            <w:r>
              <w:rPr>
                <w:rFonts w:ascii="Arial" w:cs="Arial" w:eastAsia="Arial" w:hAnsi="Arial"/>
                <w:sz w:val="18"/>
                <w:szCs w:val="18"/>
                <w:color w:val="auto"/>
              </w:rPr>
              <w:t>Chatham Lodging Trust</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3120" w:type="dxa"/>
            <w:vAlign w:val="bottom"/>
            <w:vMerge w:val="restart"/>
          </w:tcPr>
          <w:p>
            <w:pPr>
              <w:ind w:left="60"/>
              <w:spacing w:after="0"/>
              <w:rPr>
                <w:sz w:val="20"/>
                <w:szCs w:val="20"/>
                <w:color w:val="auto"/>
              </w:rPr>
            </w:pPr>
            <w:r>
              <w:rPr>
                <w:rFonts w:ascii="Arial" w:cs="Arial" w:eastAsia="Arial" w:hAnsi="Arial"/>
                <w:sz w:val="18"/>
                <w:szCs w:val="18"/>
                <w:color w:val="auto"/>
              </w:rPr>
              <w:t>Seaport Entertainment Group Inc.</w:t>
            </w: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8"/>
        </w:trPr>
        <w:tc>
          <w:tcPr>
            <w:tcW w:w="480" w:type="dxa"/>
            <w:vAlign w:val="bottom"/>
          </w:tcPr>
          <w:p>
            <w:pPr>
              <w:spacing w:after="0"/>
              <w:rPr>
                <w:sz w:val="5"/>
                <w:szCs w:val="5"/>
                <w:color w:val="auto"/>
              </w:rPr>
            </w:pPr>
          </w:p>
        </w:tc>
        <w:tc>
          <w:tcPr>
            <w:tcW w:w="31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312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3660" w:type="dxa"/>
            <w:vAlign w:val="bottom"/>
            <w:gridSpan w:val="2"/>
          </w:tcPr>
          <w:p>
            <w:pPr>
              <w:ind w:left="360"/>
              <w:spacing w:after="0"/>
              <w:rPr>
                <w:sz w:val="20"/>
                <w:szCs w:val="20"/>
                <w:color w:val="auto"/>
              </w:rPr>
            </w:pPr>
            <w:r>
              <w:rPr>
                <w:rFonts w:ascii="Arial" w:cs="Arial" w:eastAsia="Arial" w:hAnsi="Arial"/>
                <w:sz w:val="18"/>
                <w:szCs w:val="18"/>
                <w:color w:val="auto"/>
              </w:rPr>
              <w:t>• Community Healthcare Trust Inc.</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3120" w:type="dxa"/>
            <w:vAlign w:val="bottom"/>
            <w:vMerge w:val="restart"/>
          </w:tcPr>
          <w:p>
            <w:pPr>
              <w:ind w:left="60"/>
              <w:spacing w:after="0"/>
              <w:rPr>
                <w:sz w:val="20"/>
                <w:szCs w:val="20"/>
                <w:color w:val="auto"/>
              </w:rPr>
            </w:pPr>
            <w:r>
              <w:rPr>
                <w:rFonts w:ascii="Arial" w:cs="Arial" w:eastAsia="Arial" w:hAnsi="Arial"/>
                <w:sz w:val="18"/>
                <w:szCs w:val="18"/>
                <w:color w:val="auto"/>
              </w:rPr>
              <w:t>Urban Edge Properties</w:t>
            </w: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8"/>
        </w:trPr>
        <w:tc>
          <w:tcPr>
            <w:tcW w:w="480" w:type="dxa"/>
            <w:vAlign w:val="bottom"/>
          </w:tcPr>
          <w:p>
            <w:pPr>
              <w:spacing w:after="0"/>
              <w:rPr>
                <w:sz w:val="5"/>
                <w:szCs w:val="5"/>
                <w:color w:val="auto"/>
              </w:rPr>
            </w:pPr>
          </w:p>
        </w:tc>
        <w:tc>
          <w:tcPr>
            <w:tcW w:w="31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312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3660" w:type="dxa"/>
            <w:vAlign w:val="bottom"/>
            <w:gridSpan w:val="2"/>
          </w:tcPr>
          <w:p>
            <w:pPr>
              <w:ind w:left="360"/>
              <w:spacing w:after="0"/>
              <w:rPr>
                <w:sz w:val="20"/>
                <w:szCs w:val="20"/>
                <w:color w:val="auto"/>
              </w:rPr>
            </w:pPr>
            <w:r>
              <w:rPr>
                <w:rFonts w:ascii="Arial" w:cs="Arial" w:eastAsia="Arial" w:hAnsi="Arial"/>
                <w:sz w:val="18"/>
                <w:szCs w:val="18"/>
                <w:color w:val="auto"/>
              </w:rPr>
              <w:t>• Four Corners Property Trust, Inc.</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3120" w:type="dxa"/>
            <w:vAlign w:val="bottom"/>
            <w:vMerge w:val="restart"/>
          </w:tcPr>
          <w:p>
            <w:pPr>
              <w:ind w:left="60"/>
              <w:spacing w:after="0"/>
              <w:rPr>
                <w:sz w:val="20"/>
                <w:szCs w:val="20"/>
                <w:color w:val="auto"/>
              </w:rPr>
            </w:pPr>
            <w:r>
              <w:rPr>
                <w:rFonts w:ascii="Arial" w:cs="Arial" w:eastAsia="Arial" w:hAnsi="Arial"/>
                <w:sz w:val="18"/>
                <w:szCs w:val="18"/>
                <w:color w:val="auto"/>
              </w:rPr>
              <w:t>Whitestone REIT</w:t>
            </w: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8"/>
        </w:trPr>
        <w:tc>
          <w:tcPr>
            <w:tcW w:w="480" w:type="dxa"/>
            <w:vAlign w:val="bottom"/>
          </w:tcPr>
          <w:p>
            <w:pPr>
              <w:spacing w:after="0"/>
              <w:rPr>
                <w:sz w:val="5"/>
                <w:szCs w:val="5"/>
                <w:color w:val="auto"/>
              </w:rPr>
            </w:pPr>
          </w:p>
        </w:tc>
        <w:tc>
          <w:tcPr>
            <w:tcW w:w="31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312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ind w:left="1800" w:hanging="180"/>
        <w:spacing w:after="0"/>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FrontView REIT, Inc.</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Getty Realty Corp.</w:t>
      </w:r>
    </w:p>
    <w:p>
      <w:pPr>
        <w:spacing w:after="0" w:line="144" w:lineRule="exact"/>
        <w:rPr>
          <w:sz w:val="20"/>
          <w:szCs w:val="20"/>
          <w:color w:val="auto"/>
        </w:rPr>
      </w:pPr>
    </w:p>
    <w:p>
      <w:pPr>
        <w:jc w:val="both"/>
        <w:ind w:left="1260" w:right="419"/>
        <w:spacing w:after="0" w:line="268" w:lineRule="auto"/>
        <w:rPr>
          <w:sz w:val="20"/>
          <w:szCs w:val="20"/>
          <w:color w:val="auto"/>
        </w:rPr>
      </w:pPr>
      <w:r>
        <w:rPr>
          <w:rFonts w:ascii="Arial" w:cs="Arial" w:eastAsia="Arial" w:hAnsi="Arial"/>
          <w:sz w:val="18"/>
          <w:szCs w:val="18"/>
          <w:color w:val="auto"/>
        </w:rPr>
        <w:t>As noted previously, with respect to the performance-based equity incentive awards granted in 2026, the constituent companies of the Index will be utilized to measure Relative TSR. The above peer group was utilized primarily for compensation benchmarking purposes for setting 2026 compensation.</w:t>
      </w:r>
    </w:p>
    <w:p>
      <w:pPr>
        <w:sectPr>
          <w:pgSz w:w="11900" w:h="16838" w:orient="portrait"/>
          <w:cols w:equalWidth="0" w:num="1">
            <w:col w:w="9879"/>
          </w:cols>
          <w:pgMar w:left="580" w:top="97" w:right="1440" w:bottom="1440" w:gutter="0" w:footer="0" w:header="0"/>
        </w:sectPr>
      </w:pPr>
    </w:p>
    <w:p>
      <w:pPr>
        <w:spacing w:after="0" w:line="34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both"/>
        <w:ind w:left="1260" w:right="419"/>
        <w:spacing w:after="0" w:line="253" w:lineRule="auto"/>
        <w:rPr>
          <w:sz w:val="20"/>
          <w:szCs w:val="20"/>
          <w:color w:val="auto"/>
        </w:rPr>
      </w:pPr>
      <w:r>
        <w:rPr>
          <w:rFonts w:ascii="Arial" w:cs="Arial" w:eastAsia="Arial" w:hAnsi="Arial"/>
          <w:sz w:val="18"/>
          <w:szCs w:val="18"/>
          <w:color w:val="auto"/>
        </w:rPr>
        <w:t>The salary levels and other compensation elements of our peer group are among the factors taken into consideration by the Compensation Committee when evaluating the compensation of our NEOs (without benchmarking to a specific target).</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Other Matters</w:t>
      </w:r>
    </w:p>
    <w:p>
      <w:pPr>
        <w:spacing w:after="0" w:line="144" w:lineRule="exact"/>
        <w:rPr>
          <w:sz w:val="20"/>
          <w:szCs w:val="20"/>
          <w:color w:val="auto"/>
        </w:rPr>
      </w:pPr>
    </w:p>
    <w:p>
      <w:pPr>
        <w:ind w:left="1260"/>
        <w:spacing w:after="0"/>
        <w:tabs>
          <w:tab w:leader="none" w:pos="3900" w:val="left"/>
        </w:tabs>
        <w:rPr>
          <w:sz w:val="20"/>
          <w:szCs w:val="20"/>
          <w:color w:val="auto"/>
        </w:rPr>
      </w:pPr>
      <w:r>
        <w:rPr>
          <w:rFonts w:ascii="Arial" w:cs="Arial" w:eastAsia="Arial" w:hAnsi="Arial"/>
          <w:sz w:val="18"/>
          <w:szCs w:val="18"/>
          <w:b w:val="1"/>
          <w:bCs w:val="1"/>
          <w:i w:val="1"/>
          <w:iCs w:val="1"/>
          <w:u w:val="single" w:color="auto"/>
          <w:color w:val="auto"/>
        </w:rPr>
        <w:t>Health and Welfare Benefits</w:t>
      </w:r>
      <w:r>
        <w:rPr>
          <w:rFonts w:ascii="Arial" w:cs="Arial" w:eastAsia="Arial" w:hAnsi="Arial"/>
          <w:sz w:val="18"/>
          <w:szCs w:val="18"/>
          <w:b w:val="1"/>
          <w:bCs w:val="1"/>
          <w:u w:val="single" w:color="auto"/>
          <w:color w:val="auto"/>
        </w:rPr>
        <w:t>.</w:t>
      </w:r>
      <w:r>
        <w:rPr>
          <w:sz w:val="20"/>
          <w:szCs w:val="20"/>
          <w:color w:val="auto"/>
        </w:rPr>
        <w:tab/>
      </w:r>
      <w:r>
        <w:rPr>
          <w:rFonts w:ascii="Arial" w:cs="Arial" w:eastAsia="Arial" w:hAnsi="Arial"/>
          <w:sz w:val="18"/>
          <w:szCs w:val="18"/>
          <w:color w:val="auto"/>
        </w:rPr>
        <w:t>We provide to each NEO and all full-time employees medical, dental,</w:t>
      </w:r>
    </w:p>
    <w:p>
      <w:pPr>
        <w:spacing w:after="0" w:line="14" w:lineRule="exact"/>
        <w:rPr>
          <w:sz w:val="20"/>
          <w:szCs w:val="20"/>
          <w:color w:val="auto"/>
        </w:rPr>
      </w:pPr>
    </w:p>
    <w:p>
      <w:pPr>
        <w:jc w:val="both"/>
        <w:ind w:left="1260" w:right="419"/>
        <w:spacing w:after="0" w:line="263" w:lineRule="auto"/>
        <w:rPr>
          <w:sz w:val="20"/>
          <w:szCs w:val="20"/>
          <w:color w:val="auto"/>
        </w:rPr>
      </w:pPr>
      <w:r>
        <w:rPr>
          <w:rFonts w:ascii="Arial" w:cs="Arial" w:eastAsia="Arial" w:hAnsi="Arial"/>
          <w:sz w:val="17"/>
          <w:szCs w:val="17"/>
          <w:color w:val="auto"/>
        </w:rPr>
        <w:t>and vision coverage as well as long-term and short-term disability and life insurance. The Company also pays a portion of the cost to cover employees’ dependents under the medical, dental, and vision plans.</w:t>
      </w:r>
    </w:p>
    <w:p>
      <w:pPr>
        <w:spacing w:after="0" w:line="1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u w:val="single" w:color="auto"/>
          <w:color w:val="auto"/>
        </w:rPr>
        <w:t>Perquisites</w:t>
      </w:r>
      <w:r>
        <w:rPr>
          <w:rFonts w:ascii="Arial" w:cs="Arial" w:eastAsia="Arial" w:hAnsi="Arial"/>
          <w:sz w:val="18"/>
          <w:szCs w:val="18"/>
          <w:b w:val="1"/>
          <w:bCs w:val="1"/>
          <w:u w:val="single" w:color="auto"/>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do not provide our NEOs with any perquisites or personal benefits.</w:t>
      </w:r>
    </w:p>
    <w:p>
      <w:pPr>
        <w:spacing w:after="0" w:line="131" w:lineRule="exact"/>
        <w:rPr>
          <w:sz w:val="20"/>
          <w:szCs w:val="20"/>
          <w:color w:val="auto"/>
        </w:rPr>
      </w:pPr>
    </w:p>
    <w:p>
      <w:pPr>
        <w:jc w:val="both"/>
        <w:ind w:left="1260" w:right="419"/>
        <w:spacing w:after="0" w:line="253" w:lineRule="auto"/>
        <w:rPr>
          <w:sz w:val="20"/>
          <w:szCs w:val="20"/>
          <w:color w:val="auto"/>
        </w:rPr>
      </w:pPr>
      <w:r>
        <w:rPr>
          <w:rFonts w:ascii="Arial" w:cs="Arial" w:eastAsia="Arial" w:hAnsi="Arial"/>
          <w:sz w:val="18"/>
          <w:szCs w:val="18"/>
          <w:b w:val="1"/>
          <w:bCs w:val="1"/>
          <w:i w:val="1"/>
          <w:iCs w:val="1"/>
          <w:u w:val="single" w:color="auto"/>
          <w:color w:val="auto"/>
        </w:rPr>
        <w:t>Stock Ownership</w:t>
      </w:r>
      <w:r>
        <w:rPr>
          <w:rFonts w:ascii="Arial" w:cs="Arial" w:eastAsia="Arial" w:hAnsi="Arial"/>
          <w:sz w:val="18"/>
          <w:szCs w:val="18"/>
          <w:b w:val="1"/>
          <w:bCs w:val="1"/>
          <w:u w:val="single" w:color="auto"/>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January 2019, we adopted new and enhanced stock ownership guidelines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directors and executive officers, which were most recently amended in July 2024. These guidelines require the following minimum ownership levels of the Company’s common stock:</w:t>
      </w:r>
    </w:p>
    <w:p>
      <w:pPr>
        <w:spacing w:after="0" w:line="88" w:lineRule="exact"/>
        <w:rPr>
          <w:sz w:val="20"/>
          <w:szCs w:val="20"/>
          <w:color w:val="auto"/>
        </w:rPr>
      </w:pPr>
    </w:p>
    <w:p>
      <w:pPr>
        <w:ind w:left="1980" w:right="419" w:hanging="360"/>
        <w:spacing w:after="0" w:line="287" w:lineRule="auto"/>
        <w:tabs>
          <w:tab w:leader="none" w:pos="1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Directors: the greater of (A) sufficient shares such that their value equals or exceeds five times the director’s annual cash retainer fee and (B) 10,000 shares.</w:t>
      </w:r>
    </w:p>
    <w:p>
      <w:pPr>
        <w:spacing w:after="0" w:line="71" w:lineRule="exact"/>
        <w:rPr>
          <w:rFonts w:ascii="Arial" w:cs="Arial" w:eastAsia="Arial" w:hAnsi="Arial"/>
          <w:sz w:val="18"/>
          <w:szCs w:val="18"/>
          <w:color w:val="auto"/>
        </w:rPr>
      </w:pPr>
    </w:p>
    <w:p>
      <w:pPr>
        <w:ind w:left="1980" w:right="419" w:hanging="360"/>
        <w:spacing w:after="0" w:line="287" w:lineRule="auto"/>
        <w:tabs>
          <w:tab w:leader="none" w:pos="1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CEO: sufficient shares such that their value equals or exceeds six times his or her annual base salary.</w:t>
      </w:r>
    </w:p>
    <w:p>
      <w:pPr>
        <w:spacing w:after="0" w:line="71" w:lineRule="exact"/>
        <w:rPr>
          <w:rFonts w:ascii="Arial" w:cs="Arial" w:eastAsia="Arial" w:hAnsi="Arial"/>
          <w:sz w:val="18"/>
          <w:szCs w:val="18"/>
          <w:color w:val="auto"/>
        </w:rPr>
      </w:pPr>
    </w:p>
    <w:p>
      <w:pPr>
        <w:ind w:left="1980" w:right="419" w:hanging="360"/>
        <w:spacing w:after="0" w:line="287" w:lineRule="auto"/>
        <w:tabs>
          <w:tab w:leader="none" w:pos="1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Other executive officers: sufficient shares such that their value equals or exceeds two times his or her annual base salary.</w:t>
      </w:r>
    </w:p>
    <w:p>
      <w:pPr>
        <w:spacing w:after="0" w:line="85" w:lineRule="exact"/>
        <w:rPr>
          <w:sz w:val="20"/>
          <w:szCs w:val="20"/>
          <w:color w:val="auto"/>
        </w:rPr>
      </w:pPr>
    </w:p>
    <w:p>
      <w:pPr>
        <w:jc w:val="both"/>
        <w:ind w:left="1260" w:right="419"/>
        <w:spacing w:after="0" w:line="253" w:lineRule="auto"/>
        <w:rPr>
          <w:sz w:val="20"/>
          <w:szCs w:val="20"/>
          <w:color w:val="auto"/>
        </w:rPr>
      </w:pPr>
      <w:r>
        <w:rPr>
          <w:rFonts w:ascii="Arial" w:cs="Arial" w:eastAsia="Arial" w:hAnsi="Arial"/>
          <w:sz w:val="18"/>
          <w:szCs w:val="18"/>
          <w:color w:val="auto"/>
        </w:rPr>
        <w:t>Compliance with these ownership guidelines is measured on the first trading day of each calendar year (the “Compliance Date”), commencing on the fifth Compliance Date after the date such person is first elected or appointed to such position.</w:t>
      </w:r>
    </w:p>
    <w:p>
      <w:pPr>
        <w:spacing w:after="0" w:line="101" w:lineRule="exact"/>
        <w:rPr>
          <w:sz w:val="20"/>
          <w:szCs w:val="20"/>
          <w:color w:val="auto"/>
        </w:rPr>
      </w:pPr>
    </w:p>
    <w:p>
      <w:pPr>
        <w:jc w:val="both"/>
        <w:ind w:left="1260" w:right="419"/>
        <w:spacing w:after="0" w:line="251" w:lineRule="auto"/>
        <w:rPr>
          <w:sz w:val="20"/>
          <w:szCs w:val="20"/>
          <w:color w:val="auto"/>
        </w:rPr>
      </w:pPr>
      <w:r>
        <w:rPr>
          <w:rFonts w:ascii="Arial" w:cs="Arial" w:eastAsia="Arial" w:hAnsi="Arial"/>
          <w:sz w:val="18"/>
          <w:szCs w:val="18"/>
          <w:color w:val="auto"/>
        </w:rPr>
        <w:t>In addition, with respect to shares of the Company’s common stock acquired through the vesting of equity incentive awards such as restricted stock, performance shares or the exercise of a stock option (“incentive plan shares”), the recipient of such award must retain at least 50% of the incentive plan shares (net of any incentive plan shares tendered to the Company or sold to pay corresponding income tax withholding, other payroll taxes and, where applicable, the stock option exercise price).</w:t>
      </w:r>
    </w:p>
    <w:p>
      <w:pPr>
        <w:spacing w:after="0" w:line="175" w:lineRule="exact"/>
        <w:rPr>
          <w:sz w:val="20"/>
          <w:szCs w:val="20"/>
          <w:color w:val="auto"/>
        </w:rPr>
      </w:pPr>
    </w:p>
    <w:p>
      <w:pPr>
        <w:ind w:left="1260" w:right="679"/>
        <w:spacing w:after="0" w:line="278" w:lineRule="auto"/>
        <w:rPr>
          <w:sz w:val="20"/>
          <w:szCs w:val="20"/>
          <w:color w:val="auto"/>
        </w:rPr>
      </w:pPr>
      <w:r>
        <w:rPr>
          <w:rFonts w:ascii="Arial" w:cs="Arial" w:eastAsia="Arial" w:hAnsi="Arial"/>
          <w:sz w:val="18"/>
          <w:szCs w:val="18"/>
          <w:b w:val="1"/>
          <w:bCs w:val="1"/>
          <w:i w:val="1"/>
          <w:iCs w:val="1"/>
          <w:u w:val="single" w:color="auto"/>
          <w:color w:val="auto"/>
        </w:rPr>
        <w:t>Practices Related to the Grant of Certain Equity Awards in Relation to the Release of Material Nonpublic Information</w:t>
      </w:r>
    </w:p>
    <w:p>
      <w:pPr>
        <w:spacing w:after="0" w:line="72" w:lineRule="exact"/>
        <w:rPr>
          <w:sz w:val="20"/>
          <w:szCs w:val="20"/>
          <w:color w:val="auto"/>
        </w:rPr>
      </w:pPr>
    </w:p>
    <w:p>
      <w:pPr>
        <w:jc w:val="both"/>
        <w:ind w:left="1260" w:right="419"/>
        <w:spacing w:after="0" w:line="245" w:lineRule="auto"/>
        <w:rPr>
          <w:sz w:val="20"/>
          <w:szCs w:val="20"/>
          <w:color w:val="auto"/>
        </w:rPr>
      </w:pPr>
      <w:r>
        <w:rPr>
          <w:rFonts w:ascii="Arial" w:cs="Arial" w:eastAsia="Arial" w:hAnsi="Arial"/>
          <w:sz w:val="18"/>
          <w:szCs w:val="18"/>
          <w:color w:val="auto"/>
        </w:rPr>
        <w:t>We do not currently grant stock options or stock appreciation rights (“SARs”) as part of our equity compensation programs. During 2025, (a) the Compensation Committee and the Board did not award any options or SARs to a named executive officer, and (b) the Company did not time the disclosure of material nonpublic information to affect the value of executive compensation. However, if stock options or SARs were to be granted in the future, the Company would not grant such awards in anticipation of the release of material nonpublic information that is likely to result in changes to the price of our common stock.</w:t>
      </w:r>
    </w:p>
    <w:p>
      <w:pPr>
        <w:spacing w:after="0" w:line="6"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COMPENSATION COMMITTEE REPORT</w:t>
      </w:r>
    </w:p>
    <w:p>
      <w:pPr>
        <w:spacing w:after="0" w:line="144" w:lineRule="exact"/>
        <w:rPr>
          <w:sz w:val="20"/>
          <w:szCs w:val="20"/>
          <w:color w:val="auto"/>
        </w:rPr>
      </w:pPr>
    </w:p>
    <w:p>
      <w:pPr>
        <w:jc w:val="both"/>
        <w:ind w:left="1260" w:right="419"/>
        <w:spacing w:after="0" w:line="248" w:lineRule="auto"/>
        <w:rPr>
          <w:sz w:val="20"/>
          <w:szCs w:val="20"/>
          <w:color w:val="auto"/>
        </w:rPr>
      </w:pPr>
      <w:r>
        <w:rPr>
          <w:rFonts w:ascii="Arial" w:cs="Arial" w:eastAsia="Arial" w:hAnsi="Arial"/>
          <w:sz w:val="18"/>
          <w:szCs w:val="18"/>
          <w:color w:val="auto"/>
        </w:rPr>
        <w:t>The Compensation Committee has reviewed and discussed the Compensation Discussion and Analysis with management. Based on such review and discussion with management, the Compensation Committee has recommended to the Board of Directors that the Compensation Discussion and Analysis be included in this proxy statement and incorporated by reference in our 2025 Annual Report. Submitted by the Compensation Committee: Christopher W. Haga, Chairman, George R. Brokaw, and Christopher J. Drew.</w:t>
      </w:r>
    </w:p>
    <w:p>
      <w:pPr>
        <w:spacing w:after="0" w:line="107" w:lineRule="exact"/>
        <w:rPr>
          <w:sz w:val="20"/>
          <w:szCs w:val="20"/>
          <w:color w:val="auto"/>
        </w:rPr>
      </w:pPr>
    </w:p>
    <w:p>
      <w:pPr>
        <w:jc w:val="both"/>
        <w:ind w:left="1260" w:right="419"/>
        <w:spacing w:after="0" w:line="246" w:lineRule="auto"/>
        <w:rPr>
          <w:sz w:val="20"/>
          <w:szCs w:val="20"/>
          <w:color w:val="auto"/>
        </w:rPr>
      </w:pPr>
      <w:r>
        <w:rPr>
          <w:rFonts w:ascii="Arial" w:cs="Arial" w:eastAsia="Arial" w:hAnsi="Arial"/>
          <w:sz w:val="18"/>
          <w:szCs w:val="18"/>
          <w:b w:val="1"/>
          <w:bCs w:val="1"/>
          <w:i w:val="1"/>
          <w:iCs w:val="1"/>
          <w:u w:val="single" w:color="auto"/>
          <w:color w:val="auto"/>
        </w:rPr>
        <w:t>Absence of Interlocks.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None of the members of the Compensation Committee is or has been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 officer of the Company and no director who served on the Compensation Committee during 2025 had any relationships requiring disclosure by the Company under the SEC’s rules requiring disclosure of certain relationships and related-party transactions. None of the Company’s executive officers served as a director or a member of a compensation committee (or other committee serving an equivalent function) of any other entity, the executive officers of which served as a director of the Company or member of the Compensation Committee during 2025.</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269240</wp:posOffset>
            </wp:positionV>
            <wp:extent cx="68319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2025 SUMMARY COMPENSATION TABLE</w:t>
      </w:r>
    </w:p>
    <w:p>
      <w:pPr>
        <w:spacing w:after="0" w:line="158" w:lineRule="exact"/>
        <w:rPr>
          <w:sz w:val="20"/>
          <w:szCs w:val="20"/>
          <w:color w:val="auto"/>
        </w:rPr>
      </w:pPr>
    </w:p>
    <w:p>
      <w:pPr>
        <w:ind w:left="1260" w:right="419"/>
        <w:spacing w:after="0" w:line="287" w:lineRule="auto"/>
        <w:rPr>
          <w:sz w:val="20"/>
          <w:szCs w:val="20"/>
          <w:color w:val="auto"/>
        </w:rPr>
      </w:pPr>
      <w:r>
        <w:rPr>
          <w:rFonts w:ascii="Arial" w:cs="Arial" w:eastAsia="Arial" w:hAnsi="Arial"/>
          <w:sz w:val="18"/>
          <w:szCs w:val="18"/>
          <w:color w:val="auto"/>
        </w:rPr>
        <w:t>The following table summarizes the compensation of our NEOs for the fiscal years ended December 31, 2023, 2024, and 2025:</w:t>
      </w:r>
    </w:p>
    <w:p>
      <w:pPr>
        <w:spacing w:after="0" w:line="12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ind w:left="100"/>
              <w:spacing w:after="0"/>
              <w:rPr>
                <w:sz w:val="20"/>
                <w:szCs w:val="20"/>
                <w:color w:val="auto"/>
              </w:rPr>
            </w:pPr>
            <w:r>
              <w:rPr>
                <w:rFonts w:ascii="Arial" w:cs="Arial" w:eastAsia="Arial" w:hAnsi="Arial"/>
                <w:sz w:val="14"/>
                <w:szCs w:val="14"/>
                <w:b w:val="1"/>
                <w:bCs w:val="1"/>
                <w:color w:val="auto"/>
              </w:rPr>
              <w:t>Non-Equity</w:t>
            </w: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ind w:right="77"/>
              <w:spacing w:after="0"/>
              <w:rPr>
                <w:sz w:val="20"/>
                <w:szCs w:val="20"/>
                <w:color w:val="auto"/>
              </w:rPr>
            </w:pPr>
            <w:r>
              <w:rPr>
                <w:rFonts w:ascii="Arial" w:cs="Arial" w:eastAsia="Arial" w:hAnsi="Arial"/>
                <w:sz w:val="14"/>
                <w:szCs w:val="14"/>
                <w:b w:val="1"/>
                <w:bCs w:val="1"/>
                <w:color w:val="auto"/>
                <w:w w:val="99"/>
              </w:rPr>
              <w:t>Stock</w:t>
            </w:r>
          </w:p>
        </w:tc>
        <w:tc>
          <w:tcPr>
            <w:tcW w:w="180" w:type="dxa"/>
            <w:vAlign w:val="bottom"/>
          </w:tcPr>
          <w:p>
            <w:pPr>
              <w:spacing w:after="0"/>
              <w:rPr>
                <w:sz w:val="14"/>
                <w:szCs w:val="14"/>
                <w:color w:val="auto"/>
              </w:rPr>
            </w:pP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rPr>
              <w:t>Incentive Plan</w:t>
            </w:r>
          </w:p>
        </w:tc>
        <w:tc>
          <w:tcPr>
            <w:tcW w:w="20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rPr>
              <w:t>All Other</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ind w:left="100"/>
              <w:spacing w:after="0"/>
              <w:rPr>
                <w:sz w:val="20"/>
                <w:szCs w:val="20"/>
                <w:color w:val="auto"/>
              </w:rPr>
            </w:pPr>
            <w:r>
              <w:rPr>
                <w:rFonts w:ascii="Arial" w:cs="Arial" w:eastAsia="Arial" w:hAnsi="Arial"/>
                <w:sz w:val="14"/>
                <w:szCs w:val="14"/>
                <w:b w:val="1"/>
                <w:bCs w:val="1"/>
                <w:color w:val="auto"/>
              </w:rPr>
              <w:t>Salary</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ind w:right="97"/>
              <w:spacing w:after="0"/>
              <w:rPr>
                <w:sz w:val="20"/>
                <w:szCs w:val="20"/>
                <w:color w:val="auto"/>
              </w:rPr>
            </w:pPr>
            <w:r>
              <w:rPr>
                <w:rFonts w:ascii="Arial" w:cs="Arial" w:eastAsia="Arial" w:hAnsi="Arial"/>
                <w:sz w:val="14"/>
                <w:szCs w:val="14"/>
                <w:b w:val="1"/>
                <w:bCs w:val="1"/>
                <w:color w:val="auto"/>
              </w:rPr>
              <w:t>Awards</w:t>
            </w:r>
          </w:p>
        </w:tc>
        <w:tc>
          <w:tcPr>
            <w:tcW w:w="180" w:type="dxa"/>
            <w:vAlign w:val="bottom"/>
          </w:tcPr>
          <w:p>
            <w:pPr>
              <w:spacing w:after="0"/>
              <w:rPr>
                <w:sz w:val="14"/>
                <w:szCs w:val="14"/>
                <w:color w:val="auto"/>
              </w:rPr>
            </w:pP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rPr>
              <w:t>Compensation</w:t>
            </w:r>
          </w:p>
        </w:tc>
        <w:tc>
          <w:tcPr>
            <w:tcW w:w="20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rPr>
              <w:t>Compensation</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17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8"/>
        </w:trPr>
        <w:tc>
          <w:tcPr>
            <w:tcW w:w="2260" w:type="dxa"/>
            <w:vAlign w:val="bottom"/>
          </w:tcPr>
          <w:p>
            <w:pPr>
              <w:spacing w:after="0"/>
              <w:rPr>
                <w:sz w:val="20"/>
                <w:szCs w:val="20"/>
                <w:color w:val="auto"/>
              </w:rPr>
            </w:pPr>
            <w:r>
              <w:rPr>
                <w:rFonts w:ascii="Arial" w:cs="Arial" w:eastAsia="Arial" w:hAnsi="Arial"/>
                <w:sz w:val="14"/>
                <w:szCs w:val="14"/>
                <w:b w:val="1"/>
                <w:bCs w:val="1"/>
                <w:color w:val="auto"/>
              </w:rPr>
              <w:t>Name and Principal Position</w:t>
            </w:r>
          </w:p>
        </w:tc>
        <w:tc>
          <w:tcPr>
            <w:tcW w:w="80" w:type="dxa"/>
            <w:vAlign w:val="bottom"/>
          </w:tcPr>
          <w:p>
            <w:pPr>
              <w:spacing w:after="0"/>
              <w:rPr>
                <w:sz w:val="17"/>
                <w:szCs w:val="17"/>
                <w:color w:val="auto"/>
              </w:rPr>
            </w:pPr>
          </w:p>
        </w:tc>
        <w:tc>
          <w:tcPr>
            <w:tcW w:w="540" w:type="dxa"/>
            <w:vAlign w:val="bottom"/>
            <w:gridSpan w:val="2"/>
          </w:tcPr>
          <w:p>
            <w:pPr>
              <w:ind w:left="60"/>
              <w:spacing w:after="0" w:line="199" w:lineRule="exact"/>
              <w:rPr>
                <w:sz w:val="20"/>
                <w:szCs w:val="20"/>
                <w:color w:val="auto"/>
              </w:rPr>
            </w:pPr>
            <w:r>
              <w:rPr>
                <w:rFonts w:ascii="Arial" w:cs="Arial" w:eastAsia="Arial" w:hAnsi="Arial"/>
                <w:sz w:val="22"/>
                <w:szCs w:val="22"/>
                <w:b w:val="1"/>
                <w:bCs w:val="1"/>
                <w:color w:val="auto"/>
                <w:vertAlign w:val="subscript"/>
              </w:rPr>
              <w:t>​</w:t>
            </w:r>
            <w:r>
              <w:rPr>
                <w:rFonts w:ascii="Arial" w:cs="Arial" w:eastAsia="Arial" w:hAnsi="Arial"/>
                <w:sz w:val="12"/>
                <w:szCs w:val="12"/>
                <w:b w:val="1"/>
                <w:bCs w:val="1"/>
                <w:color w:val="auto"/>
              </w:rPr>
              <w:t xml:space="preserve"> Year</w:t>
            </w:r>
          </w:p>
        </w:tc>
        <w:tc>
          <w:tcPr>
            <w:tcW w:w="860" w:type="dxa"/>
            <w:vAlign w:val="bottom"/>
            <w:gridSpan w:val="2"/>
          </w:tcPr>
          <w:p>
            <w:pPr>
              <w:ind w:left="20"/>
              <w:spacing w:after="0" w:line="199" w:lineRule="exact"/>
              <w:rPr>
                <w:sz w:val="20"/>
                <w:szCs w:val="20"/>
                <w:color w:val="auto"/>
              </w:rPr>
            </w:pPr>
            <w:r>
              <w:rPr>
                <w:rFonts w:ascii="Arial" w:cs="Arial" w:eastAsia="Arial" w:hAnsi="Arial"/>
                <w:sz w:val="22"/>
                <w:szCs w:val="22"/>
                <w:b w:val="1"/>
                <w:bCs w:val="1"/>
                <w:color w:val="auto"/>
                <w:vertAlign w:val="subscript"/>
              </w:rPr>
              <w:t>​ ​</w:t>
            </w:r>
            <w:r>
              <w:rPr>
                <w:rFonts w:ascii="Arial" w:cs="Arial" w:eastAsia="Arial" w:hAnsi="Arial"/>
                <w:sz w:val="12"/>
                <w:szCs w:val="12"/>
                <w:b w:val="1"/>
                <w:bCs w:val="1"/>
                <w:color w:val="auto"/>
              </w:rPr>
              <w:t xml:space="preserve">   ($)</w:t>
            </w:r>
          </w:p>
        </w:tc>
        <w:tc>
          <w:tcPr>
            <w:tcW w:w="280" w:type="dxa"/>
            <w:vAlign w:val="bottom"/>
            <w:gridSpan w:val="2"/>
          </w:tcPr>
          <w:p>
            <w:pPr>
              <w:ind w:left="40"/>
              <w:spacing w:after="0"/>
              <w:rPr>
                <w:sz w:val="20"/>
                <w:szCs w:val="20"/>
                <w:color w:val="auto"/>
              </w:rPr>
            </w:pPr>
            <w:r>
              <w:rPr>
                <w:rFonts w:ascii="Arial" w:cs="Arial" w:eastAsia="Arial" w:hAnsi="Arial"/>
                <w:sz w:val="14"/>
                <w:szCs w:val="14"/>
                <w:b w:val="1"/>
                <w:bCs w:val="1"/>
                <w:color w:val="auto"/>
              </w:rPr>
              <w:t>​ ​</w:t>
            </w:r>
          </w:p>
        </w:tc>
        <w:tc>
          <w:tcPr>
            <w:tcW w:w="740" w:type="dxa"/>
            <w:vAlign w:val="bottom"/>
          </w:tcPr>
          <w:p>
            <w:pPr>
              <w:jc w:val="center"/>
              <w:ind w:right="37"/>
              <w:spacing w:after="0" w:line="199" w:lineRule="exact"/>
              <w:rPr>
                <w:sz w:val="20"/>
                <w:szCs w:val="20"/>
                <w:color w:val="auto"/>
              </w:rPr>
            </w:pPr>
            <w:r>
              <w:rPr>
                <w:rFonts w:ascii="Arial" w:cs="Arial" w:eastAsia="Arial" w:hAnsi="Arial"/>
                <w:sz w:val="22"/>
                <w:szCs w:val="22"/>
                <w:b w:val="1"/>
                <w:bCs w:val="1"/>
                <w:color w:val="auto"/>
                <w:vertAlign w:val="subscript"/>
              </w:rPr>
              <w:t>($)</w:t>
            </w:r>
            <w:r>
              <w:rPr>
                <w:rFonts w:ascii="Arial" w:cs="Arial" w:eastAsia="Arial" w:hAnsi="Arial"/>
                <w:sz w:val="8"/>
                <w:szCs w:val="8"/>
                <w:b w:val="1"/>
                <w:bCs w:val="1"/>
                <w:color w:val="auto"/>
              </w:rPr>
              <w:t>(2)(3)</w:t>
            </w:r>
          </w:p>
        </w:tc>
        <w:tc>
          <w:tcPr>
            <w:tcW w:w="180" w:type="dxa"/>
            <w:vAlign w:val="bottom"/>
          </w:tcPr>
          <w:p>
            <w:pPr>
              <w:ind w:left="20"/>
              <w:spacing w:after="0"/>
              <w:rPr>
                <w:sz w:val="20"/>
                <w:szCs w:val="20"/>
                <w:color w:val="auto"/>
              </w:rPr>
            </w:pPr>
            <w:r>
              <w:rPr>
                <w:rFonts w:ascii="Arial" w:cs="Arial" w:eastAsia="Arial" w:hAnsi="Arial"/>
                <w:sz w:val="14"/>
                <w:szCs w:val="14"/>
                <w:b w:val="1"/>
                <w:bCs w:val="1"/>
                <w:color w:val="auto"/>
              </w:rPr>
              <w:t>​ ​</w:t>
            </w:r>
          </w:p>
        </w:tc>
        <w:tc>
          <w:tcPr>
            <w:tcW w:w="200" w:type="dxa"/>
            <w:vAlign w:val="bottom"/>
          </w:tcPr>
          <w:p>
            <w:pPr>
              <w:spacing w:after="0"/>
              <w:rPr>
                <w:sz w:val="17"/>
                <w:szCs w:val="17"/>
                <w:color w:val="auto"/>
              </w:rPr>
            </w:pPr>
          </w:p>
        </w:tc>
        <w:tc>
          <w:tcPr>
            <w:tcW w:w="820" w:type="dxa"/>
            <w:vAlign w:val="bottom"/>
          </w:tcPr>
          <w:p>
            <w:pPr>
              <w:jc w:val="center"/>
              <w:ind w:right="112"/>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 ​</w:t>
            </w:r>
          </w:p>
        </w:tc>
        <w:tc>
          <w:tcPr>
            <w:tcW w:w="740" w:type="dxa"/>
            <w:vAlign w:val="bottom"/>
          </w:tcPr>
          <w:p>
            <w:pPr>
              <w:jc w:val="center"/>
              <w:ind w:left="220"/>
              <w:spacing w:after="0"/>
              <w:rPr>
                <w:sz w:val="20"/>
                <w:szCs w:val="20"/>
                <w:color w:val="auto"/>
              </w:rPr>
            </w:pPr>
            <w:r>
              <w:rPr>
                <w:rFonts w:ascii="Arial" w:cs="Arial" w:eastAsia="Arial" w:hAnsi="Arial"/>
                <w:sz w:val="14"/>
                <w:szCs w:val="14"/>
                <w:b w:val="1"/>
                <w:bCs w:val="1"/>
                <w:color w:val="auto"/>
                <w:w w:val="93"/>
              </w:rPr>
              <w:t>($)</w:t>
            </w:r>
          </w:p>
        </w:tc>
        <w:tc>
          <w:tcPr>
            <w:tcW w:w="300" w:type="dxa"/>
            <w:vAlign w:val="bottom"/>
          </w:tcPr>
          <w:p>
            <w:pPr>
              <w:spacing w:after="0"/>
              <w:rPr>
                <w:sz w:val="17"/>
                <w:szCs w:val="17"/>
                <w:color w:val="auto"/>
              </w:rPr>
            </w:pPr>
          </w:p>
        </w:tc>
        <w:tc>
          <w:tcPr>
            <w:tcW w:w="3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 ​</w:t>
            </w:r>
          </w:p>
        </w:tc>
        <w:tc>
          <w:tcPr>
            <w:tcW w:w="700" w:type="dxa"/>
            <w:vAlign w:val="bottom"/>
          </w:tcPr>
          <w:p>
            <w:pPr>
              <w:jc w:val="right"/>
              <w:ind w:right="23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2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4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40" w:type="dxa"/>
            <w:vAlign w:val="bottom"/>
            <w:tcBorders>
              <w:right w:val="single" w:sz="8" w:color="CCEEFF"/>
            </w:tcBorders>
            <w:gridSpan w:val="2"/>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20" w:type="dxa"/>
            <w:vAlign w:val="bottom"/>
            <w:tcBorders>
              <w:right w:val="single" w:sz="8" w:color="auto"/>
            </w:tcBorders>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40" w:type="dxa"/>
            <w:vAlign w:val="bottom"/>
            <w:tcBorders>
              <w:right w:val="single" w:sz="8" w:color="auto"/>
            </w:tcBorders>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2260" w:type="dxa"/>
            <w:vAlign w:val="bottom"/>
          </w:tcPr>
          <w:p>
            <w:pPr>
              <w:spacing w:after="0"/>
              <w:rPr>
                <w:sz w:val="20"/>
                <w:szCs w:val="20"/>
                <w:color w:val="auto"/>
              </w:rPr>
            </w:pPr>
            <w:r>
              <w:rPr>
                <w:rFonts w:ascii="Arial" w:cs="Arial" w:eastAsia="Arial" w:hAnsi="Arial"/>
                <w:sz w:val="18"/>
                <w:szCs w:val="18"/>
                <w:color w:val="auto"/>
              </w:rPr>
              <w:t>John P. Albright</w:t>
            </w:r>
          </w:p>
        </w:tc>
        <w:tc>
          <w:tcPr>
            <w:tcW w:w="80" w:type="dxa"/>
            <w:vAlign w:val="bottom"/>
          </w:tcPr>
          <w:p>
            <w:pPr>
              <w:spacing w:after="0"/>
              <w:rPr>
                <w:sz w:val="24"/>
                <w:szCs w:val="24"/>
                <w:color w:val="auto"/>
              </w:rPr>
            </w:pPr>
          </w:p>
        </w:tc>
        <w:tc>
          <w:tcPr>
            <w:tcW w:w="540" w:type="dxa"/>
            <w:vAlign w:val="bottom"/>
            <w:tcBorders>
              <w:bottom w:val="single" w:sz="8" w:color="CCEEFF"/>
              <w:right w:val="single" w:sz="8" w:color="CCEEFF"/>
            </w:tcBorders>
            <w:gridSpan w:val="2"/>
            <w:shd w:val="clear" w:color="auto" w:fill="CCEEFF"/>
          </w:tcPr>
          <w:p>
            <w:pPr>
              <w:jc w:val="right"/>
              <w:ind w:right="20"/>
              <w:spacing w:after="0" w:line="245"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2025</w:t>
            </w:r>
          </w:p>
        </w:tc>
        <w:tc>
          <w:tcPr>
            <w:tcW w:w="860" w:type="dxa"/>
            <w:vAlign w:val="bottom"/>
            <w:tcBorders>
              <w:bottom w:val="single" w:sz="8" w:color="CCEEFF"/>
              <w:right w:val="single" w:sz="8" w:color="CCEEFF"/>
            </w:tcBorders>
            <w:gridSpan w:val="2"/>
            <w:shd w:val="clear" w:color="auto" w:fill="CCEEFF"/>
          </w:tcPr>
          <w:p>
            <w:pPr>
              <w:ind w:left="20"/>
              <w:spacing w:after="0" w:line="245"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5"/>
                <w:szCs w:val="15"/>
                <w:color w:val="auto"/>
              </w:rPr>
              <w:t>870,000</w:t>
            </w:r>
          </w:p>
        </w:tc>
        <w:tc>
          <w:tcPr>
            <w:tcW w:w="1020" w:type="dxa"/>
            <w:vAlign w:val="bottom"/>
            <w:tcBorders>
              <w:bottom w:val="single" w:sz="8" w:color="CCEEFF"/>
              <w:right w:val="single" w:sz="8" w:color="CCEEFF"/>
            </w:tcBorders>
            <w:gridSpan w:val="3"/>
            <w:shd w:val="clear" w:color="auto" w:fill="CCEEFF"/>
          </w:tcPr>
          <w:p>
            <w:pPr>
              <w:ind w:left="40"/>
              <w:spacing w:after="0" w:line="245"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5"/>
                <w:szCs w:val="15"/>
                <w:color w:val="auto"/>
              </w:rPr>
              <w:t>1,778,421</w:t>
            </w:r>
          </w:p>
        </w:tc>
        <w:tc>
          <w:tcPr>
            <w:tcW w:w="180" w:type="dxa"/>
            <w:vAlign w:val="bottom"/>
            <w:tcBorders>
              <w:bottom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w:t>
            </w:r>
          </w:p>
        </w:tc>
        <w:tc>
          <w:tcPr>
            <w:tcW w:w="1020" w:type="dxa"/>
            <w:vAlign w:val="bottom"/>
            <w:tcBorders>
              <w:bottom w:val="single" w:sz="8" w:color="CCEEFF"/>
              <w:right w:val="single" w:sz="8" w:color="CCEEFF"/>
            </w:tcBorders>
            <w:gridSpan w:val="2"/>
            <w:shd w:val="clear" w:color="auto" w:fill="CCEEFF"/>
          </w:tcPr>
          <w:p>
            <w:pPr>
              <w:jc w:val="right"/>
              <w:ind w:right="32"/>
              <w:spacing w:after="0" w:line="245"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1,239,750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040" w:type="dxa"/>
            <w:vAlign w:val="bottom"/>
            <w:tcBorders>
              <w:bottom w:val="single" w:sz="8" w:color="CCEEFF"/>
              <w:right w:val="single" w:sz="8" w:color="CCEEFF"/>
            </w:tcBorders>
            <w:gridSpan w:val="2"/>
            <w:shd w:val="clear" w:color="auto" w:fill="CCEEFF"/>
          </w:tcPr>
          <w:p>
            <w:pPr>
              <w:jc w:val="right"/>
              <w:ind w:right="102"/>
              <w:spacing w:after="0" w:line="245"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17,564</w:t>
            </w:r>
            <w:r>
              <w:rPr>
                <w:rFonts w:ascii="Arial" w:cs="Arial" w:eastAsia="Arial" w:hAnsi="Arial"/>
                <w:sz w:val="19"/>
                <w:szCs w:val="19"/>
                <w:color w:val="auto"/>
                <w:vertAlign w:val="superscript"/>
              </w:rPr>
              <w:t>(4)</w:t>
            </w:r>
          </w:p>
        </w:tc>
        <w:tc>
          <w:tcPr>
            <w:tcW w:w="1000" w:type="dxa"/>
            <w:vAlign w:val="bottom"/>
            <w:tcBorders>
              <w:bottom w:val="single" w:sz="8" w:color="CCEEFF"/>
            </w:tcBorders>
            <w:gridSpan w:val="3"/>
            <w:shd w:val="clear" w:color="auto" w:fill="CCEEFF"/>
          </w:tcPr>
          <w:p>
            <w:pPr>
              <w:jc w:val="right"/>
              <w:spacing w:after="0" w:line="245"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5"/>
                <w:szCs w:val="15"/>
                <w:color w:val="auto"/>
              </w:rPr>
              <w:t>3,905,735</w:t>
            </w:r>
          </w:p>
        </w:tc>
        <w:tc>
          <w:tcPr>
            <w:tcW w:w="0" w:type="dxa"/>
            <w:vAlign w:val="bottom"/>
          </w:tcPr>
          <w:p>
            <w:pPr>
              <w:spacing w:after="0"/>
              <w:rPr>
                <w:sz w:val="1"/>
                <w:szCs w:val="1"/>
                <w:color w:val="auto"/>
              </w:rPr>
            </w:pPr>
          </w:p>
        </w:tc>
      </w:tr>
      <w:tr>
        <w:trPr>
          <w:trHeight w:val="148"/>
        </w:trPr>
        <w:tc>
          <w:tcPr>
            <w:tcW w:w="2340" w:type="dxa"/>
            <w:vAlign w:val="bottom"/>
            <w:gridSpan w:val="2"/>
          </w:tcPr>
          <w:p>
            <w:pPr>
              <w:ind w:left="180"/>
              <w:spacing w:after="0" w:line="149" w:lineRule="exact"/>
              <w:rPr>
                <w:sz w:val="20"/>
                <w:szCs w:val="20"/>
                <w:color w:val="auto"/>
              </w:rPr>
            </w:pPr>
            <w:r>
              <w:rPr>
                <w:rFonts w:ascii="Arial" w:cs="Arial" w:eastAsia="Arial" w:hAnsi="Arial"/>
                <w:sz w:val="17"/>
                <w:szCs w:val="17"/>
                <w:color w:val="auto"/>
              </w:rPr>
              <w:t>President &amp; Chief</w:t>
            </w:r>
          </w:p>
        </w:tc>
        <w:tc>
          <w:tcPr>
            <w:tcW w:w="540" w:type="dxa"/>
            <w:vAlign w:val="bottom"/>
            <w:gridSpan w:val="2"/>
          </w:tcPr>
          <w:p>
            <w:pPr>
              <w:ind w:left="60"/>
              <w:spacing w:after="0" w:line="149" w:lineRule="exact"/>
              <w:rPr>
                <w:sz w:val="20"/>
                <w:szCs w:val="20"/>
                <w:color w:val="auto"/>
              </w:rPr>
            </w:pPr>
            <w:r>
              <w:rPr>
                <w:rFonts w:ascii="Arial" w:cs="Arial" w:eastAsia="Arial" w:hAnsi="Arial"/>
                <w:sz w:val="17"/>
                <w:szCs w:val="17"/>
                <w:color w:val="auto"/>
              </w:rPr>
              <w:t>​​</w:t>
            </w:r>
          </w:p>
        </w:tc>
        <w:tc>
          <w:tcPr>
            <w:tcW w:w="860" w:type="dxa"/>
            <w:vAlign w:val="bottom"/>
            <w:gridSpan w:val="2"/>
          </w:tcPr>
          <w:p>
            <w:pPr>
              <w:ind w:left="20"/>
              <w:spacing w:after="0" w:line="149" w:lineRule="exact"/>
              <w:rPr>
                <w:sz w:val="20"/>
                <w:szCs w:val="20"/>
                <w:color w:val="auto"/>
              </w:rPr>
            </w:pPr>
            <w:r>
              <w:rPr>
                <w:rFonts w:ascii="Arial" w:cs="Arial" w:eastAsia="Arial" w:hAnsi="Arial"/>
                <w:sz w:val="17"/>
                <w:szCs w:val="17"/>
                <w:color w:val="auto"/>
                <w:shd w:val="clear" w:color="auto" w:fill="CCEEFF"/>
              </w:rPr>
              <w:t>​ ​​</w:t>
            </w:r>
          </w:p>
        </w:tc>
        <w:tc>
          <w:tcPr>
            <w:tcW w:w="280" w:type="dxa"/>
            <w:vAlign w:val="bottom"/>
            <w:gridSpan w:val="2"/>
          </w:tcPr>
          <w:p>
            <w:pPr>
              <w:ind w:left="40"/>
              <w:spacing w:after="0" w:line="149" w:lineRule="exact"/>
              <w:rPr>
                <w:sz w:val="20"/>
                <w:szCs w:val="20"/>
                <w:color w:val="auto"/>
              </w:rPr>
            </w:pPr>
            <w:r>
              <w:rPr>
                <w:rFonts w:ascii="Arial" w:cs="Arial" w:eastAsia="Arial" w:hAnsi="Arial"/>
                <w:sz w:val="17"/>
                <w:szCs w:val="17"/>
                <w:color w:val="auto"/>
                <w:shd w:val="clear" w:color="auto" w:fill="CCEEFF"/>
              </w:rPr>
              <w:t>​ ​​</w:t>
            </w:r>
          </w:p>
        </w:tc>
        <w:tc>
          <w:tcPr>
            <w:tcW w:w="740" w:type="dxa"/>
            <w:vAlign w:val="bottom"/>
          </w:tcPr>
          <w:p>
            <w:pPr>
              <w:spacing w:after="0"/>
              <w:rPr>
                <w:sz w:val="12"/>
                <w:szCs w:val="12"/>
                <w:color w:val="auto"/>
              </w:rPr>
            </w:pPr>
          </w:p>
        </w:tc>
        <w:tc>
          <w:tcPr>
            <w:tcW w:w="180" w:type="dxa"/>
            <w:vAlign w:val="bottom"/>
          </w:tcPr>
          <w:p>
            <w:pPr>
              <w:ind w:left="20"/>
              <w:spacing w:after="0" w:line="149" w:lineRule="exact"/>
              <w:rPr>
                <w:sz w:val="20"/>
                <w:szCs w:val="20"/>
                <w:color w:val="auto"/>
              </w:rPr>
            </w:pPr>
            <w:r>
              <w:rPr>
                <w:rFonts w:ascii="Arial" w:cs="Arial" w:eastAsia="Arial" w:hAnsi="Arial"/>
                <w:sz w:val="17"/>
                <w:szCs w:val="17"/>
                <w:color w:val="auto"/>
                <w:shd w:val="clear" w:color="auto" w:fill="CCEEFF"/>
              </w:rPr>
              <w:t>​ ​</w:t>
            </w:r>
          </w:p>
        </w:tc>
        <w:tc>
          <w:tcPr>
            <w:tcW w:w="200" w:type="dxa"/>
            <w:vAlign w:val="bottom"/>
          </w:tcPr>
          <w:p>
            <w:pPr>
              <w:ind w:left="100"/>
              <w:spacing w:after="0" w:line="149" w:lineRule="exact"/>
              <w:rPr>
                <w:sz w:val="20"/>
                <w:szCs w:val="20"/>
                <w:color w:val="auto"/>
              </w:rPr>
            </w:pPr>
            <w:r>
              <w:rPr>
                <w:rFonts w:ascii="Arial" w:cs="Arial" w:eastAsia="Arial" w:hAnsi="Arial"/>
                <w:sz w:val="17"/>
                <w:szCs w:val="17"/>
                <w:color w:val="auto"/>
                <w:shd w:val="clear" w:color="auto" w:fill="CCEEFF"/>
              </w:rPr>
              <w:t>​</w:t>
            </w:r>
          </w:p>
        </w:tc>
        <w:tc>
          <w:tcPr>
            <w:tcW w:w="82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7"/>
                <w:szCs w:val="17"/>
                <w:color w:val="auto"/>
                <w:shd w:val="clear" w:color="auto" w:fill="CCEEFF"/>
              </w:rPr>
              <w:t>​​ ​</w:t>
            </w:r>
          </w:p>
        </w:tc>
        <w:tc>
          <w:tcPr>
            <w:tcW w:w="740" w:type="dxa"/>
            <w:vAlign w:val="bottom"/>
          </w:tcPr>
          <w:p>
            <w:pPr>
              <w:jc w:val="right"/>
              <w:ind w:right="440"/>
              <w:spacing w:after="0" w:line="149" w:lineRule="exact"/>
              <w:rPr>
                <w:sz w:val="20"/>
                <w:szCs w:val="20"/>
                <w:color w:val="auto"/>
              </w:rPr>
            </w:pPr>
            <w:r>
              <w:rPr>
                <w:rFonts w:ascii="Arial" w:cs="Arial" w:eastAsia="Arial" w:hAnsi="Arial"/>
                <w:sz w:val="17"/>
                <w:szCs w:val="17"/>
                <w:color w:val="auto"/>
                <w:shd w:val="clear" w:color="auto" w:fill="CCEEFF"/>
              </w:rPr>
              <w:t>​</w:t>
            </w:r>
          </w:p>
        </w:tc>
        <w:tc>
          <w:tcPr>
            <w:tcW w:w="300" w:type="dxa"/>
            <w:vAlign w:val="bottom"/>
          </w:tcPr>
          <w:p>
            <w:pPr>
              <w:jc w:val="right"/>
              <w:ind w:right="102"/>
              <w:spacing w:after="0"/>
              <w:rPr>
                <w:sz w:val="20"/>
                <w:szCs w:val="20"/>
                <w:color w:val="auto"/>
              </w:rPr>
            </w:pPr>
            <w:r>
              <w:rPr>
                <w:rFonts w:ascii="Arial" w:cs="Arial" w:eastAsia="Arial" w:hAnsi="Arial"/>
                <w:sz w:val="12"/>
                <w:szCs w:val="12"/>
                <w:color w:val="auto"/>
                <w:w w:val="81"/>
                <w:shd w:val="clear" w:color="auto" w:fill="CCEEFF"/>
              </w:rPr>
              <w:t>(4)</w:t>
            </w:r>
          </w:p>
        </w:tc>
        <w:tc>
          <w:tcPr>
            <w:tcW w:w="300" w:type="dxa"/>
            <w:vAlign w:val="bottom"/>
            <w:gridSpan w:val="2"/>
          </w:tcPr>
          <w:p>
            <w:pPr>
              <w:jc w:val="center"/>
              <w:ind w:right="60"/>
              <w:spacing w:after="0" w:line="149" w:lineRule="exact"/>
              <w:rPr>
                <w:sz w:val="20"/>
                <w:szCs w:val="20"/>
                <w:color w:val="auto"/>
              </w:rPr>
            </w:pPr>
            <w:r>
              <w:rPr>
                <w:rFonts w:ascii="Arial" w:cs="Arial" w:eastAsia="Arial" w:hAnsi="Arial"/>
                <w:sz w:val="17"/>
                <w:szCs w:val="17"/>
                <w:color w:val="auto"/>
                <w:shd w:val="clear" w:color="auto" w:fill="CCEEFF"/>
              </w:rPr>
              <w:t>​​ ​​</w:t>
            </w: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9"/>
        </w:trPr>
        <w:tc>
          <w:tcPr>
            <w:tcW w:w="2340" w:type="dxa"/>
            <w:vAlign w:val="bottom"/>
            <w:gridSpan w:val="2"/>
            <w:vMerge w:val="restart"/>
          </w:tcPr>
          <w:p>
            <w:pPr>
              <w:ind w:left="180"/>
              <w:spacing w:after="0"/>
              <w:rPr>
                <w:sz w:val="20"/>
                <w:szCs w:val="20"/>
                <w:color w:val="auto"/>
              </w:rPr>
            </w:pPr>
            <w:r>
              <w:rPr>
                <w:rFonts w:ascii="Arial" w:cs="Arial" w:eastAsia="Arial" w:hAnsi="Arial"/>
                <w:sz w:val="18"/>
                <w:szCs w:val="18"/>
                <w:color w:val="auto"/>
              </w:rPr>
              <w:t>Executive Officer</w:t>
            </w:r>
          </w:p>
        </w:tc>
        <w:tc>
          <w:tcPr>
            <w:tcW w:w="540" w:type="dxa"/>
            <w:vAlign w:val="bottom"/>
            <w:gridSpan w:val="2"/>
          </w:tcPr>
          <w:p>
            <w:pPr>
              <w:jc w:val="right"/>
              <w:ind w:right="20"/>
              <w:spacing w:after="0" w:line="90" w:lineRule="exact"/>
              <w:rPr>
                <w:sz w:val="20"/>
                <w:szCs w:val="20"/>
                <w:color w:val="auto"/>
              </w:rPr>
            </w:pPr>
            <w:r>
              <w:rPr>
                <w:rFonts w:ascii="Arial" w:cs="Arial" w:eastAsia="Arial" w:hAnsi="Arial"/>
                <w:sz w:val="10"/>
                <w:szCs w:val="10"/>
                <w:color w:val="auto"/>
                <w:shd w:val="clear" w:color="auto" w:fill="CCEEFF"/>
              </w:rPr>
              <w:t>2024</w:t>
            </w:r>
          </w:p>
        </w:tc>
        <w:tc>
          <w:tcPr>
            <w:tcW w:w="860" w:type="dxa"/>
            <w:vAlign w:val="bottom"/>
            <w:gridSpan w:val="2"/>
          </w:tcPr>
          <w:p>
            <w:pPr>
              <w:ind w:left="200"/>
              <w:spacing w:after="0" w:line="90" w:lineRule="exact"/>
              <w:rPr>
                <w:sz w:val="20"/>
                <w:szCs w:val="20"/>
                <w:color w:val="auto"/>
              </w:rPr>
            </w:pPr>
            <w:r>
              <w:rPr>
                <w:rFonts w:ascii="Arial" w:cs="Arial" w:eastAsia="Arial" w:hAnsi="Arial"/>
                <w:sz w:val="10"/>
                <w:szCs w:val="10"/>
                <w:color w:val="auto"/>
                <w:shd w:val="clear" w:color="auto" w:fill="CCEEFF"/>
              </w:rPr>
              <w:t>640,710</w:t>
            </w:r>
          </w:p>
        </w:tc>
        <w:tc>
          <w:tcPr>
            <w:tcW w:w="1020" w:type="dxa"/>
            <w:vAlign w:val="bottom"/>
            <w:gridSpan w:val="3"/>
          </w:tcPr>
          <w:p>
            <w:pPr>
              <w:jc w:val="right"/>
              <w:spacing w:after="0" w:line="90" w:lineRule="exact"/>
              <w:rPr>
                <w:sz w:val="20"/>
                <w:szCs w:val="20"/>
                <w:color w:val="auto"/>
              </w:rPr>
            </w:pPr>
            <w:r>
              <w:rPr>
                <w:rFonts w:ascii="Arial" w:cs="Arial" w:eastAsia="Arial" w:hAnsi="Arial"/>
                <w:sz w:val="10"/>
                <w:szCs w:val="10"/>
                <w:color w:val="auto"/>
                <w:shd w:val="clear" w:color="auto" w:fill="CCEEFF"/>
              </w:rPr>
              <w:t>1,172,927</w:t>
            </w:r>
          </w:p>
        </w:tc>
        <w:tc>
          <w:tcPr>
            <w:tcW w:w="180" w:type="dxa"/>
            <w:vAlign w:val="bottom"/>
          </w:tcPr>
          <w:p>
            <w:pPr>
              <w:spacing w:after="0"/>
              <w:rPr>
                <w:sz w:val="7"/>
                <w:szCs w:val="7"/>
                <w:color w:val="auto"/>
              </w:rPr>
            </w:pPr>
          </w:p>
        </w:tc>
        <w:tc>
          <w:tcPr>
            <w:tcW w:w="1020" w:type="dxa"/>
            <w:vAlign w:val="bottom"/>
            <w:gridSpan w:val="2"/>
          </w:tcPr>
          <w:p>
            <w:pPr>
              <w:jc w:val="right"/>
              <w:ind w:right="32"/>
              <w:spacing w:after="0" w:line="90" w:lineRule="exact"/>
              <w:rPr>
                <w:sz w:val="20"/>
                <w:szCs w:val="20"/>
                <w:color w:val="auto"/>
              </w:rPr>
            </w:pPr>
            <w:r>
              <w:rPr>
                <w:rFonts w:ascii="Arial" w:cs="Arial" w:eastAsia="Arial" w:hAnsi="Arial"/>
                <w:sz w:val="10"/>
                <w:szCs w:val="10"/>
                <w:color w:val="auto"/>
                <w:shd w:val="clear" w:color="auto" w:fill="CCEEFF"/>
              </w:rPr>
              <w:t>1,217,350</w:t>
            </w:r>
          </w:p>
        </w:tc>
        <w:tc>
          <w:tcPr>
            <w:tcW w:w="200" w:type="dxa"/>
            <w:vAlign w:val="bottom"/>
          </w:tcPr>
          <w:p>
            <w:pPr>
              <w:spacing w:after="0"/>
              <w:rPr>
                <w:sz w:val="7"/>
                <w:szCs w:val="7"/>
                <w:color w:val="auto"/>
              </w:rPr>
            </w:pPr>
          </w:p>
        </w:tc>
        <w:tc>
          <w:tcPr>
            <w:tcW w:w="740" w:type="dxa"/>
            <w:vAlign w:val="bottom"/>
          </w:tcPr>
          <w:p>
            <w:pPr>
              <w:jc w:val="right"/>
              <w:spacing w:after="0" w:line="90" w:lineRule="exact"/>
              <w:rPr>
                <w:sz w:val="20"/>
                <w:szCs w:val="20"/>
                <w:color w:val="auto"/>
              </w:rPr>
            </w:pPr>
            <w:r>
              <w:rPr>
                <w:rFonts w:ascii="Arial" w:cs="Arial" w:eastAsia="Arial" w:hAnsi="Arial"/>
                <w:sz w:val="10"/>
                <w:szCs w:val="10"/>
                <w:color w:val="auto"/>
                <w:shd w:val="clear" w:color="auto" w:fill="CCEEFF"/>
              </w:rPr>
              <w:t>16,122</w:t>
            </w:r>
          </w:p>
        </w:tc>
        <w:tc>
          <w:tcPr>
            <w:tcW w:w="300" w:type="dxa"/>
            <w:vAlign w:val="bottom"/>
          </w:tcPr>
          <w:p>
            <w:pPr>
              <w:spacing w:after="0"/>
              <w:rPr>
                <w:sz w:val="7"/>
                <w:szCs w:val="7"/>
                <w:color w:val="auto"/>
              </w:rPr>
            </w:pPr>
          </w:p>
        </w:tc>
        <w:tc>
          <w:tcPr>
            <w:tcW w:w="1000" w:type="dxa"/>
            <w:vAlign w:val="bottom"/>
            <w:gridSpan w:val="3"/>
          </w:tcPr>
          <w:p>
            <w:pPr>
              <w:jc w:val="right"/>
              <w:spacing w:after="0" w:line="90" w:lineRule="exact"/>
              <w:rPr>
                <w:sz w:val="20"/>
                <w:szCs w:val="20"/>
                <w:color w:val="auto"/>
              </w:rPr>
            </w:pPr>
            <w:r>
              <w:rPr>
                <w:rFonts w:ascii="Arial" w:cs="Arial" w:eastAsia="Arial" w:hAnsi="Arial"/>
                <w:sz w:val="10"/>
                <w:szCs w:val="10"/>
                <w:color w:val="auto"/>
                <w:shd w:val="clear" w:color="auto" w:fill="CCEEFF"/>
              </w:rPr>
              <w:t>3,047,109</w:t>
            </w:r>
          </w:p>
        </w:tc>
        <w:tc>
          <w:tcPr>
            <w:tcW w:w="0" w:type="dxa"/>
            <w:vAlign w:val="bottom"/>
          </w:tcPr>
          <w:p>
            <w:pPr>
              <w:spacing w:after="0"/>
              <w:rPr>
                <w:sz w:val="1"/>
                <w:szCs w:val="1"/>
                <w:color w:val="auto"/>
              </w:rPr>
            </w:pPr>
          </w:p>
        </w:tc>
      </w:tr>
      <w:tr>
        <w:trPr>
          <w:trHeight w:val="181"/>
        </w:trPr>
        <w:tc>
          <w:tcPr>
            <w:tcW w:w="2340" w:type="dxa"/>
            <w:vAlign w:val="bottom"/>
            <w:gridSpan w:val="2"/>
            <w:vMerge w:val="continue"/>
          </w:tcPr>
          <w:p>
            <w:pPr>
              <w:spacing w:after="0"/>
              <w:rPr>
                <w:sz w:val="15"/>
                <w:szCs w:val="15"/>
                <w:color w:val="auto"/>
              </w:rPr>
            </w:pPr>
          </w:p>
        </w:tc>
        <w:tc>
          <w:tcPr>
            <w:tcW w:w="540" w:type="dxa"/>
            <w:vAlign w:val="bottom"/>
            <w:gridSpan w:val="2"/>
          </w:tcPr>
          <w:p>
            <w:pPr>
              <w:ind w:left="60"/>
              <w:spacing w:after="0" w:line="181" w:lineRule="exact"/>
              <w:rPr>
                <w:sz w:val="20"/>
                <w:szCs w:val="20"/>
                <w:color w:val="auto"/>
              </w:rPr>
            </w:pPr>
            <w:r>
              <w:rPr>
                <w:rFonts w:ascii="Arial" w:cs="Arial" w:eastAsia="Arial" w:hAnsi="Arial"/>
                <w:sz w:val="18"/>
                <w:szCs w:val="18"/>
                <w:color w:val="auto"/>
              </w:rPr>
              <w:t>​​</w:t>
            </w:r>
          </w:p>
        </w:tc>
        <w:tc>
          <w:tcPr>
            <w:tcW w:w="860" w:type="dxa"/>
            <w:vAlign w:val="bottom"/>
            <w:gridSpan w:val="2"/>
          </w:tcPr>
          <w:p>
            <w:pPr>
              <w:ind w:left="20"/>
              <w:spacing w:after="0" w:line="181" w:lineRule="exact"/>
              <w:rPr>
                <w:sz w:val="20"/>
                <w:szCs w:val="20"/>
                <w:color w:val="auto"/>
              </w:rPr>
            </w:pPr>
            <w:r>
              <w:rPr>
                <w:rFonts w:ascii="Arial" w:cs="Arial" w:eastAsia="Arial" w:hAnsi="Arial"/>
                <w:sz w:val="18"/>
                <w:szCs w:val="18"/>
                <w:color w:val="auto"/>
                <w:shd w:val="clear" w:color="auto" w:fill="CCEEFF"/>
              </w:rPr>
              <w:t>​ ​​</w:t>
            </w:r>
          </w:p>
        </w:tc>
        <w:tc>
          <w:tcPr>
            <w:tcW w:w="280" w:type="dxa"/>
            <w:vAlign w:val="bottom"/>
            <w:gridSpan w:val="2"/>
          </w:tcPr>
          <w:p>
            <w:pPr>
              <w:ind w:left="40"/>
              <w:spacing w:after="0" w:line="181" w:lineRule="exact"/>
              <w:rPr>
                <w:sz w:val="20"/>
                <w:szCs w:val="20"/>
                <w:color w:val="auto"/>
              </w:rPr>
            </w:pPr>
            <w:r>
              <w:rPr>
                <w:rFonts w:ascii="Arial" w:cs="Arial" w:eastAsia="Arial" w:hAnsi="Arial"/>
                <w:sz w:val="18"/>
                <w:szCs w:val="18"/>
                <w:color w:val="auto"/>
                <w:shd w:val="clear" w:color="auto" w:fill="CCEEFF"/>
              </w:rPr>
              <w:t>​ ​​</w:t>
            </w:r>
          </w:p>
        </w:tc>
        <w:tc>
          <w:tcPr>
            <w:tcW w:w="740" w:type="dxa"/>
            <w:vAlign w:val="bottom"/>
          </w:tcPr>
          <w:p>
            <w:pPr>
              <w:spacing w:after="0"/>
              <w:rPr>
                <w:sz w:val="15"/>
                <w:szCs w:val="15"/>
                <w:color w:val="auto"/>
              </w:rPr>
            </w:pPr>
          </w:p>
        </w:tc>
        <w:tc>
          <w:tcPr>
            <w:tcW w:w="180" w:type="dxa"/>
            <w:vAlign w:val="bottom"/>
          </w:tcPr>
          <w:p>
            <w:pPr>
              <w:ind w:left="20"/>
              <w:spacing w:after="0" w:line="181" w:lineRule="exact"/>
              <w:rPr>
                <w:sz w:val="20"/>
                <w:szCs w:val="20"/>
                <w:color w:val="auto"/>
              </w:rPr>
            </w:pPr>
            <w:r>
              <w:rPr>
                <w:rFonts w:ascii="Arial" w:cs="Arial" w:eastAsia="Arial" w:hAnsi="Arial"/>
                <w:sz w:val="18"/>
                <w:szCs w:val="18"/>
                <w:color w:val="auto"/>
                <w:shd w:val="clear" w:color="auto" w:fill="CCEEFF"/>
              </w:rPr>
              <w:t>​ ​</w:t>
            </w:r>
          </w:p>
        </w:tc>
        <w:tc>
          <w:tcPr>
            <w:tcW w:w="200" w:type="dxa"/>
            <w:vAlign w:val="bottom"/>
          </w:tcPr>
          <w:p>
            <w:pPr>
              <w:ind w:left="100"/>
              <w:spacing w:after="0" w:line="181" w:lineRule="exact"/>
              <w:rPr>
                <w:sz w:val="20"/>
                <w:szCs w:val="20"/>
                <w:color w:val="auto"/>
              </w:rPr>
            </w:pPr>
            <w:r>
              <w:rPr>
                <w:rFonts w:ascii="Arial" w:cs="Arial" w:eastAsia="Arial" w:hAnsi="Arial"/>
                <w:sz w:val="18"/>
                <w:szCs w:val="18"/>
                <w:color w:val="auto"/>
                <w:shd w:val="clear" w:color="auto" w:fill="CCEEFF"/>
              </w:rPr>
              <w:t>​</w:t>
            </w:r>
          </w:p>
        </w:tc>
        <w:tc>
          <w:tcPr>
            <w:tcW w:w="820" w:type="dxa"/>
            <w:vAlign w:val="bottom"/>
            <w:vMerge w:val="restart"/>
          </w:tcPr>
          <w:p>
            <w:pPr>
              <w:jc w:val="right"/>
              <w:ind w:right="32"/>
              <w:spacing w:after="0"/>
              <w:rPr>
                <w:sz w:val="20"/>
                <w:szCs w:val="20"/>
                <w:color w:val="auto"/>
              </w:rPr>
            </w:pPr>
            <w:r>
              <w:rPr>
                <w:rFonts w:ascii="Arial" w:cs="Arial" w:eastAsia="Arial" w:hAnsi="Arial"/>
                <w:sz w:val="18"/>
                <w:szCs w:val="18"/>
                <w:color w:val="auto"/>
                <w:shd w:val="clear" w:color="auto" w:fill="CCEEFF"/>
              </w:rPr>
              <w:t>749,638</w:t>
            </w:r>
          </w:p>
        </w:tc>
        <w:tc>
          <w:tcPr>
            <w:tcW w:w="200" w:type="dxa"/>
            <w:vAlign w:val="bottom"/>
          </w:tcPr>
          <w:p>
            <w:pPr>
              <w:jc w:val="right"/>
              <w:spacing w:after="0" w:line="181" w:lineRule="exact"/>
              <w:rPr>
                <w:sz w:val="20"/>
                <w:szCs w:val="20"/>
                <w:color w:val="auto"/>
              </w:rPr>
            </w:pPr>
            <w:r>
              <w:rPr>
                <w:rFonts w:ascii="Arial" w:cs="Arial" w:eastAsia="Arial" w:hAnsi="Arial"/>
                <w:sz w:val="18"/>
                <w:szCs w:val="18"/>
                <w:color w:val="auto"/>
                <w:shd w:val="clear" w:color="auto" w:fill="CCEEFF"/>
              </w:rPr>
              <w:t>​​ ​</w:t>
            </w:r>
          </w:p>
        </w:tc>
        <w:tc>
          <w:tcPr>
            <w:tcW w:w="740" w:type="dxa"/>
            <w:vAlign w:val="bottom"/>
          </w:tcPr>
          <w:p>
            <w:pPr>
              <w:jc w:val="right"/>
              <w:ind w:right="440"/>
              <w:spacing w:after="0" w:line="181" w:lineRule="exact"/>
              <w:rPr>
                <w:sz w:val="20"/>
                <w:szCs w:val="20"/>
                <w:color w:val="auto"/>
              </w:rPr>
            </w:pPr>
            <w:r>
              <w:rPr>
                <w:rFonts w:ascii="Arial" w:cs="Arial" w:eastAsia="Arial" w:hAnsi="Arial"/>
                <w:sz w:val="18"/>
                <w:szCs w:val="18"/>
                <w:color w:val="auto"/>
                <w:shd w:val="clear" w:color="auto" w:fill="CCEEFF"/>
              </w:rPr>
              <w:t>​</w:t>
            </w:r>
          </w:p>
        </w:tc>
        <w:tc>
          <w:tcPr>
            <w:tcW w:w="300" w:type="dxa"/>
            <w:vAlign w:val="bottom"/>
          </w:tcPr>
          <w:p>
            <w:pPr>
              <w:jc w:val="right"/>
              <w:ind w:right="102"/>
              <w:spacing w:after="0"/>
              <w:rPr>
                <w:sz w:val="20"/>
                <w:szCs w:val="20"/>
                <w:color w:val="auto"/>
              </w:rPr>
            </w:pPr>
            <w:r>
              <w:rPr>
                <w:rFonts w:ascii="Arial" w:cs="Arial" w:eastAsia="Arial" w:hAnsi="Arial"/>
                <w:sz w:val="12"/>
                <w:szCs w:val="12"/>
                <w:color w:val="auto"/>
                <w:w w:val="81"/>
                <w:shd w:val="clear" w:color="auto" w:fill="CCEEFF"/>
              </w:rPr>
              <w:t>(4)</w:t>
            </w:r>
          </w:p>
        </w:tc>
        <w:tc>
          <w:tcPr>
            <w:tcW w:w="300" w:type="dxa"/>
            <w:vAlign w:val="bottom"/>
            <w:gridSpan w:val="2"/>
          </w:tcPr>
          <w:p>
            <w:pPr>
              <w:jc w:val="center"/>
              <w:ind w:right="60"/>
              <w:spacing w:after="0" w:line="181" w:lineRule="exact"/>
              <w:rPr>
                <w:sz w:val="20"/>
                <w:szCs w:val="20"/>
                <w:color w:val="auto"/>
              </w:rPr>
            </w:pPr>
            <w:r>
              <w:rPr>
                <w:rFonts w:ascii="Arial" w:cs="Arial" w:eastAsia="Arial" w:hAnsi="Arial"/>
                <w:sz w:val="18"/>
                <w:szCs w:val="18"/>
                <w:color w:val="auto"/>
                <w:shd w:val="clear" w:color="auto" w:fill="CCEEFF"/>
              </w:rPr>
              <w:t>​​ ​​</w:t>
            </w: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3"/>
        </w:trPr>
        <w:tc>
          <w:tcPr>
            <w:tcW w:w="22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gridSpan w:val="2"/>
          </w:tcPr>
          <w:p>
            <w:pPr>
              <w:jc w:val="right"/>
              <w:ind w:right="20"/>
              <w:spacing w:after="0" w:line="103" w:lineRule="exact"/>
              <w:rPr>
                <w:sz w:val="20"/>
                <w:szCs w:val="20"/>
                <w:color w:val="auto"/>
              </w:rPr>
            </w:pPr>
            <w:r>
              <w:rPr>
                <w:rFonts w:ascii="Arial" w:cs="Arial" w:eastAsia="Arial" w:hAnsi="Arial"/>
                <w:sz w:val="11"/>
                <w:szCs w:val="11"/>
                <w:color w:val="auto"/>
                <w:shd w:val="clear" w:color="auto" w:fill="CCEEFF"/>
              </w:rPr>
              <w:t>2023</w:t>
            </w:r>
          </w:p>
        </w:tc>
        <w:tc>
          <w:tcPr>
            <w:tcW w:w="860" w:type="dxa"/>
            <w:vAlign w:val="bottom"/>
            <w:gridSpan w:val="2"/>
          </w:tcPr>
          <w:p>
            <w:pPr>
              <w:ind w:left="200"/>
              <w:spacing w:after="0" w:line="103" w:lineRule="exact"/>
              <w:rPr>
                <w:sz w:val="20"/>
                <w:szCs w:val="20"/>
                <w:color w:val="auto"/>
              </w:rPr>
            </w:pPr>
            <w:r>
              <w:rPr>
                <w:rFonts w:ascii="Arial" w:cs="Arial" w:eastAsia="Arial" w:hAnsi="Arial"/>
                <w:sz w:val="11"/>
                <w:szCs w:val="11"/>
                <w:color w:val="auto"/>
                <w:shd w:val="clear" w:color="auto" w:fill="CCEEFF"/>
              </w:rPr>
              <w:t>640,710</w:t>
            </w:r>
          </w:p>
        </w:tc>
        <w:tc>
          <w:tcPr>
            <w:tcW w:w="1020" w:type="dxa"/>
            <w:vAlign w:val="bottom"/>
            <w:gridSpan w:val="3"/>
          </w:tcPr>
          <w:p>
            <w:pPr>
              <w:jc w:val="right"/>
              <w:spacing w:after="0" w:line="103" w:lineRule="exact"/>
              <w:rPr>
                <w:sz w:val="20"/>
                <w:szCs w:val="20"/>
                <w:color w:val="auto"/>
              </w:rPr>
            </w:pPr>
            <w:r>
              <w:rPr>
                <w:rFonts w:ascii="Arial" w:cs="Arial" w:eastAsia="Arial" w:hAnsi="Arial"/>
                <w:sz w:val="11"/>
                <w:szCs w:val="11"/>
                <w:color w:val="auto"/>
                <w:shd w:val="clear" w:color="auto" w:fill="CCEEFF"/>
              </w:rPr>
              <w:t>1,209,080</w:t>
            </w: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jc w:val="right"/>
              <w:spacing w:after="0" w:line="103" w:lineRule="exact"/>
              <w:rPr>
                <w:sz w:val="20"/>
                <w:szCs w:val="20"/>
                <w:color w:val="auto"/>
              </w:rPr>
            </w:pPr>
            <w:r>
              <w:rPr>
                <w:rFonts w:ascii="Arial" w:cs="Arial" w:eastAsia="Arial" w:hAnsi="Arial"/>
                <w:sz w:val="11"/>
                <w:szCs w:val="11"/>
                <w:color w:val="auto"/>
                <w:shd w:val="clear" w:color="auto" w:fill="CCEEFF"/>
              </w:rPr>
              <w:t>22,938</w:t>
            </w:r>
          </w:p>
        </w:tc>
        <w:tc>
          <w:tcPr>
            <w:tcW w:w="300" w:type="dxa"/>
            <w:vAlign w:val="bottom"/>
          </w:tcPr>
          <w:p>
            <w:pPr>
              <w:spacing w:after="0"/>
              <w:rPr>
                <w:sz w:val="8"/>
                <w:szCs w:val="8"/>
                <w:color w:val="auto"/>
              </w:rPr>
            </w:pPr>
          </w:p>
        </w:tc>
        <w:tc>
          <w:tcPr>
            <w:tcW w:w="1000" w:type="dxa"/>
            <w:vAlign w:val="bottom"/>
            <w:gridSpan w:val="3"/>
          </w:tcPr>
          <w:p>
            <w:pPr>
              <w:jc w:val="right"/>
              <w:spacing w:after="0" w:line="103" w:lineRule="exact"/>
              <w:rPr>
                <w:sz w:val="20"/>
                <w:szCs w:val="20"/>
                <w:color w:val="auto"/>
              </w:rPr>
            </w:pPr>
            <w:r>
              <w:rPr>
                <w:rFonts w:ascii="Arial" w:cs="Arial" w:eastAsia="Arial" w:hAnsi="Arial"/>
                <w:sz w:val="11"/>
                <w:szCs w:val="11"/>
                <w:color w:val="auto"/>
                <w:shd w:val="clear" w:color="auto" w:fill="CCEEFF"/>
              </w:rPr>
              <w:t>2,622,366</w:t>
            </w:r>
          </w:p>
        </w:tc>
        <w:tc>
          <w:tcPr>
            <w:tcW w:w="0" w:type="dxa"/>
            <w:vAlign w:val="bottom"/>
          </w:tcPr>
          <w:p>
            <w:pPr>
              <w:spacing w:after="0"/>
              <w:rPr>
                <w:sz w:val="1"/>
                <w:szCs w:val="1"/>
                <w:color w:val="auto"/>
              </w:rPr>
            </w:pPr>
          </w:p>
        </w:tc>
      </w:tr>
      <w:tr>
        <w:trPr>
          <w:trHeight w:val="239"/>
        </w:trPr>
        <w:tc>
          <w:tcPr>
            <w:tcW w:w="2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20"/>
              <w:spacing w:after="0"/>
              <w:rPr>
                <w:sz w:val="20"/>
                <w:szCs w:val="20"/>
                <w:color w:val="auto"/>
              </w:rPr>
            </w:pPr>
            <w:r>
              <w:rPr>
                <w:rFonts w:ascii="Arial" w:cs="Arial" w:eastAsia="Arial" w:hAnsi="Arial"/>
                <w:sz w:val="18"/>
                <w:szCs w:val="18"/>
                <w:color w:val="auto"/>
              </w:rPr>
              <w:t>​ ​​</w:t>
            </w:r>
          </w:p>
        </w:tc>
        <w:tc>
          <w:tcPr>
            <w:tcW w:w="280" w:type="dxa"/>
            <w:vAlign w:val="bottom"/>
            <w:gridSpan w:val="2"/>
          </w:tcPr>
          <w:p>
            <w:pPr>
              <w:ind w:left="40"/>
              <w:spacing w:after="0"/>
              <w:rPr>
                <w:sz w:val="20"/>
                <w:szCs w:val="20"/>
                <w:color w:val="auto"/>
              </w:rPr>
            </w:pPr>
            <w:r>
              <w:rPr>
                <w:rFonts w:ascii="Arial" w:cs="Arial" w:eastAsia="Arial" w:hAnsi="Arial"/>
                <w:sz w:val="18"/>
                <w:szCs w:val="18"/>
                <w:color w:val="auto"/>
              </w:rPr>
              <w:t>​ ​​</w:t>
            </w:r>
          </w:p>
        </w:tc>
        <w:tc>
          <w:tcPr>
            <w:tcW w:w="740" w:type="dxa"/>
            <w:vAlign w:val="bottom"/>
          </w:tcPr>
          <w:p>
            <w:pPr>
              <w:spacing w:after="0"/>
              <w:rPr>
                <w:sz w:val="20"/>
                <w:szCs w:val="20"/>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 ​</w:t>
            </w: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 ​</w:t>
            </w:r>
          </w:p>
        </w:tc>
        <w:tc>
          <w:tcPr>
            <w:tcW w:w="740" w:type="dxa"/>
            <w:vAlign w:val="bottom"/>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300" w:type="dxa"/>
            <w:vAlign w:val="bottom"/>
            <w:gridSpan w:val="2"/>
          </w:tcPr>
          <w:p>
            <w:pPr>
              <w:jc w:val="center"/>
              <w:ind w:right="60"/>
              <w:spacing w:after="0"/>
              <w:rPr>
                <w:sz w:val="20"/>
                <w:szCs w:val="20"/>
                <w:color w:val="auto"/>
              </w:rPr>
            </w:pPr>
            <w:r>
              <w:rPr>
                <w:rFonts w:ascii="Arial" w:cs="Arial" w:eastAsia="Arial" w:hAnsi="Arial"/>
                <w:sz w:val="18"/>
                <w:szCs w:val="18"/>
                <w:color w:val="auto"/>
              </w:rPr>
              <w:t>​​ ​​</w:t>
            </w: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2340" w:type="dxa"/>
            <w:vAlign w:val="bottom"/>
            <w:gridSpan w:val="2"/>
          </w:tcPr>
          <w:p>
            <w:pPr>
              <w:spacing w:after="0"/>
              <w:rPr>
                <w:sz w:val="20"/>
                <w:szCs w:val="20"/>
                <w:color w:val="auto"/>
              </w:rPr>
            </w:pPr>
            <w:r>
              <w:rPr>
                <w:rFonts w:ascii="Arial" w:cs="Arial" w:eastAsia="Arial" w:hAnsi="Arial"/>
                <w:sz w:val="18"/>
                <w:szCs w:val="18"/>
                <w:color w:val="auto"/>
              </w:rPr>
              <w:t>Steven R. Greathouse</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2025</w:t>
            </w:r>
          </w:p>
        </w:tc>
        <w:tc>
          <w:tcPr>
            <w:tcW w:w="860" w:type="dxa"/>
            <w:vAlign w:val="bottom"/>
            <w:gridSpan w:val="2"/>
          </w:tcPr>
          <w:p>
            <w:pPr>
              <w:ind w:left="200"/>
              <w:spacing w:after="0"/>
              <w:rPr>
                <w:sz w:val="20"/>
                <w:szCs w:val="20"/>
                <w:color w:val="auto"/>
              </w:rPr>
            </w:pPr>
            <w:r>
              <w:rPr>
                <w:rFonts w:ascii="Arial" w:cs="Arial" w:eastAsia="Arial" w:hAnsi="Arial"/>
                <w:sz w:val="18"/>
                <w:szCs w:val="18"/>
                <w:color w:val="auto"/>
                <w:w w:val="95"/>
              </w:rPr>
              <w:t>520,000</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724,945</w:t>
            </w: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585,000</w:t>
            </w:r>
          </w:p>
        </w:tc>
        <w:tc>
          <w:tcPr>
            <w:tcW w:w="200" w:type="dxa"/>
            <w:vAlign w:val="bottom"/>
          </w:tcPr>
          <w:p>
            <w:pPr>
              <w:spacing w:after="0"/>
              <w:rPr>
                <w:sz w:val="22"/>
                <w:szCs w:val="22"/>
                <w:color w:val="auto"/>
              </w:rPr>
            </w:pPr>
          </w:p>
        </w:tc>
        <w:tc>
          <w:tcPr>
            <w:tcW w:w="1040" w:type="dxa"/>
            <w:vAlign w:val="bottom"/>
            <w:gridSpan w:val="2"/>
          </w:tcPr>
          <w:p>
            <w:pPr>
              <w:jc w:val="right"/>
              <w:ind w:right="102"/>
              <w:spacing w:after="0" w:line="261" w:lineRule="exact"/>
              <w:rPr>
                <w:sz w:val="20"/>
                <w:szCs w:val="20"/>
                <w:color w:val="auto"/>
              </w:rPr>
            </w:pPr>
            <w:r>
              <w:rPr>
                <w:rFonts w:ascii="Arial" w:cs="Arial" w:eastAsia="Arial" w:hAnsi="Arial"/>
                <w:sz w:val="18"/>
                <w:szCs w:val="18"/>
                <w:color w:val="auto"/>
              </w:rPr>
              <w:t>14,810</w:t>
            </w:r>
            <w:r>
              <w:rPr>
                <w:rFonts w:ascii="Arial" w:cs="Arial" w:eastAsia="Arial" w:hAnsi="Arial"/>
                <w:sz w:val="23"/>
                <w:szCs w:val="23"/>
                <w:color w:val="auto"/>
                <w:vertAlign w:val="superscript"/>
              </w:rPr>
              <w:t>(5)</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1,844,755</w:t>
            </w:r>
          </w:p>
        </w:tc>
        <w:tc>
          <w:tcPr>
            <w:tcW w:w="0" w:type="dxa"/>
            <w:vAlign w:val="bottom"/>
          </w:tcPr>
          <w:p>
            <w:pPr>
              <w:spacing w:after="0"/>
              <w:rPr>
                <w:sz w:val="1"/>
                <w:szCs w:val="1"/>
                <w:color w:val="auto"/>
              </w:rPr>
            </w:pPr>
          </w:p>
        </w:tc>
      </w:tr>
      <w:tr>
        <w:trPr>
          <w:trHeight w:val="208"/>
        </w:trPr>
        <w:tc>
          <w:tcPr>
            <w:tcW w:w="2340" w:type="dxa"/>
            <w:vAlign w:val="bottom"/>
            <w:gridSpan w:val="2"/>
          </w:tcPr>
          <w:p>
            <w:pPr>
              <w:ind w:left="180"/>
              <w:spacing w:after="0"/>
              <w:rPr>
                <w:sz w:val="20"/>
                <w:szCs w:val="20"/>
                <w:color w:val="auto"/>
              </w:rPr>
            </w:pPr>
            <w:r>
              <w:rPr>
                <w:rFonts w:ascii="Arial" w:cs="Arial" w:eastAsia="Arial" w:hAnsi="Arial"/>
                <w:sz w:val="18"/>
                <w:szCs w:val="18"/>
                <w:color w:val="auto"/>
              </w:rPr>
              <w:t>Sr. Vice President &amp;</w:t>
            </w:r>
          </w:p>
        </w:tc>
        <w:tc>
          <w:tcPr>
            <w:tcW w:w="5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20"/>
              <w:spacing w:after="0"/>
              <w:rPr>
                <w:sz w:val="20"/>
                <w:szCs w:val="20"/>
                <w:color w:val="auto"/>
              </w:rPr>
            </w:pPr>
            <w:r>
              <w:rPr>
                <w:rFonts w:ascii="Arial" w:cs="Arial" w:eastAsia="Arial" w:hAnsi="Arial"/>
                <w:sz w:val="18"/>
                <w:szCs w:val="18"/>
                <w:color w:val="auto"/>
              </w:rPr>
              <w:t>​ ​​</w:t>
            </w:r>
          </w:p>
        </w:tc>
        <w:tc>
          <w:tcPr>
            <w:tcW w:w="280" w:type="dxa"/>
            <w:vAlign w:val="bottom"/>
            <w:gridSpan w:val="2"/>
          </w:tcPr>
          <w:p>
            <w:pPr>
              <w:ind w:left="40"/>
              <w:spacing w:after="0"/>
              <w:rPr>
                <w:sz w:val="20"/>
                <w:szCs w:val="20"/>
                <w:color w:val="auto"/>
              </w:rPr>
            </w:pPr>
            <w:r>
              <w:rPr>
                <w:rFonts w:ascii="Arial" w:cs="Arial" w:eastAsia="Arial" w:hAnsi="Arial"/>
                <w:sz w:val="18"/>
                <w:szCs w:val="18"/>
                <w:color w:val="auto"/>
              </w:rPr>
              <w:t>​ ​​</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501,850</w:t>
            </w:r>
          </w:p>
        </w:tc>
        <w:tc>
          <w:tcPr>
            <w:tcW w:w="180" w:type="dxa"/>
            <w:vAlign w:val="bottom"/>
          </w:tcPr>
          <w:p>
            <w:pPr>
              <w:ind w:left="20"/>
              <w:spacing w:after="0"/>
              <w:rPr>
                <w:sz w:val="20"/>
                <w:szCs w:val="20"/>
                <w:color w:val="auto"/>
              </w:rPr>
            </w:pPr>
            <w:r>
              <w:rPr>
                <w:rFonts w:ascii="Arial" w:cs="Arial" w:eastAsia="Arial" w:hAnsi="Arial"/>
                <w:sz w:val="18"/>
                <w:szCs w:val="18"/>
                <w:color w:val="auto"/>
              </w:rPr>
              <w:t>​ ​</w:t>
            </w: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ind w:right="32"/>
              <w:spacing w:after="0"/>
              <w:rPr>
                <w:sz w:val="20"/>
                <w:szCs w:val="20"/>
                <w:color w:val="auto"/>
              </w:rPr>
            </w:pPr>
            <w:r>
              <w:rPr>
                <w:rFonts w:ascii="Arial" w:cs="Arial" w:eastAsia="Arial" w:hAnsi="Arial"/>
                <w:sz w:val="18"/>
                <w:szCs w:val="18"/>
                <w:color w:val="auto"/>
              </w:rPr>
              <w:t>600,000</w:t>
            </w:r>
          </w:p>
        </w:tc>
        <w:tc>
          <w:tcPr>
            <w:tcW w:w="200" w:type="dxa"/>
            <w:vAlign w:val="bottom"/>
          </w:tcPr>
          <w:p>
            <w:pPr>
              <w:jc w:val="right"/>
              <w:spacing w:after="0"/>
              <w:rPr>
                <w:sz w:val="20"/>
                <w:szCs w:val="20"/>
                <w:color w:val="auto"/>
              </w:rPr>
            </w:pPr>
            <w:r>
              <w:rPr>
                <w:rFonts w:ascii="Arial" w:cs="Arial" w:eastAsia="Arial" w:hAnsi="Arial"/>
                <w:sz w:val="18"/>
                <w:szCs w:val="18"/>
                <w:color w:val="auto"/>
              </w:rPr>
              <w:t>​​ ​</w:t>
            </w:r>
          </w:p>
        </w:tc>
        <w:tc>
          <w:tcPr>
            <w:tcW w:w="740" w:type="dxa"/>
            <w:vAlign w:val="bottom"/>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02"/>
              <w:spacing w:after="0"/>
              <w:rPr>
                <w:sz w:val="20"/>
                <w:szCs w:val="20"/>
                <w:color w:val="auto"/>
              </w:rPr>
            </w:pPr>
            <w:r>
              <w:rPr>
                <w:rFonts w:ascii="Arial" w:cs="Arial" w:eastAsia="Arial" w:hAnsi="Arial"/>
                <w:sz w:val="12"/>
                <w:szCs w:val="12"/>
                <w:color w:val="auto"/>
                <w:w w:val="81"/>
              </w:rPr>
              <w:t>(5)</w:t>
            </w:r>
          </w:p>
        </w:tc>
        <w:tc>
          <w:tcPr>
            <w:tcW w:w="300" w:type="dxa"/>
            <w:vAlign w:val="bottom"/>
            <w:gridSpan w:val="2"/>
          </w:tcPr>
          <w:p>
            <w:pPr>
              <w:jc w:val="center"/>
              <w:ind w:right="60"/>
              <w:spacing w:after="0"/>
              <w:rPr>
                <w:sz w:val="20"/>
                <w:szCs w:val="20"/>
                <w:color w:val="auto"/>
              </w:rPr>
            </w:pPr>
            <w:r>
              <w:rPr>
                <w:rFonts w:ascii="Arial" w:cs="Arial" w:eastAsia="Arial" w:hAnsi="Arial"/>
                <w:sz w:val="18"/>
                <w:szCs w:val="18"/>
                <w:color w:val="auto"/>
              </w:rPr>
              <w:t>​​ ​​</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9"/>
        </w:trPr>
        <w:tc>
          <w:tcPr>
            <w:tcW w:w="2340" w:type="dxa"/>
            <w:vAlign w:val="bottom"/>
            <w:gridSpan w:val="2"/>
            <w:vMerge w:val="restart"/>
          </w:tcPr>
          <w:p>
            <w:pPr>
              <w:ind w:left="180"/>
              <w:spacing w:after="0"/>
              <w:rPr>
                <w:sz w:val="20"/>
                <w:szCs w:val="20"/>
                <w:color w:val="auto"/>
              </w:rPr>
            </w:pPr>
            <w:r>
              <w:rPr>
                <w:rFonts w:ascii="Arial" w:cs="Arial" w:eastAsia="Arial" w:hAnsi="Arial"/>
                <w:sz w:val="18"/>
                <w:szCs w:val="18"/>
                <w:color w:val="auto"/>
              </w:rPr>
              <w:t>Chief Investment Officer</w:t>
            </w:r>
          </w:p>
        </w:tc>
        <w:tc>
          <w:tcPr>
            <w:tcW w:w="540" w:type="dxa"/>
            <w:vAlign w:val="bottom"/>
            <w:gridSpan w:val="2"/>
          </w:tcPr>
          <w:p>
            <w:pPr>
              <w:jc w:val="right"/>
              <w:ind w:right="20"/>
              <w:spacing w:after="0" w:line="90" w:lineRule="exact"/>
              <w:rPr>
                <w:sz w:val="20"/>
                <w:szCs w:val="20"/>
                <w:color w:val="auto"/>
              </w:rPr>
            </w:pPr>
            <w:r>
              <w:rPr>
                <w:rFonts w:ascii="Arial" w:cs="Arial" w:eastAsia="Arial" w:hAnsi="Arial"/>
                <w:sz w:val="10"/>
                <w:szCs w:val="10"/>
                <w:color w:val="auto"/>
              </w:rPr>
              <w:t>2024</w:t>
            </w:r>
          </w:p>
        </w:tc>
        <w:tc>
          <w:tcPr>
            <w:tcW w:w="860" w:type="dxa"/>
            <w:vAlign w:val="bottom"/>
            <w:gridSpan w:val="2"/>
          </w:tcPr>
          <w:p>
            <w:pPr>
              <w:ind w:left="200"/>
              <w:spacing w:after="0" w:line="90" w:lineRule="exact"/>
              <w:rPr>
                <w:sz w:val="20"/>
                <w:szCs w:val="20"/>
                <w:color w:val="auto"/>
              </w:rPr>
            </w:pPr>
            <w:r>
              <w:rPr>
                <w:rFonts w:ascii="Arial" w:cs="Arial" w:eastAsia="Arial" w:hAnsi="Arial"/>
                <w:sz w:val="10"/>
                <w:szCs w:val="10"/>
                <w:color w:val="auto"/>
              </w:rPr>
              <w:t>400,000</w:t>
            </w: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jc w:val="right"/>
              <w:spacing w:after="0" w:line="90" w:lineRule="exact"/>
              <w:rPr>
                <w:sz w:val="20"/>
                <w:szCs w:val="20"/>
                <w:color w:val="auto"/>
              </w:rPr>
            </w:pPr>
            <w:r>
              <w:rPr>
                <w:rFonts w:ascii="Arial" w:cs="Arial" w:eastAsia="Arial" w:hAnsi="Arial"/>
                <w:sz w:val="10"/>
                <w:szCs w:val="10"/>
                <w:color w:val="auto"/>
              </w:rPr>
              <w:t>14,610</w:t>
            </w:r>
          </w:p>
        </w:tc>
        <w:tc>
          <w:tcPr>
            <w:tcW w:w="300" w:type="dxa"/>
            <w:vAlign w:val="bottom"/>
          </w:tcPr>
          <w:p>
            <w:pPr>
              <w:spacing w:after="0"/>
              <w:rPr>
                <w:sz w:val="7"/>
                <w:szCs w:val="7"/>
                <w:color w:val="auto"/>
              </w:rPr>
            </w:pPr>
          </w:p>
        </w:tc>
        <w:tc>
          <w:tcPr>
            <w:tcW w:w="1000" w:type="dxa"/>
            <w:vAlign w:val="bottom"/>
            <w:gridSpan w:val="3"/>
          </w:tcPr>
          <w:p>
            <w:pPr>
              <w:jc w:val="right"/>
              <w:spacing w:after="0" w:line="90" w:lineRule="exact"/>
              <w:rPr>
                <w:sz w:val="20"/>
                <w:szCs w:val="20"/>
                <w:color w:val="auto"/>
              </w:rPr>
            </w:pPr>
            <w:r>
              <w:rPr>
                <w:rFonts w:ascii="Arial" w:cs="Arial" w:eastAsia="Arial" w:hAnsi="Arial"/>
                <w:sz w:val="10"/>
                <w:szCs w:val="10"/>
                <w:color w:val="auto"/>
              </w:rPr>
              <w:t>1,516,460</w:t>
            </w:r>
          </w:p>
        </w:tc>
        <w:tc>
          <w:tcPr>
            <w:tcW w:w="0" w:type="dxa"/>
            <w:vAlign w:val="bottom"/>
          </w:tcPr>
          <w:p>
            <w:pPr>
              <w:spacing w:after="0"/>
              <w:rPr>
                <w:sz w:val="1"/>
                <w:szCs w:val="1"/>
                <w:color w:val="auto"/>
              </w:rPr>
            </w:pPr>
          </w:p>
        </w:tc>
      </w:tr>
      <w:tr>
        <w:trPr>
          <w:trHeight w:val="167"/>
        </w:trPr>
        <w:tc>
          <w:tcPr>
            <w:tcW w:w="2340" w:type="dxa"/>
            <w:vAlign w:val="bottom"/>
            <w:gridSpan w:val="2"/>
            <w:vMerge w:val="continue"/>
          </w:tcPr>
          <w:p>
            <w:pPr>
              <w:spacing w:after="0"/>
              <w:rPr>
                <w:sz w:val="14"/>
                <w:szCs w:val="14"/>
                <w:color w:val="auto"/>
              </w:rPr>
            </w:pPr>
          </w:p>
        </w:tc>
        <w:tc>
          <w:tcPr>
            <w:tcW w:w="540" w:type="dxa"/>
            <w:vAlign w:val="bottom"/>
            <w:gridSpan w:val="2"/>
          </w:tcPr>
          <w:p>
            <w:pPr>
              <w:ind w:left="60"/>
              <w:spacing w:after="0" w:line="168" w:lineRule="exact"/>
              <w:rPr>
                <w:sz w:val="20"/>
                <w:szCs w:val="20"/>
                <w:color w:val="auto"/>
              </w:rPr>
            </w:pPr>
            <w:r>
              <w:rPr>
                <w:rFonts w:ascii="Arial" w:cs="Arial" w:eastAsia="Arial" w:hAnsi="Arial"/>
                <w:sz w:val="18"/>
                <w:szCs w:val="18"/>
                <w:color w:val="auto"/>
              </w:rPr>
              <w:t>​​</w:t>
            </w:r>
          </w:p>
        </w:tc>
        <w:tc>
          <w:tcPr>
            <w:tcW w:w="860" w:type="dxa"/>
            <w:vAlign w:val="bottom"/>
            <w:gridSpan w:val="2"/>
          </w:tcPr>
          <w:p>
            <w:pPr>
              <w:ind w:left="20"/>
              <w:spacing w:after="0" w:line="168" w:lineRule="exact"/>
              <w:rPr>
                <w:sz w:val="20"/>
                <w:szCs w:val="20"/>
                <w:color w:val="auto"/>
              </w:rPr>
            </w:pPr>
            <w:r>
              <w:rPr>
                <w:rFonts w:ascii="Arial" w:cs="Arial" w:eastAsia="Arial" w:hAnsi="Arial"/>
                <w:sz w:val="18"/>
                <w:szCs w:val="18"/>
                <w:color w:val="auto"/>
              </w:rPr>
              <w:t>​ ​​</w:t>
            </w:r>
          </w:p>
        </w:tc>
        <w:tc>
          <w:tcPr>
            <w:tcW w:w="280" w:type="dxa"/>
            <w:vAlign w:val="bottom"/>
            <w:gridSpan w:val="2"/>
          </w:tcPr>
          <w:p>
            <w:pPr>
              <w:ind w:left="40"/>
              <w:spacing w:after="0" w:line="168" w:lineRule="exact"/>
              <w:rPr>
                <w:sz w:val="20"/>
                <w:szCs w:val="20"/>
                <w:color w:val="auto"/>
              </w:rPr>
            </w:pPr>
            <w:r>
              <w:rPr>
                <w:rFonts w:ascii="Arial" w:cs="Arial" w:eastAsia="Arial" w:hAnsi="Arial"/>
                <w:sz w:val="18"/>
                <w:szCs w:val="18"/>
                <w:color w:val="auto"/>
              </w:rPr>
              <w:t>​ ​​</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517,168</w:t>
            </w:r>
          </w:p>
        </w:tc>
        <w:tc>
          <w:tcPr>
            <w:tcW w:w="180" w:type="dxa"/>
            <w:vAlign w:val="bottom"/>
          </w:tcPr>
          <w:p>
            <w:pPr>
              <w:ind w:left="20"/>
              <w:spacing w:after="0" w:line="168" w:lineRule="exact"/>
              <w:rPr>
                <w:sz w:val="20"/>
                <w:szCs w:val="20"/>
                <w:color w:val="auto"/>
              </w:rPr>
            </w:pPr>
            <w:r>
              <w:rPr>
                <w:rFonts w:ascii="Arial" w:cs="Arial" w:eastAsia="Arial" w:hAnsi="Arial"/>
                <w:sz w:val="18"/>
                <w:szCs w:val="18"/>
                <w:color w:val="auto"/>
              </w:rPr>
              <w:t>​ ​</w:t>
            </w:r>
          </w:p>
        </w:tc>
        <w:tc>
          <w:tcPr>
            <w:tcW w:w="200" w:type="dxa"/>
            <w:vAlign w:val="bottom"/>
          </w:tcPr>
          <w:p>
            <w:pPr>
              <w:ind w:left="100"/>
              <w:spacing w:after="0" w:line="168" w:lineRule="exact"/>
              <w:rPr>
                <w:sz w:val="20"/>
                <w:szCs w:val="20"/>
                <w:color w:val="auto"/>
              </w:rPr>
            </w:pPr>
            <w:r>
              <w:rPr>
                <w:rFonts w:ascii="Arial" w:cs="Arial" w:eastAsia="Arial" w:hAnsi="Arial"/>
                <w:sz w:val="18"/>
                <w:szCs w:val="18"/>
                <w:color w:val="auto"/>
              </w:rPr>
              <w:t>​</w:t>
            </w:r>
          </w:p>
        </w:tc>
        <w:tc>
          <w:tcPr>
            <w:tcW w:w="820" w:type="dxa"/>
            <w:vAlign w:val="bottom"/>
            <w:vMerge w:val="restart"/>
          </w:tcPr>
          <w:p>
            <w:pPr>
              <w:jc w:val="right"/>
              <w:ind w:right="32"/>
              <w:spacing w:after="0"/>
              <w:rPr>
                <w:sz w:val="20"/>
                <w:szCs w:val="20"/>
                <w:color w:val="auto"/>
              </w:rPr>
            </w:pPr>
            <w:r>
              <w:rPr>
                <w:rFonts w:ascii="Arial" w:cs="Arial" w:eastAsia="Arial" w:hAnsi="Arial"/>
                <w:sz w:val="18"/>
                <w:szCs w:val="18"/>
                <w:color w:val="auto"/>
              </w:rPr>
              <w:t>369,477</w:t>
            </w:r>
          </w:p>
        </w:tc>
        <w:tc>
          <w:tcPr>
            <w:tcW w:w="200" w:type="dxa"/>
            <w:vAlign w:val="bottom"/>
          </w:tcPr>
          <w:p>
            <w:pPr>
              <w:jc w:val="right"/>
              <w:spacing w:after="0" w:line="168" w:lineRule="exact"/>
              <w:rPr>
                <w:sz w:val="20"/>
                <w:szCs w:val="20"/>
                <w:color w:val="auto"/>
              </w:rPr>
            </w:pPr>
            <w:r>
              <w:rPr>
                <w:rFonts w:ascii="Arial" w:cs="Arial" w:eastAsia="Arial" w:hAnsi="Arial"/>
                <w:sz w:val="18"/>
                <w:szCs w:val="18"/>
                <w:color w:val="auto"/>
              </w:rPr>
              <w:t>​​ ​</w:t>
            </w:r>
          </w:p>
        </w:tc>
        <w:tc>
          <w:tcPr>
            <w:tcW w:w="740" w:type="dxa"/>
            <w:vAlign w:val="bottom"/>
          </w:tcPr>
          <w:p>
            <w:pPr>
              <w:jc w:val="right"/>
              <w:ind w:right="440"/>
              <w:spacing w:after="0" w:line="168" w:lineRule="exact"/>
              <w:rPr>
                <w:sz w:val="20"/>
                <w:szCs w:val="20"/>
                <w:color w:val="auto"/>
              </w:rPr>
            </w:pPr>
            <w:r>
              <w:rPr>
                <w:rFonts w:ascii="Arial" w:cs="Arial" w:eastAsia="Arial" w:hAnsi="Arial"/>
                <w:sz w:val="18"/>
                <w:szCs w:val="18"/>
                <w:color w:val="auto"/>
              </w:rPr>
              <w:t>​</w:t>
            </w:r>
          </w:p>
        </w:tc>
        <w:tc>
          <w:tcPr>
            <w:tcW w:w="300" w:type="dxa"/>
            <w:vAlign w:val="bottom"/>
          </w:tcPr>
          <w:p>
            <w:pPr>
              <w:jc w:val="right"/>
              <w:ind w:right="102"/>
              <w:spacing w:after="0"/>
              <w:rPr>
                <w:sz w:val="20"/>
                <w:szCs w:val="20"/>
                <w:color w:val="auto"/>
              </w:rPr>
            </w:pPr>
            <w:r>
              <w:rPr>
                <w:rFonts w:ascii="Arial" w:cs="Arial" w:eastAsia="Arial" w:hAnsi="Arial"/>
                <w:sz w:val="12"/>
                <w:szCs w:val="12"/>
                <w:color w:val="auto"/>
                <w:w w:val="81"/>
              </w:rPr>
              <w:t>(5)</w:t>
            </w:r>
          </w:p>
        </w:tc>
        <w:tc>
          <w:tcPr>
            <w:tcW w:w="300" w:type="dxa"/>
            <w:vAlign w:val="bottom"/>
            <w:gridSpan w:val="2"/>
          </w:tcPr>
          <w:p>
            <w:pPr>
              <w:jc w:val="center"/>
              <w:ind w:right="60"/>
              <w:spacing w:after="0" w:line="168" w:lineRule="exact"/>
              <w:rPr>
                <w:sz w:val="20"/>
                <w:szCs w:val="20"/>
                <w:color w:val="auto"/>
              </w:rPr>
            </w:pPr>
            <w:r>
              <w:rPr>
                <w:rFonts w:ascii="Arial" w:cs="Arial" w:eastAsia="Arial" w:hAnsi="Arial"/>
                <w:sz w:val="18"/>
                <w:szCs w:val="18"/>
                <w:color w:val="auto"/>
              </w:rPr>
              <w:t>​​ ​​</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20"/>
              <w:spacing w:after="0" w:line="149" w:lineRule="exact"/>
              <w:rPr>
                <w:sz w:val="20"/>
                <w:szCs w:val="20"/>
                <w:color w:val="auto"/>
              </w:rPr>
            </w:pPr>
            <w:r>
              <w:rPr>
                <w:rFonts w:ascii="Arial" w:cs="Arial" w:eastAsia="Arial" w:hAnsi="Arial"/>
                <w:sz w:val="17"/>
                <w:szCs w:val="17"/>
                <w:color w:val="auto"/>
              </w:rPr>
              <w:t>2023</w:t>
            </w:r>
          </w:p>
        </w:tc>
        <w:tc>
          <w:tcPr>
            <w:tcW w:w="860" w:type="dxa"/>
            <w:vAlign w:val="bottom"/>
            <w:gridSpan w:val="2"/>
          </w:tcPr>
          <w:p>
            <w:pPr>
              <w:ind w:left="200"/>
              <w:spacing w:after="0" w:line="149" w:lineRule="exact"/>
              <w:rPr>
                <w:sz w:val="20"/>
                <w:szCs w:val="20"/>
                <w:color w:val="auto"/>
              </w:rPr>
            </w:pPr>
            <w:r>
              <w:rPr>
                <w:rFonts w:ascii="Arial" w:cs="Arial" w:eastAsia="Arial" w:hAnsi="Arial"/>
                <w:sz w:val="17"/>
                <w:szCs w:val="17"/>
                <w:color w:val="auto"/>
              </w:rPr>
              <w:t>400,000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7"/>
                <w:szCs w:val="17"/>
                <w:color w:val="auto"/>
              </w:rPr>
              <w:t>14,010</w:t>
            </w:r>
          </w:p>
        </w:tc>
        <w:tc>
          <w:tcPr>
            <w:tcW w:w="300" w:type="dxa"/>
            <w:vAlign w:val="bottom"/>
          </w:tcPr>
          <w:p>
            <w:pPr>
              <w:spacing w:after="0"/>
              <w:rPr>
                <w:sz w:val="12"/>
                <w:szCs w:val="12"/>
                <w:color w:val="auto"/>
              </w:rPr>
            </w:pPr>
          </w:p>
        </w:tc>
        <w:tc>
          <w:tcPr>
            <w:tcW w:w="1000" w:type="dxa"/>
            <w:vAlign w:val="bottom"/>
            <w:gridSpan w:val="3"/>
          </w:tcPr>
          <w:p>
            <w:pPr>
              <w:jc w:val="right"/>
              <w:spacing w:after="0" w:line="149" w:lineRule="exact"/>
              <w:rPr>
                <w:sz w:val="20"/>
                <w:szCs w:val="20"/>
                <w:color w:val="auto"/>
              </w:rPr>
            </w:pPr>
            <w:r>
              <w:rPr>
                <w:rFonts w:ascii="Arial" w:cs="Arial" w:eastAsia="Arial" w:hAnsi="Arial"/>
                <w:sz w:val="17"/>
                <w:szCs w:val="17"/>
                <w:color w:val="auto"/>
              </w:rPr>
              <w:t>1,300,655</w:t>
            </w:r>
          </w:p>
        </w:tc>
        <w:tc>
          <w:tcPr>
            <w:tcW w:w="0" w:type="dxa"/>
            <w:vAlign w:val="bottom"/>
          </w:tcPr>
          <w:p>
            <w:pPr>
              <w:spacing w:after="0"/>
              <w:rPr>
                <w:sz w:val="1"/>
                <w:szCs w:val="1"/>
                <w:color w:val="auto"/>
              </w:rPr>
            </w:pPr>
          </w:p>
        </w:tc>
      </w:tr>
      <w:tr>
        <w:trPr>
          <w:trHeight w:val="239"/>
        </w:trPr>
        <w:tc>
          <w:tcPr>
            <w:tcW w:w="2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Borders>
              <w:right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 ​​</w:t>
            </w:r>
          </w:p>
        </w:tc>
        <w:tc>
          <w:tcPr>
            <w:tcW w:w="2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w:t>
            </w:r>
          </w:p>
        </w:tc>
        <w:tc>
          <w:tcPr>
            <w:tcW w:w="740" w:type="dxa"/>
            <w:vAlign w:val="bottom"/>
            <w:tcBorders>
              <w:right w:val="single" w:sz="8" w:color="CCEEFF"/>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w:t>
            </w:r>
          </w:p>
        </w:tc>
        <w:tc>
          <w:tcPr>
            <w:tcW w:w="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CCEEFF"/>
            </w:tcBorders>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740" w:type="dxa"/>
            <w:vAlign w:val="bottom"/>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Borders>
              <w:right w:val="single" w:sz="8" w:color="CCEEFF"/>
            </w:tcBorders>
            <w:shd w:val="clear" w:color="auto" w:fill="CCEEFF"/>
          </w:tcPr>
          <w:p>
            <w:pPr>
              <w:spacing w:after="0"/>
              <w:rPr>
                <w:sz w:val="20"/>
                <w:szCs w:val="20"/>
                <w:color w:val="auto"/>
              </w:rPr>
            </w:pPr>
          </w:p>
        </w:tc>
        <w:tc>
          <w:tcPr>
            <w:tcW w:w="30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rPr>
              <w:t>​​ ​​</w:t>
            </w:r>
          </w:p>
        </w:tc>
        <w:tc>
          <w:tcPr>
            <w:tcW w:w="7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8"/>
        </w:trPr>
        <w:tc>
          <w:tcPr>
            <w:tcW w:w="2340" w:type="dxa"/>
            <w:vAlign w:val="bottom"/>
            <w:gridSpan w:val="2"/>
          </w:tcPr>
          <w:p>
            <w:pPr>
              <w:spacing w:after="0" w:line="242" w:lineRule="exact"/>
              <w:rPr>
                <w:sz w:val="20"/>
                <w:szCs w:val="20"/>
                <w:color w:val="auto"/>
              </w:rPr>
            </w:pPr>
            <w:r>
              <w:rPr>
                <w:rFonts w:ascii="Arial" w:cs="Arial" w:eastAsia="Arial" w:hAnsi="Arial"/>
                <w:sz w:val="18"/>
                <w:szCs w:val="18"/>
                <w:color w:val="auto"/>
              </w:rPr>
              <w:t>Philip R. Mays</w:t>
            </w:r>
            <w:r>
              <w:rPr>
                <w:rFonts w:ascii="Arial" w:cs="Arial" w:eastAsia="Arial" w:hAnsi="Arial"/>
                <w:sz w:val="23"/>
                <w:szCs w:val="23"/>
                <w:color w:val="auto"/>
                <w:vertAlign w:val="superscript"/>
              </w:rPr>
              <w:t>(1)</w:t>
            </w:r>
          </w:p>
        </w:tc>
        <w:tc>
          <w:tcPr>
            <w:tcW w:w="540" w:type="dxa"/>
            <w:vAlign w:val="bottom"/>
            <w:tcBorders>
              <w:bottom w:val="single" w:sz="8" w:color="CCEEFF"/>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2025</w:t>
            </w:r>
          </w:p>
        </w:tc>
        <w:tc>
          <w:tcPr>
            <w:tcW w:w="860" w:type="dxa"/>
            <w:vAlign w:val="bottom"/>
            <w:tcBorders>
              <w:bottom w:val="single" w:sz="8" w:color="CCEEFF"/>
              <w:right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w w:val="95"/>
              </w:rPr>
              <w:t>415,000</w:t>
            </w: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578,563</w:t>
            </w:r>
          </w:p>
        </w:tc>
        <w:tc>
          <w:tcPr>
            <w:tcW w:w="180" w:type="dxa"/>
            <w:vAlign w:val="bottom"/>
            <w:tcBorders>
              <w:bottom w:val="single" w:sz="8" w:color="CCEEFF"/>
              <w:right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right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466,875</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right w:val="single" w:sz="8" w:color="CCEEFF"/>
            </w:tcBorders>
            <w:gridSpan w:val="2"/>
            <w:shd w:val="clear" w:color="auto" w:fill="CCEEFF"/>
          </w:tcPr>
          <w:p>
            <w:pPr>
              <w:jc w:val="right"/>
              <w:ind w:right="102"/>
              <w:spacing w:after="0" w:line="242" w:lineRule="exact"/>
              <w:rPr>
                <w:sz w:val="20"/>
                <w:szCs w:val="20"/>
                <w:color w:val="auto"/>
              </w:rPr>
            </w:pPr>
            <w:r>
              <w:rPr>
                <w:rFonts w:ascii="Arial" w:cs="Arial" w:eastAsia="Arial" w:hAnsi="Arial"/>
                <w:sz w:val="18"/>
                <w:szCs w:val="18"/>
                <w:color w:val="auto"/>
              </w:rPr>
              <w:t>16,322</w:t>
            </w:r>
            <w:r>
              <w:rPr>
                <w:rFonts w:ascii="Arial" w:cs="Arial" w:eastAsia="Arial" w:hAnsi="Arial"/>
                <w:sz w:val="23"/>
                <w:szCs w:val="23"/>
                <w:color w:val="auto"/>
                <w:vertAlign w:val="superscript"/>
              </w:rPr>
              <w:t>(6)</w:t>
            </w:r>
          </w:p>
        </w:tc>
        <w:tc>
          <w:tcPr>
            <w:tcW w:w="10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1,476,760</w:t>
            </w:r>
          </w:p>
        </w:tc>
        <w:tc>
          <w:tcPr>
            <w:tcW w:w="0" w:type="dxa"/>
            <w:vAlign w:val="bottom"/>
          </w:tcPr>
          <w:p>
            <w:pPr>
              <w:spacing w:after="0"/>
              <w:rPr>
                <w:sz w:val="1"/>
                <w:szCs w:val="1"/>
                <w:color w:val="auto"/>
              </w:rPr>
            </w:pPr>
          </w:p>
        </w:tc>
      </w:tr>
      <w:tr>
        <w:trPr>
          <w:trHeight w:val="189"/>
        </w:trPr>
        <w:tc>
          <w:tcPr>
            <w:tcW w:w="2340" w:type="dxa"/>
            <w:vAlign w:val="bottom"/>
            <w:gridSpan w:val="2"/>
          </w:tcPr>
          <w:p>
            <w:pPr>
              <w:ind w:left="180"/>
              <w:spacing w:after="0" w:line="189" w:lineRule="exact"/>
              <w:rPr>
                <w:sz w:val="20"/>
                <w:szCs w:val="20"/>
                <w:color w:val="auto"/>
              </w:rPr>
            </w:pPr>
            <w:r>
              <w:rPr>
                <w:rFonts w:ascii="Arial" w:cs="Arial" w:eastAsia="Arial" w:hAnsi="Arial"/>
                <w:sz w:val="18"/>
                <w:szCs w:val="18"/>
                <w:color w:val="auto"/>
              </w:rPr>
              <w:t>Sr. Vice President,</w:t>
            </w:r>
          </w:p>
        </w:tc>
        <w:tc>
          <w:tcPr>
            <w:tcW w:w="540" w:type="dxa"/>
            <w:vAlign w:val="bottom"/>
            <w:gridSpan w:val="2"/>
          </w:tcPr>
          <w:p>
            <w:pPr>
              <w:jc w:val="right"/>
              <w:ind w:right="20"/>
              <w:spacing w:after="0" w:line="189" w:lineRule="exact"/>
              <w:rPr>
                <w:sz w:val="20"/>
                <w:szCs w:val="20"/>
                <w:color w:val="auto"/>
              </w:rPr>
            </w:pPr>
            <w:r>
              <w:rPr>
                <w:rFonts w:ascii="Arial" w:cs="Arial" w:eastAsia="Arial" w:hAnsi="Arial"/>
                <w:sz w:val="18"/>
                <w:szCs w:val="18"/>
                <w:color w:val="auto"/>
              </w:rPr>
              <w:t>​​2024</w:t>
            </w:r>
          </w:p>
        </w:tc>
        <w:tc>
          <w:tcPr>
            <w:tcW w:w="86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 ​​203,125</w:t>
            </w:r>
          </w:p>
        </w:tc>
        <w:tc>
          <w:tcPr>
            <w:tcW w:w="280" w:type="dxa"/>
            <w:vAlign w:val="bottom"/>
            <w:gridSpan w:val="2"/>
          </w:tcPr>
          <w:p>
            <w:pPr>
              <w:ind w:left="40"/>
              <w:spacing w:after="0" w:line="189" w:lineRule="exact"/>
              <w:rPr>
                <w:sz w:val="20"/>
                <w:szCs w:val="20"/>
                <w:color w:val="auto"/>
              </w:rPr>
            </w:pPr>
            <w:r>
              <w:rPr>
                <w:rFonts w:ascii="Arial" w:cs="Arial" w:eastAsia="Arial" w:hAnsi="Arial"/>
                <w:sz w:val="18"/>
                <w:szCs w:val="18"/>
                <w:color w:val="auto"/>
              </w:rPr>
              <w:t>​ ​​</w:t>
            </w:r>
          </w:p>
        </w:tc>
        <w:tc>
          <w:tcPr>
            <w:tcW w:w="920" w:type="dxa"/>
            <w:vAlign w:val="bottom"/>
            <w:gridSpan w:val="2"/>
          </w:tcPr>
          <w:p>
            <w:pPr>
              <w:ind w:left="540"/>
              <w:spacing w:after="0" w:line="189" w:lineRule="exact"/>
              <w:rPr>
                <w:sz w:val="20"/>
                <w:szCs w:val="20"/>
                <w:color w:val="auto"/>
              </w:rPr>
            </w:pPr>
            <w:r>
              <w:rPr>
                <w:rFonts w:ascii="Arial" w:cs="Arial" w:eastAsia="Arial" w:hAnsi="Arial"/>
                <w:sz w:val="18"/>
                <w:szCs w:val="18"/>
                <w:color w:val="auto"/>
              </w:rPr>
              <w:t>— ​ ​</w:t>
            </w:r>
          </w:p>
        </w:tc>
        <w:tc>
          <w:tcPr>
            <w:tcW w:w="1020" w:type="dxa"/>
            <w:vAlign w:val="bottom"/>
            <w:gridSpan w:val="2"/>
          </w:tcPr>
          <w:p>
            <w:pPr>
              <w:jc w:val="right"/>
              <w:ind w:right="32"/>
              <w:spacing w:after="0" w:line="189" w:lineRule="exact"/>
              <w:rPr>
                <w:sz w:val="20"/>
                <w:szCs w:val="20"/>
                <w:color w:val="auto"/>
              </w:rPr>
            </w:pPr>
            <w:r>
              <w:rPr>
                <w:rFonts w:ascii="Arial" w:cs="Arial" w:eastAsia="Arial" w:hAnsi="Arial"/>
                <w:sz w:val="18"/>
                <w:szCs w:val="18"/>
                <w:color w:val="auto"/>
              </w:rPr>
              <w:t>​ 304,303</w:t>
            </w:r>
          </w:p>
        </w:tc>
        <w:tc>
          <w:tcPr>
            <w:tcW w:w="200" w:type="dxa"/>
            <w:vAlign w:val="bottom"/>
          </w:tcPr>
          <w:p>
            <w:pPr>
              <w:jc w:val="right"/>
              <w:spacing w:after="0" w:line="189" w:lineRule="exact"/>
              <w:rPr>
                <w:sz w:val="20"/>
                <w:szCs w:val="20"/>
                <w:color w:val="auto"/>
              </w:rPr>
            </w:pPr>
            <w:r>
              <w:rPr>
                <w:rFonts w:ascii="Arial" w:cs="Arial" w:eastAsia="Arial" w:hAnsi="Arial"/>
                <w:sz w:val="18"/>
                <w:szCs w:val="18"/>
                <w:color w:val="auto"/>
              </w:rPr>
              <w:t>​​ ​</w:t>
            </w:r>
          </w:p>
        </w:tc>
        <w:tc>
          <w:tcPr>
            <w:tcW w:w="1040" w:type="dxa"/>
            <w:vAlign w:val="bottom"/>
            <w:gridSpan w:val="2"/>
          </w:tcPr>
          <w:p>
            <w:pPr>
              <w:jc w:val="right"/>
              <w:ind w:right="102"/>
              <w:spacing w:after="0" w:line="189" w:lineRule="exact"/>
              <w:rPr>
                <w:sz w:val="20"/>
                <w:szCs w:val="20"/>
                <w:color w:val="auto"/>
              </w:rPr>
            </w:pPr>
            <w:r>
              <w:rPr>
                <w:rFonts w:ascii="Arial" w:cs="Arial" w:eastAsia="Arial" w:hAnsi="Arial"/>
                <w:sz w:val="17"/>
                <w:szCs w:val="17"/>
                <w:color w:val="auto"/>
              </w:rPr>
              <w:t>​17,927</w:t>
            </w:r>
            <w:r>
              <w:rPr>
                <w:rFonts w:ascii="Arial" w:cs="Arial" w:eastAsia="Arial" w:hAnsi="Arial"/>
                <w:sz w:val="21"/>
                <w:szCs w:val="21"/>
                <w:color w:val="auto"/>
                <w:vertAlign w:val="superscript"/>
              </w:rPr>
              <w:t>(6)</w:t>
            </w:r>
          </w:p>
        </w:tc>
        <w:tc>
          <w:tcPr>
            <w:tcW w:w="300" w:type="dxa"/>
            <w:vAlign w:val="bottom"/>
            <w:gridSpan w:val="2"/>
          </w:tcPr>
          <w:p>
            <w:pPr>
              <w:jc w:val="center"/>
              <w:ind w:right="60"/>
              <w:spacing w:after="0" w:line="189" w:lineRule="exact"/>
              <w:rPr>
                <w:sz w:val="20"/>
                <w:szCs w:val="20"/>
                <w:color w:val="auto"/>
              </w:rPr>
            </w:pPr>
            <w:r>
              <w:rPr>
                <w:rFonts w:ascii="Arial" w:cs="Arial" w:eastAsia="Arial" w:hAnsi="Arial"/>
                <w:sz w:val="18"/>
                <w:szCs w:val="18"/>
                <w:color w:val="auto"/>
              </w:rPr>
              <w:t>​​ ​​</w:t>
            </w:r>
          </w:p>
        </w:tc>
        <w:tc>
          <w:tcPr>
            <w:tcW w:w="700" w:type="dxa"/>
            <w:vAlign w:val="bottom"/>
          </w:tcPr>
          <w:p>
            <w:pPr>
              <w:jc w:val="right"/>
              <w:spacing w:after="0" w:line="189" w:lineRule="exact"/>
              <w:rPr>
                <w:sz w:val="20"/>
                <w:szCs w:val="20"/>
                <w:color w:val="auto"/>
              </w:rPr>
            </w:pPr>
            <w:r>
              <w:rPr>
                <w:rFonts w:ascii="Arial" w:cs="Arial" w:eastAsia="Arial" w:hAnsi="Arial"/>
                <w:sz w:val="18"/>
                <w:szCs w:val="18"/>
                <w:color w:val="auto"/>
              </w:rPr>
              <w:t>525,355</w:t>
            </w:r>
          </w:p>
        </w:tc>
        <w:tc>
          <w:tcPr>
            <w:tcW w:w="0" w:type="dxa"/>
            <w:vAlign w:val="bottom"/>
          </w:tcPr>
          <w:p>
            <w:pPr>
              <w:spacing w:after="0"/>
              <w:rPr>
                <w:sz w:val="1"/>
                <w:szCs w:val="1"/>
                <w:color w:val="auto"/>
              </w:rPr>
            </w:pPr>
          </w:p>
        </w:tc>
      </w:tr>
      <w:tr>
        <w:trPr>
          <w:trHeight w:val="197"/>
        </w:trPr>
        <w:tc>
          <w:tcPr>
            <w:tcW w:w="2340" w:type="dxa"/>
            <w:vAlign w:val="bottom"/>
            <w:gridSpan w:val="2"/>
          </w:tcPr>
          <w:p>
            <w:pPr>
              <w:ind w:left="180"/>
              <w:spacing w:after="0" w:line="197" w:lineRule="exact"/>
              <w:rPr>
                <w:sz w:val="20"/>
                <w:szCs w:val="20"/>
                <w:color w:val="auto"/>
              </w:rPr>
            </w:pPr>
            <w:r>
              <w:rPr>
                <w:rFonts w:ascii="Arial" w:cs="Arial" w:eastAsia="Arial" w:hAnsi="Arial"/>
                <w:sz w:val="18"/>
                <w:szCs w:val="18"/>
                <w:color w:val="auto"/>
              </w:rPr>
              <w:t>Chief Financial Officer &amp;</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340" w:type="dxa"/>
            <w:vAlign w:val="bottom"/>
            <w:gridSpan w:val="2"/>
          </w:tcPr>
          <w:p>
            <w:pPr>
              <w:ind w:left="180"/>
              <w:spacing w:after="0"/>
              <w:rPr>
                <w:sz w:val="20"/>
                <w:szCs w:val="20"/>
                <w:color w:val="auto"/>
              </w:rPr>
            </w:pPr>
            <w:r>
              <w:rPr>
                <w:rFonts w:ascii="Arial" w:cs="Arial" w:eastAsia="Arial" w:hAnsi="Arial"/>
                <w:sz w:val="18"/>
                <w:szCs w:val="18"/>
                <w:color w:val="auto"/>
              </w:rPr>
              <w:t>Treasurer</w:t>
            </w:r>
          </w:p>
        </w:tc>
        <w:tc>
          <w:tcPr>
            <w:tcW w:w="540" w:type="dxa"/>
            <w:vAlign w:val="bottom"/>
            <w:gridSpan w:val="2"/>
            <w:vMerge w:val="restart"/>
          </w:tcPr>
          <w:p>
            <w:pPr>
              <w:ind w:left="60"/>
              <w:spacing w:after="0"/>
              <w:rPr>
                <w:sz w:val="20"/>
                <w:szCs w:val="20"/>
                <w:color w:val="auto"/>
              </w:rPr>
            </w:pPr>
            <w:r>
              <w:rPr>
                <w:rFonts w:ascii="Arial" w:cs="Arial" w:eastAsia="Arial" w:hAnsi="Arial"/>
                <w:sz w:val="18"/>
                <w:szCs w:val="18"/>
                <w:color w:val="auto"/>
              </w:rPr>
              <w:t>​​</w:t>
            </w:r>
          </w:p>
        </w:tc>
        <w:tc>
          <w:tcPr>
            <w:tcW w:w="860" w:type="dxa"/>
            <w:vAlign w:val="bottom"/>
            <w:gridSpan w:val="2"/>
            <w:vMerge w:val="restart"/>
          </w:tcPr>
          <w:p>
            <w:pPr>
              <w:ind w:left="20"/>
              <w:spacing w:after="0"/>
              <w:rPr>
                <w:sz w:val="20"/>
                <w:szCs w:val="20"/>
                <w:color w:val="auto"/>
              </w:rPr>
            </w:pPr>
            <w:r>
              <w:rPr>
                <w:rFonts w:ascii="Arial" w:cs="Arial" w:eastAsia="Arial" w:hAnsi="Arial"/>
                <w:sz w:val="18"/>
                <w:szCs w:val="18"/>
                <w:color w:val="auto"/>
              </w:rPr>
              <w:t>​ ​​</w:t>
            </w:r>
          </w:p>
        </w:tc>
        <w:tc>
          <w:tcPr>
            <w:tcW w:w="280" w:type="dxa"/>
            <w:vAlign w:val="bottom"/>
            <w:gridSpan w:val="2"/>
            <w:vMerge w:val="restart"/>
          </w:tcPr>
          <w:p>
            <w:pPr>
              <w:ind w:left="40"/>
              <w:spacing w:after="0"/>
              <w:rPr>
                <w:sz w:val="20"/>
                <w:szCs w:val="20"/>
                <w:color w:val="auto"/>
              </w:rPr>
            </w:pPr>
            <w:r>
              <w:rPr>
                <w:rFonts w:ascii="Arial" w:cs="Arial" w:eastAsia="Arial" w:hAnsi="Arial"/>
                <w:sz w:val="18"/>
                <w:szCs w:val="18"/>
                <w:color w:val="auto"/>
              </w:rPr>
              <w:t>​ ​​</w:t>
            </w:r>
          </w:p>
        </w:tc>
        <w:tc>
          <w:tcPr>
            <w:tcW w:w="740" w:type="dxa"/>
            <w:vAlign w:val="bottom"/>
          </w:tcPr>
          <w:p>
            <w:pPr>
              <w:spacing w:after="0"/>
              <w:rPr>
                <w:sz w:val="20"/>
                <w:szCs w:val="20"/>
                <w:color w:val="auto"/>
              </w:rPr>
            </w:pPr>
          </w:p>
        </w:tc>
        <w:tc>
          <w:tcPr>
            <w:tcW w:w="180" w:type="dxa"/>
            <w:vAlign w:val="bottom"/>
            <w:vMerge w:val="restart"/>
          </w:tcPr>
          <w:p>
            <w:pPr>
              <w:ind w:left="20"/>
              <w:spacing w:after="0"/>
              <w:rPr>
                <w:sz w:val="20"/>
                <w:szCs w:val="20"/>
                <w:color w:val="auto"/>
              </w:rPr>
            </w:pPr>
            <w:r>
              <w:rPr>
                <w:rFonts w:ascii="Arial" w:cs="Arial" w:eastAsia="Arial" w:hAnsi="Arial"/>
                <w:sz w:val="18"/>
                <w:szCs w:val="18"/>
                <w:color w:val="auto"/>
              </w:rPr>
              <w:t>​ ​</w:t>
            </w:r>
          </w:p>
        </w:tc>
        <w:tc>
          <w:tcPr>
            <w:tcW w:w="200" w:type="dxa"/>
            <w:vAlign w:val="bottom"/>
            <w:vMerge w:val="restart"/>
          </w:tcPr>
          <w:p>
            <w:pPr>
              <w:ind w:left="10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20"/>
                <w:szCs w:val="20"/>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 ​</w:t>
            </w:r>
          </w:p>
        </w:tc>
        <w:tc>
          <w:tcPr>
            <w:tcW w:w="740" w:type="dxa"/>
            <w:vAlign w:val="bottom"/>
            <w:vMerge w:val="restart"/>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300" w:type="dxa"/>
            <w:vAlign w:val="bottom"/>
            <w:gridSpan w:val="2"/>
            <w:vMerge w:val="restart"/>
          </w:tcPr>
          <w:p>
            <w:pPr>
              <w:jc w:val="center"/>
              <w:ind w:right="60"/>
              <w:spacing w:after="0"/>
              <w:rPr>
                <w:sz w:val="20"/>
                <w:szCs w:val="20"/>
                <w:color w:val="auto"/>
              </w:rPr>
            </w:pPr>
            <w:r>
              <w:rPr>
                <w:rFonts w:ascii="Arial" w:cs="Arial" w:eastAsia="Arial" w:hAnsi="Arial"/>
                <w:sz w:val="18"/>
                <w:szCs w:val="18"/>
                <w:color w:val="auto"/>
              </w:rPr>
              <w:t>​​ ​​</w:t>
            </w: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gridSpan w:val="2"/>
            <w:vMerge w:val="continue"/>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280" w:type="dxa"/>
            <w:vAlign w:val="bottom"/>
            <w:gridSpan w:val="2"/>
            <w:vMerge w:val="continue"/>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gridSpan w:val="2"/>
            <w:vMerge w:val="continue"/>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2340" w:type="dxa"/>
            <w:vAlign w:val="bottom"/>
            <w:gridSpan w:val="2"/>
          </w:tcPr>
          <w:p>
            <w:pPr>
              <w:spacing w:after="0"/>
              <w:rPr>
                <w:sz w:val="20"/>
                <w:szCs w:val="20"/>
                <w:color w:val="auto"/>
              </w:rPr>
            </w:pPr>
            <w:r>
              <w:rPr>
                <w:rFonts w:ascii="Arial" w:cs="Arial" w:eastAsia="Arial" w:hAnsi="Arial"/>
                <w:sz w:val="18"/>
                <w:szCs w:val="18"/>
                <w:color w:val="auto"/>
              </w:rPr>
              <w:t>Daniel E. Smith</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2025</w:t>
            </w:r>
          </w:p>
        </w:tc>
        <w:tc>
          <w:tcPr>
            <w:tcW w:w="860" w:type="dxa"/>
            <w:vAlign w:val="bottom"/>
            <w:gridSpan w:val="2"/>
          </w:tcPr>
          <w:p>
            <w:pPr>
              <w:ind w:left="200"/>
              <w:spacing w:after="0"/>
              <w:rPr>
                <w:sz w:val="20"/>
                <w:szCs w:val="20"/>
                <w:color w:val="auto"/>
              </w:rPr>
            </w:pPr>
            <w:r>
              <w:rPr>
                <w:rFonts w:ascii="Arial" w:cs="Arial" w:eastAsia="Arial" w:hAnsi="Arial"/>
                <w:sz w:val="18"/>
                <w:szCs w:val="18"/>
                <w:color w:val="auto"/>
                <w:w w:val="95"/>
              </w:rPr>
              <w:t>335,000</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467,030</w:t>
            </w: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376,875</w:t>
            </w:r>
          </w:p>
        </w:tc>
        <w:tc>
          <w:tcPr>
            <w:tcW w:w="200" w:type="dxa"/>
            <w:vAlign w:val="bottom"/>
          </w:tcPr>
          <w:p>
            <w:pPr>
              <w:spacing w:after="0"/>
              <w:rPr>
                <w:sz w:val="22"/>
                <w:szCs w:val="22"/>
                <w:color w:val="auto"/>
              </w:rPr>
            </w:pPr>
          </w:p>
        </w:tc>
        <w:tc>
          <w:tcPr>
            <w:tcW w:w="1040" w:type="dxa"/>
            <w:vAlign w:val="bottom"/>
            <w:gridSpan w:val="2"/>
          </w:tcPr>
          <w:p>
            <w:pPr>
              <w:jc w:val="right"/>
              <w:ind w:right="102"/>
              <w:spacing w:after="0" w:line="261" w:lineRule="exact"/>
              <w:rPr>
                <w:sz w:val="20"/>
                <w:szCs w:val="20"/>
                <w:color w:val="auto"/>
              </w:rPr>
            </w:pPr>
            <w:r>
              <w:rPr>
                <w:rFonts w:ascii="Arial" w:cs="Arial" w:eastAsia="Arial" w:hAnsi="Arial"/>
                <w:sz w:val="18"/>
                <w:szCs w:val="18"/>
                <w:color w:val="auto"/>
              </w:rPr>
              <w:t>17,564</w:t>
            </w:r>
            <w:r>
              <w:rPr>
                <w:rFonts w:ascii="Arial" w:cs="Arial" w:eastAsia="Arial" w:hAnsi="Arial"/>
                <w:sz w:val="23"/>
                <w:szCs w:val="23"/>
                <w:color w:val="auto"/>
                <w:vertAlign w:val="superscript"/>
              </w:rPr>
              <w:t>(7)</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1,196,469</w:t>
            </w:r>
          </w:p>
        </w:tc>
        <w:tc>
          <w:tcPr>
            <w:tcW w:w="0" w:type="dxa"/>
            <w:vAlign w:val="bottom"/>
          </w:tcPr>
          <w:p>
            <w:pPr>
              <w:spacing w:after="0"/>
              <w:rPr>
                <w:sz w:val="1"/>
                <w:szCs w:val="1"/>
                <w:color w:val="auto"/>
              </w:rPr>
            </w:pPr>
          </w:p>
        </w:tc>
      </w:tr>
      <w:tr>
        <w:trPr>
          <w:trHeight w:val="194"/>
        </w:trPr>
        <w:tc>
          <w:tcPr>
            <w:tcW w:w="2340" w:type="dxa"/>
            <w:vAlign w:val="bottom"/>
            <w:gridSpan w:val="2"/>
          </w:tcPr>
          <w:p>
            <w:pPr>
              <w:ind w:left="180"/>
              <w:spacing w:after="0" w:line="195" w:lineRule="exact"/>
              <w:rPr>
                <w:sz w:val="20"/>
                <w:szCs w:val="20"/>
                <w:color w:val="auto"/>
              </w:rPr>
            </w:pPr>
            <w:r>
              <w:rPr>
                <w:rFonts w:ascii="Arial" w:cs="Arial" w:eastAsia="Arial" w:hAnsi="Arial"/>
                <w:sz w:val="18"/>
                <w:szCs w:val="18"/>
                <w:color w:val="auto"/>
              </w:rPr>
              <w:t>Sr. Vice President,</w:t>
            </w:r>
          </w:p>
        </w:tc>
        <w:tc>
          <w:tcPr>
            <w:tcW w:w="540" w:type="dxa"/>
            <w:vAlign w:val="bottom"/>
            <w:gridSpan w:val="2"/>
          </w:tcPr>
          <w:p>
            <w:pPr>
              <w:ind w:left="60"/>
              <w:spacing w:after="0" w:line="195" w:lineRule="exact"/>
              <w:rPr>
                <w:sz w:val="20"/>
                <w:szCs w:val="20"/>
                <w:color w:val="auto"/>
              </w:rPr>
            </w:pPr>
            <w:r>
              <w:rPr>
                <w:rFonts w:ascii="Arial" w:cs="Arial" w:eastAsia="Arial" w:hAnsi="Arial"/>
                <w:sz w:val="18"/>
                <w:szCs w:val="18"/>
                <w:color w:val="auto"/>
              </w:rPr>
              <w:t>​​</w:t>
            </w:r>
          </w:p>
        </w:tc>
        <w:tc>
          <w:tcPr>
            <w:tcW w:w="860" w:type="dxa"/>
            <w:vAlign w:val="bottom"/>
            <w:gridSpan w:val="2"/>
          </w:tcPr>
          <w:p>
            <w:pPr>
              <w:ind w:left="20"/>
              <w:spacing w:after="0" w:line="195" w:lineRule="exact"/>
              <w:rPr>
                <w:sz w:val="20"/>
                <w:szCs w:val="20"/>
                <w:color w:val="auto"/>
              </w:rPr>
            </w:pPr>
            <w:r>
              <w:rPr>
                <w:rFonts w:ascii="Arial" w:cs="Arial" w:eastAsia="Arial" w:hAnsi="Arial"/>
                <w:sz w:val="18"/>
                <w:szCs w:val="18"/>
                <w:color w:val="auto"/>
              </w:rPr>
              <w:t>​ ​​</w:t>
            </w:r>
          </w:p>
        </w:tc>
        <w:tc>
          <w:tcPr>
            <w:tcW w:w="280" w:type="dxa"/>
            <w:vAlign w:val="bottom"/>
            <w:gridSpan w:val="2"/>
          </w:tcPr>
          <w:p>
            <w:pPr>
              <w:ind w:left="40"/>
              <w:spacing w:after="0" w:line="195" w:lineRule="exact"/>
              <w:rPr>
                <w:sz w:val="20"/>
                <w:szCs w:val="20"/>
                <w:color w:val="auto"/>
              </w:rPr>
            </w:pPr>
            <w:r>
              <w:rPr>
                <w:rFonts w:ascii="Arial" w:cs="Arial" w:eastAsia="Arial" w:hAnsi="Arial"/>
                <w:sz w:val="18"/>
                <w:szCs w:val="18"/>
                <w:color w:val="auto"/>
              </w:rPr>
              <w:t>​ ​​</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376,388</w:t>
            </w:r>
          </w:p>
        </w:tc>
        <w:tc>
          <w:tcPr>
            <w:tcW w:w="180" w:type="dxa"/>
            <w:vAlign w:val="bottom"/>
          </w:tcPr>
          <w:p>
            <w:pPr>
              <w:ind w:left="20"/>
              <w:spacing w:after="0" w:line="195" w:lineRule="exact"/>
              <w:rPr>
                <w:sz w:val="20"/>
                <w:szCs w:val="20"/>
                <w:color w:val="auto"/>
              </w:rPr>
            </w:pPr>
            <w:r>
              <w:rPr>
                <w:rFonts w:ascii="Arial" w:cs="Arial" w:eastAsia="Arial" w:hAnsi="Arial"/>
                <w:sz w:val="18"/>
                <w:szCs w:val="18"/>
                <w:color w:val="auto"/>
              </w:rPr>
              <w:t>​ ​</w:t>
            </w:r>
          </w:p>
        </w:tc>
        <w:tc>
          <w:tcPr>
            <w:tcW w:w="200" w:type="dxa"/>
            <w:vAlign w:val="bottom"/>
          </w:tcPr>
          <w:p>
            <w:pPr>
              <w:ind w:left="100"/>
              <w:spacing w:after="0" w:line="195" w:lineRule="exact"/>
              <w:rPr>
                <w:sz w:val="20"/>
                <w:szCs w:val="20"/>
                <w:color w:val="auto"/>
              </w:rPr>
            </w:pPr>
            <w:r>
              <w:rPr>
                <w:rFonts w:ascii="Arial" w:cs="Arial" w:eastAsia="Arial" w:hAnsi="Arial"/>
                <w:sz w:val="18"/>
                <w:szCs w:val="18"/>
                <w:color w:val="auto"/>
              </w:rPr>
              <w:t>​</w:t>
            </w:r>
          </w:p>
        </w:tc>
        <w:tc>
          <w:tcPr>
            <w:tcW w:w="820" w:type="dxa"/>
            <w:vAlign w:val="bottom"/>
            <w:vMerge w:val="restart"/>
          </w:tcPr>
          <w:p>
            <w:pPr>
              <w:jc w:val="right"/>
              <w:ind w:right="32"/>
              <w:spacing w:after="0"/>
              <w:rPr>
                <w:sz w:val="20"/>
                <w:szCs w:val="20"/>
                <w:color w:val="auto"/>
              </w:rPr>
            </w:pPr>
            <w:r>
              <w:rPr>
                <w:rFonts w:ascii="Arial" w:cs="Arial" w:eastAsia="Arial" w:hAnsi="Arial"/>
                <w:sz w:val="18"/>
                <w:szCs w:val="18"/>
                <w:color w:val="auto"/>
              </w:rPr>
              <w:t>450,000</w:t>
            </w:r>
          </w:p>
        </w:tc>
        <w:tc>
          <w:tcPr>
            <w:tcW w:w="200" w:type="dxa"/>
            <w:vAlign w:val="bottom"/>
          </w:tcPr>
          <w:p>
            <w:pPr>
              <w:jc w:val="right"/>
              <w:spacing w:after="0" w:line="195" w:lineRule="exact"/>
              <w:rPr>
                <w:sz w:val="20"/>
                <w:szCs w:val="20"/>
                <w:color w:val="auto"/>
              </w:rPr>
            </w:pPr>
            <w:r>
              <w:rPr>
                <w:rFonts w:ascii="Arial" w:cs="Arial" w:eastAsia="Arial" w:hAnsi="Arial"/>
                <w:sz w:val="18"/>
                <w:szCs w:val="18"/>
                <w:color w:val="auto"/>
              </w:rPr>
              <w:t>​​ ​</w:t>
            </w:r>
          </w:p>
        </w:tc>
        <w:tc>
          <w:tcPr>
            <w:tcW w:w="740" w:type="dxa"/>
            <w:vAlign w:val="bottom"/>
          </w:tcPr>
          <w:p>
            <w:pPr>
              <w:jc w:val="right"/>
              <w:ind w:right="440"/>
              <w:spacing w:after="0" w:line="195" w:lineRule="exact"/>
              <w:rPr>
                <w:sz w:val="20"/>
                <w:szCs w:val="20"/>
                <w:color w:val="auto"/>
              </w:rPr>
            </w:pPr>
            <w:r>
              <w:rPr>
                <w:rFonts w:ascii="Arial" w:cs="Arial" w:eastAsia="Arial" w:hAnsi="Arial"/>
                <w:sz w:val="18"/>
                <w:szCs w:val="18"/>
                <w:color w:val="auto"/>
              </w:rPr>
              <w:t>​</w:t>
            </w:r>
          </w:p>
        </w:tc>
        <w:tc>
          <w:tcPr>
            <w:tcW w:w="300" w:type="dxa"/>
            <w:vAlign w:val="bottom"/>
          </w:tcPr>
          <w:p>
            <w:pPr>
              <w:jc w:val="right"/>
              <w:ind w:right="102"/>
              <w:spacing w:after="0"/>
              <w:rPr>
                <w:sz w:val="20"/>
                <w:szCs w:val="20"/>
                <w:color w:val="auto"/>
              </w:rPr>
            </w:pPr>
            <w:r>
              <w:rPr>
                <w:rFonts w:ascii="Arial" w:cs="Arial" w:eastAsia="Arial" w:hAnsi="Arial"/>
                <w:sz w:val="12"/>
                <w:szCs w:val="12"/>
                <w:color w:val="auto"/>
                <w:w w:val="81"/>
              </w:rPr>
              <w:t>(7)</w:t>
            </w:r>
          </w:p>
        </w:tc>
        <w:tc>
          <w:tcPr>
            <w:tcW w:w="300" w:type="dxa"/>
            <w:vAlign w:val="bottom"/>
            <w:gridSpan w:val="2"/>
          </w:tcPr>
          <w:p>
            <w:pPr>
              <w:jc w:val="center"/>
              <w:ind w:right="60"/>
              <w:spacing w:after="0" w:line="195" w:lineRule="exact"/>
              <w:rPr>
                <w:sz w:val="20"/>
                <w:szCs w:val="20"/>
                <w:color w:val="auto"/>
              </w:rPr>
            </w:pPr>
            <w:r>
              <w:rPr>
                <w:rFonts w:ascii="Arial" w:cs="Arial" w:eastAsia="Arial" w:hAnsi="Arial"/>
                <w:sz w:val="18"/>
                <w:szCs w:val="18"/>
                <w:color w:val="auto"/>
              </w:rPr>
              <w:t>​​ ​​</w:t>
            </w: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2340" w:type="dxa"/>
            <w:vAlign w:val="bottom"/>
            <w:gridSpan w:val="2"/>
            <w:vMerge w:val="restart"/>
          </w:tcPr>
          <w:p>
            <w:pPr>
              <w:ind w:left="180"/>
              <w:spacing w:after="0"/>
              <w:rPr>
                <w:sz w:val="20"/>
                <w:szCs w:val="20"/>
                <w:color w:val="auto"/>
              </w:rPr>
            </w:pPr>
            <w:r>
              <w:rPr>
                <w:rFonts w:ascii="Arial" w:cs="Arial" w:eastAsia="Arial" w:hAnsi="Arial"/>
                <w:sz w:val="18"/>
                <w:szCs w:val="18"/>
                <w:color w:val="auto"/>
              </w:rPr>
              <w:t>General Counsel &amp;</w:t>
            </w:r>
          </w:p>
        </w:tc>
        <w:tc>
          <w:tcPr>
            <w:tcW w:w="540" w:type="dxa"/>
            <w:vAlign w:val="bottom"/>
            <w:gridSpan w:val="2"/>
          </w:tcPr>
          <w:p>
            <w:pPr>
              <w:jc w:val="right"/>
              <w:ind w:right="20"/>
              <w:spacing w:after="0" w:line="116" w:lineRule="exact"/>
              <w:rPr>
                <w:sz w:val="20"/>
                <w:szCs w:val="20"/>
                <w:color w:val="auto"/>
              </w:rPr>
            </w:pPr>
            <w:r>
              <w:rPr>
                <w:rFonts w:ascii="Arial" w:cs="Arial" w:eastAsia="Arial" w:hAnsi="Arial"/>
                <w:sz w:val="13"/>
                <w:szCs w:val="13"/>
                <w:color w:val="auto"/>
              </w:rPr>
              <w:t>2024</w:t>
            </w:r>
          </w:p>
        </w:tc>
        <w:tc>
          <w:tcPr>
            <w:tcW w:w="860" w:type="dxa"/>
            <w:vAlign w:val="bottom"/>
            <w:gridSpan w:val="2"/>
          </w:tcPr>
          <w:p>
            <w:pPr>
              <w:ind w:left="200"/>
              <w:spacing w:after="0" w:line="116" w:lineRule="exact"/>
              <w:rPr>
                <w:sz w:val="20"/>
                <w:szCs w:val="20"/>
                <w:color w:val="auto"/>
              </w:rPr>
            </w:pPr>
            <w:r>
              <w:rPr>
                <w:rFonts w:ascii="Arial" w:cs="Arial" w:eastAsia="Arial" w:hAnsi="Arial"/>
                <w:sz w:val="13"/>
                <w:szCs w:val="13"/>
                <w:color w:val="auto"/>
              </w:rPr>
              <w:t>300,000</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jc w:val="right"/>
              <w:spacing w:after="0" w:line="116" w:lineRule="exact"/>
              <w:rPr>
                <w:sz w:val="20"/>
                <w:szCs w:val="20"/>
                <w:color w:val="auto"/>
              </w:rPr>
            </w:pPr>
            <w:r>
              <w:rPr>
                <w:rFonts w:ascii="Arial" w:cs="Arial" w:eastAsia="Arial" w:hAnsi="Arial"/>
                <w:sz w:val="13"/>
                <w:szCs w:val="13"/>
                <w:color w:val="auto"/>
              </w:rPr>
              <w:t>16,122</w:t>
            </w:r>
          </w:p>
        </w:tc>
        <w:tc>
          <w:tcPr>
            <w:tcW w:w="300" w:type="dxa"/>
            <w:vAlign w:val="bottom"/>
          </w:tcPr>
          <w:p>
            <w:pPr>
              <w:spacing w:after="0"/>
              <w:rPr>
                <w:sz w:val="10"/>
                <w:szCs w:val="10"/>
                <w:color w:val="auto"/>
              </w:rPr>
            </w:pPr>
          </w:p>
        </w:tc>
        <w:tc>
          <w:tcPr>
            <w:tcW w:w="1000" w:type="dxa"/>
            <w:vAlign w:val="bottom"/>
            <w:gridSpan w:val="3"/>
          </w:tcPr>
          <w:p>
            <w:pPr>
              <w:jc w:val="right"/>
              <w:spacing w:after="0" w:line="116" w:lineRule="exact"/>
              <w:rPr>
                <w:sz w:val="20"/>
                <w:szCs w:val="20"/>
                <w:color w:val="auto"/>
              </w:rPr>
            </w:pPr>
            <w:r>
              <w:rPr>
                <w:rFonts w:ascii="Arial" w:cs="Arial" w:eastAsia="Arial" w:hAnsi="Arial"/>
                <w:sz w:val="13"/>
                <w:szCs w:val="13"/>
                <w:color w:val="auto"/>
              </w:rPr>
              <w:t>1,142,510</w:t>
            </w:r>
          </w:p>
        </w:tc>
        <w:tc>
          <w:tcPr>
            <w:tcW w:w="0" w:type="dxa"/>
            <w:vAlign w:val="bottom"/>
          </w:tcPr>
          <w:p>
            <w:pPr>
              <w:spacing w:after="0"/>
              <w:rPr>
                <w:sz w:val="1"/>
                <w:szCs w:val="1"/>
                <w:color w:val="auto"/>
              </w:rPr>
            </w:pPr>
          </w:p>
        </w:tc>
      </w:tr>
      <w:tr>
        <w:trPr>
          <w:trHeight w:val="181"/>
        </w:trPr>
        <w:tc>
          <w:tcPr>
            <w:tcW w:w="2340" w:type="dxa"/>
            <w:vAlign w:val="bottom"/>
            <w:gridSpan w:val="2"/>
            <w:vMerge w:val="continue"/>
          </w:tcPr>
          <w:p>
            <w:pPr>
              <w:spacing w:after="0"/>
              <w:rPr>
                <w:sz w:val="15"/>
                <w:szCs w:val="15"/>
                <w:color w:val="auto"/>
              </w:rPr>
            </w:pPr>
          </w:p>
        </w:tc>
        <w:tc>
          <w:tcPr>
            <w:tcW w:w="540" w:type="dxa"/>
            <w:vAlign w:val="bottom"/>
            <w:gridSpan w:val="2"/>
          </w:tcPr>
          <w:p>
            <w:pPr>
              <w:ind w:left="60"/>
              <w:spacing w:after="0" w:line="181" w:lineRule="exact"/>
              <w:rPr>
                <w:sz w:val="20"/>
                <w:szCs w:val="20"/>
                <w:color w:val="auto"/>
              </w:rPr>
            </w:pPr>
            <w:r>
              <w:rPr>
                <w:rFonts w:ascii="Arial" w:cs="Arial" w:eastAsia="Arial" w:hAnsi="Arial"/>
                <w:sz w:val="18"/>
                <w:szCs w:val="18"/>
                <w:color w:val="auto"/>
              </w:rPr>
              <w:t>​​</w:t>
            </w:r>
          </w:p>
        </w:tc>
        <w:tc>
          <w:tcPr>
            <w:tcW w:w="860" w:type="dxa"/>
            <w:vAlign w:val="bottom"/>
            <w:gridSpan w:val="2"/>
          </w:tcPr>
          <w:p>
            <w:pPr>
              <w:ind w:left="20"/>
              <w:spacing w:after="0" w:line="181" w:lineRule="exact"/>
              <w:rPr>
                <w:sz w:val="20"/>
                <w:szCs w:val="20"/>
                <w:color w:val="auto"/>
              </w:rPr>
            </w:pPr>
            <w:r>
              <w:rPr>
                <w:rFonts w:ascii="Arial" w:cs="Arial" w:eastAsia="Arial" w:hAnsi="Arial"/>
                <w:sz w:val="18"/>
                <w:szCs w:val="18"/>
                <w:color w:val="auto"/>
              </w:rPr>
              <w:t>​ ​​</w:t>
            </w:r>
          </w:p>
        </w:tc>
        <w:tc>
          <w:tcPr>
            <w:tcW w:w="280" w:type="dxa"/>
            <w:vAlign w:val="bottom"/>
            <w:gridSpan w:val="2"/>
          </w:tcPr>
          <w:p>
            <w:pPr>
              <w:ind w:left="40"/>
              <w:spacing w:after="0" w:line="181" w:lineRule="exact"/>
              <w:rPr>
                <w:sz w:val="20"/>
                <w:szCs w:val="20"/>
                <w:color w:val="auto"/>
              </w:rPr>
            </w:pPr>
            <w:r>
              <w:rPr>
                <w:rFonts w:ascii="Arial" w:cs="Arial" w:eastAsia="Arial" w:hAnsi="Arial"/>
                <w:sz w:val="18"/>
                <w:szCs w:val="18"/>
                <w:color w:val="auto"/>
              </w:rPr>
              <w:t>​ ​​</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463,157</w:t>
            </w:r>
          </w:p>
        </w:tc>
        <w:tc>
          <w:tcPr>
            <w:tcW w:w="180" w:type="dxa"/>
            <w:vAlign w:val="bottom"/>
          </w:tcPr>
          <w:p>
            <w:pPr>
              <w:ind w:left="20"/>
              <w:spacing w:after="0" w:line="181" w:lineRule="exact"/>
              <w:rPr>
                <w:sz w:val="20"/>
                <w:szCs w:val="20"/>
                <w:color w:val="auto"/>
              </w:rPr>
            </w:pPr>
            <w:r>
              <w:rPr>
                <w:rFonts w:ascii="Arial" w:cs="Arial" w:eastAsia="Arial" w:hAnsi="Arial"/>
                <w:sz w:val="18"/>
                <w:szCs w:val="18"/>
                <w:color w:val="auto"/>
              </w:rPr>
              <w:t>​ ​</w:t>
            </w:r>
          </w:p>
        </w:tc>
        <w:tc>
          <w:tcPr>
            <w:tcW w:w="200" w:type="dxa"/>
            <w:vAlign w:val="bottom"/>
          </w:tcPr>
          <w:p>
            <w:pPr>
              <w:ind w:left="100"/>
              <w:spacing w:after="0" w:line="181" w:lineRule="exact"/>
              <w:rPr>
                <w:sz w:val="20"/>
                <w:szCs w:val="20"/>
                <w:color w:val="auto"/>
              </w:rPr>
            </w:pPr>
            <w:r>
              <w:rPr>
                <w:rFonts w:ascii="Arial" w:cs="Arial" w:eastAsia="Arial" w:hAnsi="Arial"/>
                <w:sz w:val="18"/>
                <w:szCs w:val="18"/>
                <w:color w:val="auto"/>
              </w:rPr>
              <w:t>​</w:t>
            </w:r>
          </w:p>
        </w:tc>
        <w:tc>
          <w:tcPr>
            <w:tcW w:w="820" w:type="dxa"/>
            <w:vAlign w:val="bottom"/>
            <w:vMerge w:val="restart"/>
          </w:tcPr>
          <w:p>
            <w:pPr>
              <w:jc w:val="right"/>
              <w:ind w:right="32"/>
              <w:spacing w:after="0"/>
              <w:rPr>
                <w:sz w:val="20"/>
                <w:szCs w:val="20"/>
                <w:color w:val="auto"/>
              </w:rPr>
            </w:pPr>
            <w:r>
              <w:rPr>
                <w:rFonts w:ascii="Arial" w:cs="Arial" w:eastAsia="Arial" w:hAnsi="Arial"/>
                <w:sz w:val="18"/>
                <w:szCs w:val="18"/>
                <w:color w:val="auto"/>
              </w:rPr>
              <w:t>277,108</w:t>
            </w:r>
          </w:p>
        </w:tc>
        <w:tc>
          <w:tcPr>
            <w:tcW w:w="200" w:type="dxa"/>
            <w:vAlign w:val="bottom"/>
          </w:tcPr>
          <w:p>
            <w:pPr>
              <w:jc w:val="right"/>
              <w:spacing w:after="0" w:line="181" w:lineRule="exact"/>
              <w:rPr>
                <w:sz w:val="20"/>
                <w:szCs w:val="20"/>
                <w:color w:val="auto"/>
              </w:rPr>
            </w:pPr>
            <w:r>
              <w:rPr>
                <w:rFonts w:ascii="Arial" w:cs="Arial" w:eastAsia="Arial" w:hAnsi="Arial"/>
                <w:sz w:val="18"/>
                <w:szCs w:val="18"/>
                <w:color w:val="auto"/>
              </w:rPr>
              <w:t>​​ ​</w:t>
            </w:r>
          </w:p>
        </w:tc>
        <w:tc>
          <w:tcPr>
            <w:tcW w:w="740" w:type="dxa"/>
            <w:vAlign w:val="bottom"/>
          </w:tcPr>
          <w:p>
            <w:pPr>
              <w:jc w:val="right"/>
              <w:ind w:right="440"/>
              <w:spacing w:after="0" w:line="181" w:lineRule="exact"/>
              <w:rPr>
                <w:sz w:val="20"/>
                <w:szCs w:val="20"/>
                <w:color w:val="auto"/>
              </w:rPr>
            </w:pPr>
            <w:r>
              <w:rPr>
                <w:rFonts w:ascii="Arial" w:cs="Arial" w:eastAsia="Arial" w:hAnsi="Arial"/>
                <w:sz w:val="18"/>
                <w:szCs w:val="18"/>
                <w:color w:val="auto"/>
              </w:rPr>
              <w:t>​</w:t>
            </w:r>
          </w:p>
        </w:tc>
        <w:tc>
          <w:tcPr>
            <w:tcW w:w="300" w:type="dxa"/>
            <w:vAlign w:val="bottom"/>
          </w:tcPr>
          <w:p>
            <w:pPr>
              <w:jc w:val="right"/>
              <w:ind w:right="102"/>
              <w:spacing w:after="0"/>
              <w:rPr>
                <w:sz w:val="20"/>
                <w:szCs w:val="20"/>
                <w:color w:val="auto"/>
              </w:rPr>
            </w:pPr>
            <w:r>
              <w:rPr>
                <w:rFonts w:ascii="Arial" w:cs="Arial" w:eastAsia="Arial" w:hAnsi="Arial"/>
                <w:sz w:val="12"/>
                <w:szCs w:val="12"/>
                <w:color w:val="auto"/>
                <w:w w:val="81"/>
              </w:rPr>
              <w:t>(7)</w:t>
            </w:r>
          </w:p>
        </w:tc>
        <w:tc>
          <w:tcPr>
            <w:tcW w:w="300" w:type="dxa"/>
            <w:vAlign w:val="bottom"/>
            <w:gridSpan w:val="2"/>
          </w:tcPr>
          <w:p>
            <w:pPr>
              <w:jc w:val="center"/>
              <w:ind w:right="60"/>
              <w:spacing w:after="0" w:line="181" w:lineRule="exact"/>
              <w:rPr>
                <w:sz w:val="20"/>
                <w:szCs w:val="20"/>
                <w:color w:val="auto"/>
              </w:rPr>
            </w:pPr>
            <w:r>
              <w:rPr>
                <w:rFonts w:ascii="Arial" w:cs="Arial" w:eastAsia="Arial" w:hAnsi="Arial"/>
                <w:sz w:val="18"/>
                <w:szCs w:val="18"/>
                <w:color w:val="auto"/>
              </w:rPr>
              <w:t>​​ ​​</w:t>
            </w: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340" w:type="dxa"/>
            <w:vAlign w:val="bottom"/>
            <w:gridSpan w:val="2"/>
            <w:vMerge w:val="restart"/>
          </w:tcPr>
          <w:p>
            <w:pPr>
              <w:ind w:left="180"/>
              <w:spacing w:after="0"/>
              <w:rPr>
                <w:sz w:val="20"/>
                <w:szCs w:val="20"/>
                <w:color w:val="auto"/>
              </w:rPr>
            </w:pPr>
            <w:r>
              <w:rPr>
                <w:rFonts w:ascii="Arial" w:cs="Arial" w:eastAsia="Arial" w:hAnsi="Arial"/>
                <w:sz w:val="18"/>
                <w:szCs w:val="18"/>
                <w:color w:val="auto"/>
              </w:rPr>
              <w:t>Corporate Secretary</w:t>
            </w:r>
          </w:p>
        </w:tc>
        <w:tc>
          <w:tcPr>
            <w:tcW w:w="540" w:type="dxa"/>
            <w:vAlign w:val="bottom"/>
            <w:gridSpan w:val="2"/>
          </w:tcPr>
          <w:p>
            <w:pPr>
              <w:jc w:val="right"/>
              <w:ind w:right="20"/>
              <w:spacing w:after="0" w:line="122" w:lineRule="exact"/>
              <w:rPr>
                <w:sz w:val="20"/>
                <w:szCs w:val="20"/>
                <w:color w:val="auto"/>
              </w:rPr>
            </w:pPr>
            <w:r>
              <w:rPr>
                <w:rFonts w:ascii="Arial" w:cs="Arial" w:eastAsia="Arial" w:hAnsi="Arial"/>
                <w:sz w:val="13"/>
                <w:szCs w:val="13"/>
                <w:color w:val="auto"/>
              </w:rPr>
              <w:t>2023</w:t>
            </w:r>
          </w:p>
        </w:tc>
        <w:tc>
          <w:tcPr>
            <w:tcW w:w="860" w:type="dxa"/>
            <w:vAlign w:val="bottom"/>
            <w:gridSpan w:val="2"/>
          </w:tcPr>
          <w:p>
            <w:pPr>
              <w:ind w:left="200"/>
              <w:spacing w:after="0" w:line="122" w:lineRule="exact"/>
              <w:rPr>
                <w:sz w:val="20"/>
                <w:szCs w:val="20"/>
                <w:color w:val="auto"/>
              </w:rPr>
            </w:pPr>
            <w:r>
              <w:rPr>
                <w:rFonts w:ascii="Arial" w:cs="Arial" w:eastAsia="Arial" w:hAnsi="Arial"/>
                <w:sz w:val="13"/>
                <w:szCs w:val="13"/>
                <w:color w:val="auto"/>
              </w:rPr>
              <w:t>300,000</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Arial" w:cs="Arial" w:eastAsia="Arial" w:hAnsi="Arial"/>
                <w:sz w:val="13"/>
                <w:szCs w:val="13"/>
                <w:color w:val="auto"/>
              </w:rPr>
              <w:t>15,522</w:t>
            </w:r>
          </w:p>
        </w:tc>
        <w:tc>
          <w:tcPr>
            <w:tcW w:w="300" w:type="dxa"/>
            <w:vAlign w:val="bottom"/>
          </w:tcPr>
          <w:p>
            <w:pPr>
              <w:spacing w:after="0"/>
              <w:rPr>
                <w:sz w:val="10"/>
                <w:szCs w:val="10"/>
                <w:color w:val="auto"/>
              </w:rPr>
            </w:pPr>
          </w:p>
        </w:tc>
        <w:tc>
          <w:tcPr>
            <w:tcW w:w="1000" w:type="dxa"/>
            <w:vAlign w:val="bottom"/>
            <w:gridSpan w:val="3"/>
          </w:tcPr>
          <w:p>
            <w:pPr>
              <w:jc w:val="right"/>
              <w:spacing w:after="0" w:line="122" w:lineRule="exact"/>
              <w:rPr>
                <w:sz w:val="20"/>
                <w:szCs w:val="20"/>
                <w:color w:val="auto"/>
              </w:rPr>
            </w:pPr>
            <w:r>
              <w:rPr>
                <w:rFonts w:ascii="Arial" w:cs="Arial" w:eastAsia="Arial" w:hAnsi="Arial"/>
                <w:sz w:val="13"/>
                <w:szCs w:val="13"/>
                <w:color w:val="auto"/>
              </w:rPr>
              <w:t>1,055,787</w:t>
            </w:r>
          </w:p>
        </w:tc>
        <w:tc>
          <w:tcPr>
            <w:tcW w:w="0" w:type="dxa"/>
            <w:vAlign w:val="bottom"/>
          </w:tcPr>
          <w:p>
            <w:pPr>
              <w:spacing w:after="0"/>
              <w:rPr>
                <w:sz w:val="1"/>
                <w:szCs w:val="1"/>
                <w:color w:val="auto"/>
              </w:rPr>
            </w:pPr>
          </w:p>
        </w:tc>
      </w:tr>
      <w:tr>
        <w:trPr>
          <w:trHeight w:val="94"/>
        </w:trPr>
        <w:tc>
          <w:tcPr>
            <w:tcW w:w="234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9"/>
        </w:trPr>
        <w:tc>
          <w:tcPr>
            <w:tcW w:w="2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Borders>
              <w:right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 ​​</w:t>
            </w:r>
          </w:p>
        </w:tc>
        <w:tc>
          <w:tcPr>
            <w:tcW w:w="2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w:t>
            </w:r>
          </w:p>
        </w:tc>
        <w:tc>
          <w:tcPr>
            <w:tcW w:w="740" w:type="dxa"/>
            <w:vAlign w:val="bottom"/>
            <w:tcBorders>
              <w:right w:val="single" w:sz="8" w:color="CCEEFF"/>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w:t>
            </w:r>
          </w:p>
        </w:tc>
        <w:tc>
          <w:tcPr>
            <w:tcW w:w="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CCEEFF"/>
            </w:tcBorders>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740" w:type="dxa"/>
            <w:vAlign w:val="bottom"/>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Borders>
              <w:right w:val="single" w:sz="8" w:color="CCEEFF"/>
            </w:tcBorders>
            <w:shd w:val="clear" w:color="auto" w:fill="CCEEFF"/>
          </w:tcPr>
          <w:p>
            <w:pPr>
              <w:spacing w:after="0"/>
              <w:rPr>
                <w:sz w:val="20"/>
                <w:szCs w:val="20"/>
                <w:color w:val="auto"/>
              </w:rPr>
            </w:pPr>
          </w:p>
        </w:tc>
        <w:tc>
          <w:tcPr>
            <w:tcW w:w="30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rPr>
              <w:t>​​ ​​</w:t>
            </w:r>
          </w:p>
        </w:tc>
        <w:tc>
          <w:tcPr>
            <w:tcW w:w="7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8"/>
        </w:trPr>
        <w:tc>
          <w:tcPr>
            <w:tcW w:w="2340" w:type="dxa"/>
            <w:vAlign w:val="bottom"/>
            <w:gridSpan w:val="2"/>
          </w:tcPr>
          <w:p>
            <w:pPr>
              <w:spacing w:after="0"/>
              <w:rPr>
                <w:sz w:val="20"/>
                <w:szCs w:val="20"/>
                <w:color w:val="auto"/>
              </w:rPr>
            </w:pPr>
            <w:r>
              <w:rPr>
                <w:rFonts w:ascii="Arial" w:cs="Arial" w:eastAsia="Arial" w:hAnsi="Arial"/>
                <w:sz w:val="18"/>
                <w:szCs w:val="18"/>
                <w:color w:val="auto"/>
              </w:rPr>
              <w:t>Lisa M. Vorakoun</w:t>
            </w:r>
          </w:p>
        </w:tc>
        <w:tc>
          <w:tcPr>
            <w:tcW w:w="540" w:type="dxa"/>
            <w:vAlign w:val="bottom"/>
            <w:tcBorders>
              <w:bottom w:val="single" w:sz="8" w:color="CCEEFF"/>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2025</w:t>
            </w:r>
          </w:p>
        </w:tc>
        <w:tc>
          <w:tcPr>
            <w:tcW w:w="860" w:type="dxa"/>
            <w:vAlign w:val="bottom"/>
            <w:tcBorders>
              <w:bottom w:val="single" w:sz="8" w:color="CCEEFF"/>
              <w:right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w w:val="95"/>
              </w:rPr>
              <w:t>300,000</w:t>
            </w: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418,228</w:t>
            </w:r>
          </w:p>
        </w:tc>
        <w:tc>
          <w:tcPr>
            <w:tcW w:w="180" w:type="dxa"/>
            <w:vAlign w:val="bottom"/>
            <w:tcBorders>
              <w:bottom w:val="single" w:sz="8" w:color="CCEEFF"/>
              <w:right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right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337,500</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right w:val="single" w:sz="8" w:color="CCEEFF"/>
            </w:tcBorders>
            <w:gridSpan w:val="2"/>
            <w:shd w:val="clear" w:color="auto" w:fill="CCEEFF"/>
          </w:tcPr>
          <w:p>
            <w:pPr>
              <w:jc w:val="right"/>
              <w:ind w:right="102"/>
              <w:spacing w:after="0" w:line="229" w:lineRule="exact"/>
              <w:rPr>
                <w:sz w:val="20"/>
                <w:szCs w:val="20"/>
                <w:color w:val="auto"/>
              </w:rPr>
            </w:pPr>
            <w:r>
              <w:rPr>
                <w:rFonts w:ascii="Arial" w:cs="Arial" w:eastAsia="Arial" w:hAnsi="Arial"/>
                <w:sz w:val="18"/>
                <w:szCs w:val="18"/>
                <w:color w:val="auto"/>
              </w:rPr>
              <w:t>14,540</w:t>
            </w:r>
            <w:r>
              <w:rPr>
                <w:rFonts w:ascii="Arial" w:cs="Arial" w:eastAsia="Arial" w:hAnsi="Arial"/>
                <w:sz w:val="23"/>
                <w:szCs w:val="23"/>
                <w:color w:val="auto"/>
                <w:vertAlign w:val="superscript"/>
              </w:rPr>
              <w:t>(8)</w:t>
            </w:r>
          </w:p>
        </w:tc>
        <w:tc>
          <w:tcPr>
            <w:tcW w:w="10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1,070,268</w:t>
            </w:r>
          </w:p>
        </w:tc>
        <w:tc>
          <w:tcPr>
            <w:tcW w:w="0" w:type="dxa"/>
            <w:vAlign w:val="bottom"/>
          </w:tcPr>
          <w:p>
            <w:pPr>
              <w:spacing w:after="0"/>
              <w:rPr>
                <w:sz w:val="1"/>
                <w:szCs w:val="1"/>
                <w:color w:val="auto"/>
              </w:rPr>
            </w:pPr>
          </w:p>
        </w:tc>
      </w:tr>
      <w:tr>
        <w:trPr>
          <w:trHeight w:val="122"/>
        </w:trPr>
        <w:tc>
          <w:tcPr>
            <w:tcW w:w="2340" w:type="dxa"/>
            <w:vAlign w:val="bottom"/>
            <w:gridSpan w:val="2"/>
          </w:tcPr>
          <w:p>
            <w:pPr>
              <w:ind w:left="180"/>
              <w:spacing w:after="0" w:line="122" w:lineRule="exact"/>
              <w:rPr>
                <w:sz w:val="20"/>
                <w:szCs w:val="20"/>
                <w:color w:val="auto"/>
              </w:rPr>
            </w:pPr>
            <w:r>
              <w:rPr>
                <w:rFonts w:ascii="Arial" w:cs="Arial" w:eastAsia="Arial" w:hAnsi="Arial"/>
                <w:sz w:val="13"/>
                <w:szCs w:val="13"/>
                <w:color w:val="auto"/>
              </w:rPr>
              <w:t>Sr. Vice President &amp; Chief</w:t>
            </w:r>
          </w:p>
        </w:tc>
        <w:tc>
          <w:tcPr>
            <w:tcW w:w="540" w:type="dxa"/>
            <w:vAlign w:val="bottom"/>
            <w:gridSpan w:val="2"/>
          </w:tcPr>
          <w:p>
            <w:pPr>
              <w:ind w:left="60"/>
              <w:spacing w:after="0" w:line="122" w:lineRule="exact"/>
              <w:rPr>
                <w:sz w:val="20"/>
                <w:szCs w:val="20"/>
                <w:color w:val="auto"/>
              </w:rPr>
            </w:pPr>
            <w:r>
              <w:rPr>
                <w:rFonts w:ascii="Arial" w:cs="Arial" w:eastAsia="Arial" w:hAnsi="Arial"/>
                <w:sz w:val="13"/>
                <w:szCs w:val="13"/>
                <w:color w:val="auto"/>
              </w:rPr>
              <w:t>​​</w:t>
            </w:r>
          </w:p>
        </w:tc>
        <w:tc>
          <w:tcPr>
            <w:tcW w:w="860" w:type="dxa"/>
            <w:vAlign w:val="bottom"/>
            <w:gridSpan w:val="2"/>
          </w:tcPr>
          <w:p>
            <w:pPr>
              <w:ind w:left="20"/>
              <w:spacing w:after="0" w:line="122" w:lineRule="exact"/>
              <w:rPr>
                <w:sz w:val="20"/>
                <w:szCs w:val="20"/>
                <w:color w:val="auto"/>
              </w:rPr>
            </w:pPr>
            <w:r>
              <w:rPr>
                <w:rFonts w:ascii="Arial" w:cs="Arial" w:eastAsia="Arial" w:hAnsi="Arial"/>
                <w:sz w:val="13"/>
                <w:szCs w:val="13"/>
                <w:color w:val="auto"/>
              </w:rPr>
              <w:t>​ ​​</w:t>
            </w:r>
          </w:p>
        </w:tc>
        <w:tc>
          <w:tcPr>
            <w:tcW w:w="280" w:type="dxa"/>
            <w:vAlign w:val="bottom"/>
            <w:gridSpan w:val="2"/>
          </w:tcPr>
          <w:p>
            <w:pPr>
              <w:ind w:left="40"/>
              <w:spacing w:after="0" w:line="122" w:lineRule="exact"/>
              <w:rPr>
                <w:sz w:val="20"/>
                <w:szCs w:val="20"/>
                <w:color w:val="auto"/>
              </w:rPr>
            </w:pPr>
            <w:r>
              <w:rPr>
                <w:rFonts w:ascii="Arial" w:cs="Arial" w:eastAsia="Arial" w:hAnsi="Arial"/>
                <w:sz w:val="13"/>
                <w:szCs w:val="13"/>
                <w:color w:val="auto"/>
              </w:rPr>
              <w:t>​ ​​</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226,572</w:t>
            </w:r>
          </w:p>
        </w:tc>
        <w:tc>
          <w:tcPr>
            <w:tcW w:w="180" w:type="dxa"/>
            <w:vAlign w:val="bottom"/>
          </w:tcPr>
          <w:p>
            <w:pPr>
              <w:ind w:left="20"/>
              <w:spacing w:after="0" w:line="122" w:lineRule="exact"/>
              <w:rPr>
                <w:sz w:val="20"/>
                <w:szCs w:val="20"/>
                <w:color w:val="auto"/>
              </w:rPr>
            </w:pPr>
            <w:r>
              <w:rPr>
                <w:rFonts w:ascii="Arial" w:cs="Arial" w:eastAsia="Arial" w:hAnsi="Arial"/>
                <w:sz w:val="13"/>
                <w:szCs w:val="13"/>
                <w:color w:val="auto"/>
              </w:rPr>
              <w:t>​ ​</w:t>
            </w:r>
          </w:p>
        </w:tc>
        <w:tc>
          <w:tcPr>
            <w:tcW w:w="200" w:type="dxa"/>
            <w:vAlign w:val="bottom"/>
          </w:tcPr>
          <w:p>
            <w:pPr>
              <w:ind w:left="100"/>
              <w:spacing w:after="0" w:line="122" w:lineRule="exact"/>
              <w:rPr>
                <w:sz w:val="20"/>
                <w:szCs w:val="20"/>
                <w:color w:val="auto"/>
              </w:rPr>
            </w:pPr>
            <w:r>
              <w:rPr>
                <w:rFonts w:ascii="Arial" w:cs="Arial" w:eastAsia="Arial" w:hAnsi="Arial"/>
                <w:sz w:val="13"/>
                <w:szCs w:val="13"/>
                <w:color w:val="auto"/>
              </w:rPr>
              <w:t>​</w:t>
            </w:r>
          </w:p>
        </w:tc>
        <w:tc>
          <w:tcPr>
            <w:tcW w:w="820" w:type="dxa"/>
            <w:vAlign w:val="bottom"/>
            <w:vMerge w:val="restart"/>
          </w:tcPr>
          <w:p>
            <w:pPr>
              <w:jc w:val="right"/>
              <w:ind w:right="32"/>
              <w:spacing w:after="0"/>
              <w:rPr>
                <w:sz w:val="20"/>
                <w:szCs w:val="20"/>
                <w:color w:val="auto"/>
              </w:rPr>
            </w:pPr>
            <w:r>
              <w:rPr>
                <w:rFonts w:ascii="Arial" w:cs="Arial" w:eastAsia="Arial" w:hAnsi="Arial"/>
                <w:sz w:val="18"/>
                <w:szCs w:val="18"/>
                <w:color w:val="auto"/>
              </w:rPr>
              <w:t>412,500</w:t>
            </w:r>
          </w:p>
        </w:tc>
        <w:tc>
          <w:tcPr>
            <w:tcW w:w="200" w:type="dxa"/>
            <w:vAlign w:val="bottom"/>
          </w:tcPr>
          <w:p>
            <w:pPr>
              <w:jc w:val="right"/>
              <w:spacing w:after="0" w:line="122" w:lineRule="exact"/>
              <w:rPr>
                <w:sz w:val="20"/>
                <w:szCs w:val="20"/>
                <w:color w:val="auto"/>
              </w:rPr>
            </w:pPr>
            <w:r>
              <w:rPr>
                <w:rFonts w:ascii="Arial" w:cs="Arial" w:eastAsia="Arial" w:hAnsi="Arial"/>
                <w:sz w:val="13"/>
                <w:szCs w:val="13"/>
                <w:color w:val="auto"/>
              </w:rPr>
              <w:t>​​ ​</w:t>
            </w:r>
          </w:p>
        </w:tc>
        <w:tc>
          <w:tcPr>
            <w:tcW w:w="740" w:type="dxa"/>
            <w:vAlign w:val="bottom"/>
          </w:tcPr>
          <w:p>
            <w:pPr>
              <w:jc w:val="right"/>
              <w:ind w:right="440"/>
              <w:spacing w:after="0" w:line="122" w:lineRule="exact"/>
              <w:rPr>
                <w:sz w:val="20"/>
                <w:szCs w:val="20"/>
                <w:color w:val="auto"/>
              </w:rPr>
            </w:pPr>
            <w:r>
              <w:rPr>
                <w:rFonts w:ascii="Arial" w:cs="Arial" w:eastAsia="Arial" w:hAnsi="Arial"/>
                <w:sz w:val="13"/>
                <w:szCs w:val="13"/>
                <w:color w:val="auto"/>
              </w:rPr>
              <w:t>​</w:t>
            </w:r>
          </w:p>
        </w:tc>
        <w:tc>
          <w:tcPr>
            <w:tcW w:w="300" w:type="dxa"/>
            <w:vAlign w:val="bottom"/>
          </w:tcPr>
          <w:p>
            <w:pPr>
              <w:jc w:val="right"/>
              <w:ind w:right="102"/>
              <w:spacing w:after="0" w:line="122" w:lineRule="exact"/>
              <w:rPr>
                <w:sz w:val="20"/>
                <w:szCs w:val="20"/>
                <w:color w:val="auto"/>
              </w:rPr>
            </w:pPr>
            <w:r>
              <w:rPr>
                <w:rFonts w:ascii="Arial" w:cs="Arial" w:eastAsia="Arial" w:hAnsi="Arial"/>
                <w:sz w:val="12"/>
                <w:szCs w:val="12"/>
                <w:color w:val="auto"/>
                <w:w w:val="81"/>
              </w:rPr>
              <w:t>(8)</w:t>
            </w:r>
          </w:p>
        </w:tc>
        <w:tc>
          <w:tcPr>
            <w:tcW w:w="300" w:type="dxa"/>
            <w:vAlign w:val="bottom"/>
            <w:gridSpan w:val="2"/>
          </w:tcPr>
          <w:p>
            <w:pPr>
              <w:jc w:val="center"/>
              <w:ind w:right="60"/>
              <w:spacing w:after="0" w:line="122" w:lineRule="exact"/>
              <w:rPr>
                <w:sz w:val="20"/>
                <w:szCs w:val="20"/>
                <w:color w:val="auto"/>
              </w:rPr>
            </w:pPr>
            <w:r>
              <w:rPr>
                <w:rFonts w:ascii="Arial" w:cs="Arial" w:eastAsia="Arial" w:hAnsi="Arial"/>
                <w:sz w:val="13"/>
                <w:szCs w:val="13"/>
                <w:color w:val="auto"/>
              </w:rPr>
              <w:t>​​ ​​</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909,245</w:t>
            </w:r>
          </w:p>
        </w:tc>
        <w:tc>
          <w:tcPr>
            <w:tcW w:w="0" w:type="dxa"/>
            <w:vAlign w:val="bottom"/>
          </w:tcPr>
          <w:p>
            <w:pPr>
              <w:spacing w:after="0"/>
              <w:rPr>
                <w:sz w:val="1"/>
                <w:szCs w:val="1"/>
                <w:color w:val="auto"/>
              </w:rPr>
            </w:pPr>
          </w:p>
        </w:tc>
      </w:tr>
      <w:tr>
        <w:trPr>
          <w:trHeight w:val="216"/>
        </w:trPr>
        <w:tc>
          <w:tcPr>
            <w:tcW w:w="2340" w:type="dxa"/>
            <w:vAlign w:val="bottom"/>
            <w:gridSpan w:val="2"/>
            <w:vMerge w:val="restart"/>
          </w:tcPr>
          <w:p>
            <w:pPr>
              <w:ind w:left="180"/>
              <w:spacing w:after="0"/>
              <w:rPr>
                <w:sz w:val="20"/>
                <w:szCs w:val="20"/>
                <w:color w:val="auto"/>
              </w:rPr>
            </w:pPr>
            <w:r>
              <w:rPr>
                <w:rFonts w:ascii="Arial" w:cs="Arial" w:eastAsia="Arial" w:hAnsi="Arial"/>
                <w:sz w:val="18"/>
                <w:szCs w:val="18"/>
                <w:color w:val="auto"/>
              </w:rPr>
              <w:t>Accounting Officer</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2024</w:t>
            </w:r>
          </w:p>
        </w:tc>
        <w:tc>
          <w:tcPr>
            <w:tcW w:w="860" w:type="dxa"/>
            <w:vAlign w:val="bottom"/>
            <w:gridSpan w:val="2"/>
          </w:tcPr>
          <w:p>
            <w:pPr>
              <w:ind w:left="200"/>
              <w:spacing w:after="0"/>
              <w:rPr>
                <w:sz w:val="20"/>
                <w:szCs w:val="20"/>
                <w:color w:val="auto"/>
              </w:rPr>
            </w:pPr>
            <w:r>
              <w:rPr>
                <w:rFonts w:ascii="Arial" w:cs="Arial" w:eastAsia="Arial" w:hAnsi="Arial"/>
                <w:sz w:val="18"/>
                <w:szCs w:val="18"/>
                <w:color w:val="auto"/>
                <w:w w:val="95"/>
              </w:rPr>
              <w:t>255,833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14,340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58"/>
        </w:trPr>
        <w:tc>
          <w:tcPr>
            <w:tcW w:w="23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-3319145</wp:posOffset>
            </wp:positionV>
            <wp:extent cx="5212080" cy="353187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212080" cy="353187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1620" w:hanging="360"/>
        <w:spacing w:after="0"/>
        <w:tabs>
          <w:tab w:leader="none" w:pos="16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Mr. Mays was appointed to his position as CFO of the Company effective as of June 17, 2024.</w:t>
      </w:r>
    </w:p>
    <w:p>
      <w:pPr>
        <w:spacing w:after="0" w:line="95" w:lineRule="exact"/>
        <w:rPr>
          <w:rFonts w:ascii="Arial" w:cs="Arial" w:eastAsia="Arial" w:hAnsi="Arial"/>
          <w:sz w:val="14"/>
          <w:szCs w:val="14"/>
          <w:color w:val="auto"/>
        </w:rPr>
      </w:pPr>
    </w:p>
    <w:p>
      <w:pPr>
        <w:jc w:val="both"/>
        <w:ind w:left="1620" w:right="419" w:hanging="360"/>
        <w:spacing w:after="0" w:line="275" w:lineRule="auto"/>
        <w:tabs>
          <w:tab w:leader="none" w:pos="16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Represents the aggregate grant date fair value for performance share and time-vesting restricted stock awards granted pursuant to the 2010 Plan, computed in accordance with FASB ASC Topic 718, disregarding the estimate of forfeitures, calculated as follows with respect to time-vesting restricted stock awards: (i) for awards granted in 2023, by multiplying the number of shares issued by the closing price of the Company’s common stock at the grant date, less the present value of expected dividends during the vesting period; and (ii) for awards granted in 2024 and 2025, by multiplying the number of shares issued by the closing price of the Company’s common stock at the grant date, which was $16.31 (February 14, 2024) and $20.39 (February 12, 2025).</w:t>
      </w:r>
    </w:p>
    <w:p>
      <w:pPr>
        <w:spacing w:after="0" w:line="31" w:lineRule="exact"/>
        <w:rPr>
          <w:rFonts w:ascii="Arial" w:cs="Arial" w:eastAsia="Arial" w:hAnsi="Arial"/>
          <w:sz w:val="14"/>
          <w:szCs w:val="14"/>
          <w:color w:val="auto"/>
        </w:rPr>
      </w:pPr>
    </w:p>
    <w:p>
      <w:pPr>
        <w:jc w:val="both"/>
        <w:ind w:left="1620" w:right="419" w:hanging="360"/>
        <w:spacing w:after="0" w:line="273" w:lineRule="auto"/>
        <w:tabs>
          <w:tab w:leader="none" w:pos="16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With respect to performance share awards, amounts included consist of the aggregate grant date fair value of the awards, based on the probable outcome of conditions required to be met for vesting, computed in accordance with FASB ASC Topic 718. If the maximum amount, rather than the probable amount, were reported in the table with respect to the 2025 performance share awards, the values associated with the performance share awards would be as follows for each NEO: Mr. Albright: $1,623,256; Mr. Greathouse: $595,315; Mr. Mays: $475,102; Mr. Smith: $383,511; and Ms. Vorakoun: $343,433 (versus the respective $1,082,164, $396,870, $316,735, $255,667, and $228,948 actually included for each individual). The amounts do not reflect whether Messrs. Albright, Greathouse, Mays, or Smith or Ms. Vorakoun have actually realized or will realize a financial benefit from the award, as the award is at-risk until the performance conditions are satisfied. For information on the valuation assumptions used in these computations, refer to Note 20 (Stock-Based Compensation) in the Notes to Consolidated Financial Statements included in our 2025 Annual Report.</w:t>
      </w:r>
    </w:p>
    <w:p>
      <w:pPr>
        <w:spacing w:after="0" w:line="45" w:lineRule="exact"/>
        <w:rPr>
          <w:rFonts w:ascii="Arial" w:cs="Arial" w:eastAsia="Arial" w:hAnsi="Arial"/>
          <w:sz w:val="14"/>
          <w:szCs w:val="14"/>
          <w:color w:val="auto"/>
        </w:rPr>
      </w:pPr>
    </w:p>
    <w:p>
      <w:pPr>
        <w:ind w:left="1620" w:right="419" w:hanging="360"/>
        <w:spacing w:after="0" w:line="305" w:lineRule="auto"/>
        <w:tabs>
          <w:tab w:leader="none" w:pos="16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Amounts reflect group term life insurance premium paid on behalf of Mr. Albright by the Company, and 401(k) plan employer matching contributions; during fiscal year 2025, such amounts were $3,564 (life insurance) and $14,000 (401(k) match).</w:t>
      </w:r>
    </w:p>
    <w:p>
      <w:pPr>
        <w:spacing w:after="0" w:line="22" w:lineRule="exact"/>
        <w:rPr>
          <w:rFonts w:ascii="Arial" w:cs="Arial" w:eastAsia="Arial" w:hAnsi="Arial"/>
          <w:sz w:val="14"/>
          <w:szCs w:val="14"/>
          <w:color w:val="auto"/>
        </w:rPr>
      </w:pPr>
    </w:p>
    <w:p>
      <w:pPr>
        <w:jc w:val="both"/>
        <w:ind w:left="1620" w:right="419" w:hanging="360"/>
        <w:spacing w:after="0" w:line="283" w:lineRule="auto"/>
        <w:tabs>
          <w:tab w:leader="none" w:pos="16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Amounts reflect group term life insurance premium paid on behalf of Mr. Greathouse by the Company, and 401(k) plan employer matching contributions; during fiscal year 2025, such amounts were $810 (life insurance) and $14,000 (401(k) match).</w:t>
      </w:r>
    </w:p>
    <w:p>
      <w:pPr>
        <w:spacing w:after="0" w:line="35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left="1620" w:right="419" w:hanging="360"/>
        <w:spacing w:after="0" w:line="293" w:lineRule="auto"/>
        <w:tabs>
          <w:tab w:leader="none" w:pos="16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Amounts reflect group term life insurance premium paid on behalf of Mr. Mays by the Company, reimbursement of moving expenses and 401(k) plan employer matching contributions; during fiscal year 2025, such amounts were $2,322 (life insurance) and $14,000 (401(k) match).</w:t>
      </w:r>
    </w:p>
    <w:p>
      <w:pPr>
        <w:spacing w:after="0" w:line="31" w:lineRule="exact"/>
        <w:rPr>
          <w:rFonts w:ascii="Arial" w:cs="Arial" w:eastAsia="Arial" w:hAnsi="Arial"/>
          <w:sz w:val="14"/>
          <w:szCs w:val="14"/>
          <w:color w:val="auto"/>
        </w:rPr>
      </w:pPr>
    </w:p>
    <w:p>
      <w:pPr>
        <w:ind w:left="1620" w:right="419" w:hanging="360"/>
        <w:spacing w:after="0" w:line="305" w:lineRule="auto"/>
        <w:tabs>
          <w:tab w:leader="none" w:pos="16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Amounts reflect group term life insurance premium paid on behalf of Mr. Smith by the Company, and 401(k) plan employer matching contributions; during fiscal year 2025, such amounts were $3,564 (life insurance) and $14,000 (401(k) match).</w:t>
      </w:r>
    </w:p>
    <w:p>
      <w:pPr>
        <w:spacing w:after="0" w:line="22" w:lineRule="exact"/>
        <w:rPr>
          <w:rFonts w:ascii="Arial" w:cs="Arial" w:eastAsia="Arial" w:hAnsi="Arial"/>
          <w:sz w:val="14"/>
          <w:szCs w:val="14"/>
          <w:color w:val="auto"/>
        </w:rPr>
      </w:pPr>
    </w:p>
    <w:p>
      <w:pPr>
        <w:jc w:val="both"/>
        <w:ind w:left="1620" w:right="419" w:hanging="360"/>
        <w:spacing w:after="0" w:line="297" w:lineRule="auto"/>
        <w:tabs>
          <w:tab w:leader="none" w:pos="16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Amounts reflect group term life insurance premium paid on behalf of Ms. Vorakoun by the Company, and 401(k) plan employer matching contributions; during fiscal year 2025, such amounts were $540 (life insurance) and $14,000 (401(k) match).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GRANTS OF PLAN-BASED AWARDS DURING THE YEAR ENDED DECEMBER 31, 2025</w:t>
      </w:r>
    </w:p>
    <w:p>
      <w:pPr>
        <w:spacing w:after="0" w:line="158" w:lineRule="exact"/>
        <w:rPr>
          <w:sz w:val="20"/>
          <w:szCs w:val="20"/>
          <w:color w:val="auto"/>
        </w:rPr>
      </w:pPr>
    </w:p>
    <w:p>
      <w:pPr>
        <w:ind w:left="1260" w:right="419"/>
        <w:spacing w:after="0" w:line="287" w:lineRule="auto"/>
        <w:rPr>
          <w:sz w:val="20"/>
          <w:szCs w:val="20"/>
          <w:color w:val="auto"/>
        </w:rPr>
      </w:pPr>
      <w:r>
        <w:rPr>
          <w:rFonts w:ascii="Arial" w:cs="Arial" w:eastAsia="Arial" w:hAnsi="Arial"/>
          <w:sz w:val="18"/>
          <w:szCs w:val="18"/>
          <w:color w:val="auto"/>
        </w:rPr>
        <w:t>The following table summarizes the grants of plan-based awards to our NEOs for the fiscal year ended December 31, 2025.</w:t>
      </w:r>
    </w:p>
    <w:p>
      <w:pPr>
        <w:spacing w:after="0" w:line="12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gridSpan w:val="6"/>
            <w:vMerge w:val="restart"/>
          </w:tcPr>
          <w:p>
            <w:pPr>
              <w:jc w:val="right"/>
              <w:ind w:right="89"/>
              <w:spacing w:after="0"/>
              <w:rPr>
                <w:sz w:val="20"/>
                <w:szCs w:val="20"/>
                <w:color w:val="auto"/>
              </w:rPr>
            </w:pPr>
            <w:r>
              <w:rPr>
                <w:rFonts w:ascii="Arial" w:cs="Arial" w:eastAsia="Arial" w:hAnsi="Arial"/>
                <w:sz w:val="14"/>
                <w:szCs w:val="14"/>
                <w:b w:val="1"/>
                <w:bCs w:val="1"/>
                <w:color w:val="auto"/>
              </w:rPr>
              <w:t>Estimated Future Payouts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0" w:type="dxa"/>
            <w:vAlign w:val="bottom"/>
            <w:gridSpan w:val="8"/>
            <w:vMerge w:val="restart"/>
          </w:tcPr>
          <w:p>
            <w:pPr>
              <w:ind w:left="60"/>
              <w:spacing w:after="0"/>
              <w:rPr>
                <w:sz w:val="20"/>
                <w:szCs w:val="20"/>
                <w:color w:val="auto"/>
              </w:rPr>
            </w:pPr>
            <w:r>
              <w:rPr>
                <w:rFonts w:ascii="Arial" w:cs="Arial" w:eastAsia="Arial" w:hAnsi="Arial"/>
                <w:sz w:val="14"/>
                <w:szCs w:val="14"/>
                <w:b w:val="1"/>
                <w:bCs w:val="1"/>
                <w:color w:val="auto"/>
              </w:rPr>
              <w:t>Estimated Future Payouts</w:t>
            </w:r>
          </w:p>
        </w:tc>
        <w:tc>
          <w:tcPr>
            <w:tcW w:w="8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Arial" w:cs="Arial" w:eastAsia="Arial" w:hAnsi="Arial"/>
                <w:sz w:val="14"/>
                <w:szCs w:val="14"/>
                <w:b w:val="1"/>
                <w:bCs w:val="1"/>
                <w:color w:val="auto"/>
              </w:rPr>
              <w:t>All Other</w:t>
            </w:r>
          </w:p>
        </w:tc>
        <w:tc>
          <w:tcPr>
            <w:tcW w:w="140" w:type="dxa"/>
            <w:vAlign w:val="bottom"/>
          </w:tcPr>
          <w:p>
            <w:pPr>
              <w:spacing w:after="0"/>
              <w:rPr>
                <w:sz w:val="14"/>
                <w:szCs w:val="14"/>
                <w:color w:val="auto"/>
              </w:rPr>
            </w:pPr>
          </w:p>
        </w:tc>
        <w:tc>
          <w:tcPr>
            <w:tcW w:w="600" w:type="dxa"/>
            <w:vAlign w:val="bottom"/>
          </w:tcPr>
          <w:p>
            <w:pPr>
              <w:jc w:val="center"/>
              <w:ind w:right="28"/>
              <w:spacing w:after="0"/>
              <w:rPr>
                <w:sz w:val="20"/>
                <w:szCs w:val="20"/>
                <w:color w:val="auto"/>
              </w:rPr>
            </w:pPr>
            <w:r>
              <w:rPr>
                <w:rFonts w:ascii="Arial" w:cs="Arial" w:eastAsia="Arial" w:hAnsi="Arial"/>
                <w:sz w:val="14"/>
                <w:szCs w:val="14"/>
                <w:b w:val="1"/>
                <w:bCs w:val="1"/>
                <w:color w:val="auto"/>
              </w:rPr>
              <w:t>Grant</w:t>
            </w:r>
          </w:p>
        </w:tc>
        <w:tc>
          <w:tcPr>
            <w:tcW w:w="0" w:type="dxa"/>
            <w:vAlign w:val="bottom"/>
          </w:tcPr>
          <w:p>
            <w:pPr>
              <w:spacing w:after="0"/>
              <w:rPr>
                <w:sz w:val="1"/>
                <w:szCs w:val="1"/>
                <w:color w:val="auto"/>
              </w:rPr>
            </w:pPr>
          </w:p>
        </w:tc>
      </w:tr>
      <w:tr>
        <w:trPr>
          <w:trHeight w:val="68"/>
        </w:trPr>
        <w:tc>
          <w:tcPr>
            <w:tcW w:w="1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940" w:type="dxa"/>
            <w:vAlign w:val="bottom"/>
            <w:gridSpan w:val="6"/>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0" w:type="dxa"/>
            <w:vAlign w:val="bottom"/>
            <w:gridSpan w:val="8"/>
            <w:vMerge w:val="continue"/>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5"/>
                <w:szCs w:val="5"/>
                <w:color w:val="auto"/>
              </w:rPr>
            </w:pPr>
          </w:p>
        </w:tc>
        <w:tc>
          <w:tcPr>
            <w:tcW w:w="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Date Fair</w:t>
            </w:r>
          </w:p>
        </w:tc>
        <w:tc>
          <w:tcPr>
            <w:tcW w:w="0" w:type="dxa"/>
            <w:vAlign w:val="bottom"/>
          </w:tcPr>
          <w:p>
            <w:pPr>
              <w:spacing w:after="0"/>
              <w:rPr>
                <w:sz w:val="1"/>
                <w:szCs w:val="1"/>
                <w:color w:val="auto"/>
              </w:rPr>
            </w:pPr>
          </w:p>
        </w:tc>
      </w:tr>
      <w:tr>
        <w:trPr>
          <w:trHeight w:val="95"/>
        </w:trPr>
        <w:tc>
          <w:tcPr>
            <w:tcW w:w="1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80" w:type="dxa"/>
            <w:vAlign w:val="bottom"/>
            <w:gridSpan w:val="7"/>
            <w:vMerge w:val="restart"/>
          </w:tcPr>
          <w:p>
            <w:pPr>
              <w:ind w:left="100"/>
              <w:spacing w:after="0"/>
              <w:rPr>
                <w:sz w:val="20"/>
                <w:szCs w:val="20"/>
                <w:color w:val="auto"/>
              </w:rPr>
            </w:pPr>
            <w:r>
              <w:rPr>
                <w:rFonts w:ascii="Arial" w:cs="Arial" w:eastAsia="Arial" w:hAnsi="Arial"/>
                <w:sz w:val="14"/>
                <w:szCs w:val="14"/>
                <w:b w:val="1"/>
                <w:bCs w:val="1"/>
                <w:color w:val="auto"/>
              </w:rPr>
              <w:t>Under Non-Equity Incentive</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60" w:type="dxa"/>
            <w:vAlign w:val="bottom"/>
            <w:gridSpan w:val="7"/>
            <w:vMerge w:val="restart"/>
          </w:tcPr>
          <w:p>
            <w:pPr>
              <w:jc w:val="right"/>
              <w:ind w:right="208"/>
              <w:spacing w:after="0"/>
              <w:rPr>
                <w:sz w:val="20"/>
                <w:szCs w:val="20"/>
                <w:color w:val="auto"/>
              </w:rPr>
            </w:pPr>
            <w:r>
              <w:rPr>
                <w:rFonts w:ascii="Arial" w:cs="Arial" w:eastAsia="Arial" w:hAnsi="Arial"/>
                <w:sz w:val="14"/>
                <w:szCs w:val="14"/>
                <w:b w:val="1"/>
                <w:bCs w:val="1"/>
                <w:color w:val="auto"/>
              </w:rPr>
              <w:t>Under Equity Incentive</w:t>
            </w:r>
          </w:p>
        </w:tc>
        <w:tc>
          <w:tcPr>
            <w:tcW w:w="8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600" w:type="dxa"/>
            <w:vAlign w:val="bottom"/>
          </w:tcPr>
          <w:p>
            <w:pPr>
              <w:spacing w:after="0"/>
              <w:rPr>
                <w:sz w:val="5"/>
                <w:szCs w:val="5"/>
                <w:color w:val="auto"/>
              </w:rPr>
            </w:pPr>
          </w:p>
        </w:tc>
        <w:tc>
          <w:tcPr>
            <w:tcW w:w="780" w:type="dxa"/>
            <w:vAlign w:val="bottom"/>
            <w:gridSpan w:val="2"/>
            <w:vMerge w:val="restart"/>
          </w:tcPr>
          <w:p>
            <w:pPr>
              <w:jc w:val="center"/>
              <w:ind w:right="40"/>
              <w:spacing w:after="0" w:line="145" w:lineRule="exact"/>
              <w:rPr>
                <w:sz w:val="20"/>
                <w:szCs w:val="20"/>
                <w:color w:val="auto"/>
              </w:rPr>
            </w:pPr>
            <w:r>
              <w:rPr>
                <w:rFonts w:ascii="Arial" w:cs="Arial" w:eastAsia="Arial" w:hAnsi="Arial"/>
                <w:sz w:val="14"/>
                <w:szCs w:val="14"/>
                <w:b w:val="1"/>
                <w:bCs w:val="1"/>
                <w:color w:val="auto"/>
              </w:rPr>
              <w:t>Committee</w:t>
            </w:r>
          </w:p>
        </w:tc>
        <w:tc>
          <w:tcPr>
            <w:tcW w:w="40" w:type="dxa"/>
            <w:vAlign w:val="bottom"/>
          </w:tcPr>
          <w:p>
            <w:pPr>
              <w:spacing w:after="0"/>
              <w:rPr>
                <w:sz w:val="5"/>
                <w:szCs w:val="5"/>
                <w:color w:val="auto"/>
              </w:rPr>
            </w:pPr>
          </w:p>
        </w:tc>
        <w:tc>
          <w:tcPr>
            <w:tcW w:w="2080" w:type="dxa"/>
            <w:vAlign w:val="bottom"/>
            <w:gridSpan w:val="7"/>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60" w:type="dxa"/>
            <w:vAlign w:val="bottom"/>
            <w:gridSpan w:val="7"/>
            <w:vMerge w:val="continue"/>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gridSpan w:val="2"/>
            <w:vMerge w:val="restart"/>
          </w:tcPr>
          <w:p>
            <w:pPr>
              <w:jc w:val="center"/>
              <w:spacing w:after="0" w:line="145" w:lineRule="exact"/>
              <w:rPr>
                <w:sz w:val="20"/>
                <w:szCs w:val="20"/>
                <w:color w:val="auto"/>
              </w:rPr>
            </w:pPr>
            <w:r>
              <w:rPr>
                <w:rFonts w:ascii="Arial" w:cs="Arial" w:eastAsia="Arial" w:hAnsi="Arial"/>
                <w:sz w:val="14"/>
                <w:szCs w:val="14"/>
                <w:b w:val="1"/>
                <w:bCs w:val="1"/>
                <w:color w:val="auto"/>
              </w:rPr>
              <w:t>Awards:</w:t>
            </w:r>
          </w:p>
        </w:tc>
        <w:tc>
          <w:tcPr>
            <w:tcW w:w="140" w:type="dxa"/>
            <w:vAlign w:val="bottom"/>
          </w:tcPr>
          <w:p>
            <w:pPr>
              <w:spacing w:after="0"/>
              <w:rPr>
                <w:sz w:val="5"/>
                <w:szCs w:val="5"/>
                <w:color w:val="auto"/>
              </w:rPr>
            </w:pPr>
          </w:p>
        </w:tc>
        <w:tc>
          <w:tcPr>
            <w:tcW w:w="600" w:type="dxa"/>
            <w:vAlign w:val="bottom"/>
            <w:vMerge w:val="restart"/>
          </w:tcPr>
          <w:p>
            <w:pPr>
              <w:jc w:val="center"/>
              <w:spacing w:after="0" w:line="145" w:lineRule="exact"/>
              <w:rPr>
                <w:sz w:val="20"/>
                <w:szCs w:val="20"/>
                <w:color w:val="auto"/>
              </w:rPr>
            </w:pPr>
            <w:r>
              <w:rPr>
                <w:rFonts w:ascii="Arial" w:cs="Arial" w:eastAsia="Arial" w:hAnsi="Arial"/>
                <w:sz w:val="14"/>
                <w:szCs w:val="14"/>
                <w:b w:val="1"/>
                <w:bCs w:val="1"/>
                <w:color w:val="auto"/>
                <w:w w:val="99"/>
              </w:rPr>
              <w:t>Value of</w:t>
            </w:r>
          </w:p>
        </w:tc>
        <w:tc>
          <w:tcPr>
            <w:tcW w:w="0" w:type="dxa"/>
            <w:vAlign w:val="bottom"/>
          </w:tcPr>
          <w:p>
            <w:pPr>
              <w:spacing w:after="0"/>
              <w:rPr>
                <w:sz w:val="1"/>
                <w:szCs w:val="1"/>
                <w:color w:val="auto"/>
              </w:rPr>
            </w:pPr>
          </w:p>
        </w:tc>
      </w:tr>
      <w:tr>
        <w:trPr>
          <w:trHeight w:val="77"/>
        </w:trPr>
        <w:tc>
          <w:tcPr>
            <w:tcW w:w="160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40" w:type="dxa"/>
            <w:vAlign w:val="bottom"/>
          </w:tcPr>
          <w:p>
            <w:pPr>
              <w:ind w:left="40"/>
              <w:spacing w:after="0" w:line="77" w:lineRule="exact"/>
              <w:rPr>
                <w:sz w:val="20"/>
                <w:szCs w:val="20"/>
                <w:color w:val="auto"/>
              </w:rPr>
            </w:pPr>
            <w:r>
              <w:rPr>
                <w:rFonts w:ascii="Arial" w:cs="Arial" w:eastAsia="Arial" w:hAnsi="Arial"/>
                <w:sz w:val="8"/>
                <w:szCs w:val="8"/>
                <w:b w:val="1"/>
                <w:bCs w:val="1"/>
                <w:color w:val="auto"/>
                <w:w w:val="81"/>
              </w:rPr>
              <w:t>(1)</w:t>
            </w: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6"/>
                <w:szCs w:val="6"/>
                <w:color w:val="auto"/>
              </w:rPr>
            </w:pPr>
          </w:p>
        </w:tc>
        <w:tc>
          <w:tcPr>
            <w:tcW w:w="1160" w:type="dxa"/>
            <w:vAlign w:val="bottom"/>
            <w:gridSpan w:val="5"/>
            <w:vMerge w:val="restart"/>
          </w:tcPr>
          <w:p>
            <w:pPr>
              <w:ind w:left="340"/>
              <w:spacing w:after="0"/>
              <w:rPr>
                <w:sz w:val="20"/>
                <w:szCs w:val="20"/>
                <w:color w:val="auto"/>
              </w:rPr>
            </w:pPr>
            <w:r>
              <w:rPr>
                <w:rFonts w:ascii="Arial" w:cs="Arial" w:eastAsia="Arial" w:hAnsi="Arial"/>
                <w:sz w:val="14"/>
                <w:szCs w:val="14"/>
                <w:b w:val="1"/>
                <w:bCs w:val="1"/>
                <w:color w:val="auto"/>
                <w:w w:val="92"/>
              </w:rPr>
              <w:t>Plan Awards</w:t>
            </w:r>
          </w:p>
        </w:tc>
        <w:tc>
          <w:tcPr>
            <w:tcW w:w="220" w:type="dxa"/>
            <w:vAlign w:val="bottom"/>
          </w:tcPr>
          <w:p>
            <w:pPr>
              <w:jc w:val="right"/>
              <w:spacing w:after="0" w:line="77" w:lineRule="exact"/>
              <w:rPr>
                <w:sz w:val="20"/>
                <w:szCs w:val="20"/>
                <w:color w:val="auto"/>
              </w:rPr>
            </w:pPr>
            <w:r>
              <w:rPr>
                <w:rFonts w:ascii="Arial" w:cs="Arial" w:eastAsia="Arial" w:hAnsi="Arial"/>
                <w:sz w:val="8"/>
                <w:szCs w:val="8"/>
                <w:b w:val="1"/>
                <w:bCs w:val="1"/>
                <w:color w:val="auto"/>
              </w:rPr>
              <w:t>(2)</w:t>
            </w: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1600" w:type="dxa"/>
            <w:vAlign w:val="bottom"/>
          </w:tcPr>
          <w:p>
            <w:pPr>
              <w:spacing w:after="0"/>
              <w:rPr>
                <w:sz w:val="10"/>
                <w:szCs w:val="10"/>
                <w:color w:val="auto"/>
              </w:rPr>
            </w:pPr>
          </w:p>
        </w:tc>
        <w:tc>
          <w:tcPr>
            <w:tcW w:w="78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rPr>
              <w:t>Approval</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0" w:type="dxa"/>
            <w:vAlign w:val="bottom"/>
            <w:gridSpan w:val="5"/>
          </w:tcPr>
          <w:p>
            <w:pPr>
              <w:ind w:left="440"/>
              <w:spacing w:after="0" w:line="102" w:lineRule="exact"/>
              <w:rPr>
                <w:sz w:val="20"/>
                <w:szCs w:val="20"/>
                <w:color w:val="auto"/>
              </w:rPr>
            </w:pPr>
            <w:r>
              <w:rPr>
                <w:rFonts w:ascii="Arial" w:cs="Arial" w:eastAsia="Arial" w:hAnsi="Arial"/>
                <w:sz w:val="11"/>
                <w:szCs w:val="11"/>
                <w:b w:val="1"/>
                <w:bCs w:val="1"/>
                <w:color w:val="auto"/>
              </w:rPr>
              <w:t>Plan Awards</w:t>
            </w: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5"/>
            <w:vMerge w:val="continue"/>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w:t>
            </w:r>
          </w:p>
        </w:tc>
        <w:tc>
          <w:tcPr>
            <w:tcW w:w="7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0"/>
                <w:szCs w:val="10"/>
                <w:color w:val="auto"/>
              </w:rPr>
            </w:pPr>
          </w:p>
        </w:tc>
        <w:tc>
          <w:tcPr>
            <w:tcW w:w="60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auto"/>
              </w:rPr>
              <w:t>Stock</w:t>
            </w:r>
          </w:p>
        </w:tc>
        <w:tc>
          <w:tcPr>
            <w:tcW w:w="0" w:type="dxa"/>
            <w:vAlign w:val="bottom"/>
          </w:tcPr>
          <w:p>
            <w:pPr>
              <w:spacing w:after="0"/>
              <w:rPr>
                <w:sz w:val="1"/>
                <w:szCs w:val="1"/>
                <w:color w:val="auto"/>
              </w:rPr>
            </w:pPr>
          </w:p>
        </w:tc>
      </w:tr>
      <w:tr>
        <w:trPr>
          <w:trHeight w:val="38"/>
        </w:trPr>
        <w:tc>
          <w:tcPr>
            <w:tcW w:w="160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62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480" w:type="dxa"/>
            <w:vAlign w:val="bottom"/>
            <w:tcBorders>
              <w:top w:val="single" w:sz="8" w:color="auto"/>
            </w:tcBorders>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5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54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320" w:type="dxa"/>
            <w:vAlign w:val="bottom"/>
            <w:tcBorders>
              <w:top w:val="single" w:sz="8" w:color="auto"/>
            </w:tcBorders>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480" w:type="dxa"/>
            <w:vAlign w:val="bottom"/>
            <w:tcBorders>
              <w:top w:val="single" w:sz="8" w:color="auto"/>
            </w:tcBorders>
          </w:tcPr>
          <w:p>
            <w:pPr>
              <w:spacing w:after="0"/>
              <w:rPr>
                <w:sz w:val="3"/>
                <w:szCs w:val="3"/>
                <w:color w:val="auto"/>
              </w:rPr>
            </w:pPr>
          </w:p>
        </w:tc>
        <w:tc>
          <w:tcPr>
            <w:tcW w:w="80" w:type="dxa"/>
            <w:vAlign w:val="bottom"/>
            <w:vMerge w:val="continue"/>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2"/>
        </w:trPr>
        <w:tc>
          <w:tcPr>
            <w:tcW w:w="1600" w:type="dxa"/>
            <w:vAlign w:val="bottom"/>
          </w:tcPr>
          <w:p>
            <w:pPr>
              <w:spacing w:after="0"/>
              <w:rPr>
                <w:sz w:val="14"/>
                <w:szCs w:val="14"/>
                <w:color w:val="auto"/>
              </w:rPr>
            </w:pPr>
          </w:p>
        </w:tc>
        <w:tc>
          <w:tcPr>
            <w:tcW w:w="7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and Grant</w:t>
            </w:r>
          </w:p>
        </w:tc>
        <w:tc>
          <w:tcPr>
            <w:tcW w:w="4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rPr>
              <w:t>Threshold</w:t>
            </w:r>
          </w:p>
        </w:tc>
        <w:tc>
          <w:tcPr>
            <w:tcW w:w="40" w:type="dxa"/>
            <w:vAlign w:val="bottom"/>
          </w:tcPr>
          <w:p>
            <w:pPr>
              <w:spacing w:after="0"/>
              <w:rPr>
                <w:sz w:val="14"/>
                <w:szCs w:val="14"/>
                <w:color w:val="auto"/>
              </w:rPr>
            </w:pPr>
          </w:p>
        </w:tc>
        <w:tc>
          <w:tcPr>
            <w:tcW w:w="60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Target</w:t>
            </w: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Maximum</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Threshold</w:t>
            </w:r>
          </w:p>
        </w:tc>
        <w:tc>
          <w:tcPr>
            <w:tcW w:w="80" w:type="dxa"/>
            <w:vAlign w:val="bottom"/>
          </w:tcPr>
          <w:p>
            <w:pPr>
              <w:spacing w:after="0"/>
              <w:rPr>
                <w:sz w:val="14"/>
                <w:szCs w:val="14"/>
                <w:color w:val="auto"/>
              </w:rPr>
            </w:pPr>
          </w:p>
        </w:tc>
        <w:tc>
          <w:tcPr>
            <w:tcW w:w="1240" w:type="dxa"/>
            <w:vAlign w:val="bottom"/>
            <w:gridSpan w:val="5"/>
          </w:tcPr>
          <w:p>
            <w:pPr>
              <w:jc w:val="right"/>
              <w:spacing w:after="0"/>
              <w:rPr>
                <w:sz w:val="20"/>
                <w:szCs w:val="20"/>
                <w:color w:val="auto"/>
              </w:rPr>
            </w:pPr>
            <w:r>
              <w:rPr>
                <w:rFonts w:ascii="Arial" w:cs="Arial" w:eastAsia="Arial" w:hAnsi="Arial"/>
                <w:sz w:val="14"/>
                <w:szCs w:val="14"/>
                <w:b w:val="1"/>
                <w:bCs w:val="1"/>
                <w:color w:val="auto"/>
              </w:rPr>
              <w:t>Target  Maximum</w:t>
            </w:r>
          </w:p>
        </w:tc>
        <w:tc>
          <w:tcPr>
            <w:tcW w:w="8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Arial" w:cs="Arial" w:eastAsia="Arial" w:hAnsi="Arial"/>
                <w:sz w:val="14"/>
                <w:szCs w:val="14"/>
                <w:b w:val="1"/>
                <w:bCs w:val="1"/>
                <w:color w:val="auto"/>
              </w:rPr>
              <w:t>of Shares</w:t>
            </w:r>
          </w:p>
        </w:tc>
        <w:tc>
          <w:tcPr>
            <w:tcW w:w="140" w:type="dxa"/>
            <w:vAlign w:val="bottom"/>
          </w:tcPr>
          <w:p>
            <w:pPr>
              <w:spacing w:after="0"/>
              <w:rPr>
                <w:sz w:val="14"/>
                <w:szCs w:val="14"/>
                <w:color w:val="auto"/>
              </w:rPr>
            </w:pPr>
          </w:p>
        </w:tc>
        <w:tc>
          <w:tcPr>
            <w:tcW w:w="600" w:type="dxa"/>
            <w:vAlign w:val="bottom"/>
          </w:tcPr>
          <w:p>
            <w:pPr>
              <w:jc w:val="center"/>
              <w:ind w:right="8"/>
              <w:spacing w:after="0"/>
              <w:rPr>
                <w:sz w:val="20"/>
                <w:szCs w:val="20"/>
                <w:color w:val="auto"/>
              </w:rPr>
            </w:pPr>
            <w:r>
              <w:rPr>
                <w:rFonts w:ascii="Arial" w:cs="Arial" w:eastAsia="Arial" w:hAnsi="Arial"/>
                <w:sz w:val="14"/>
                <w:szCs w:val="14"/>
                <w:b w:val="1"/>
                <w:bCs w:val="1"/>
                <w:color w:val="auto"/>
              </w:rPr>
              <w:t>Awards</w:t>
            </w:r>
          </w:p>
        </w:tc>
        <w:tc>
          <w:tcPr>
            <w:tcW w:w="0" w:type="dxa"/>
            <w:vAlign w:val="bottom"/>
          </w:tcPr>
          <w:p>
            <w:pPr>
              <w:spacing w:after="0"/>
              <w:rPr>
                <w:sz w:val="1"/>
                <w:szCs w:val="1"/>
                <w:color w:val="auto"/>
              </w:rPr>
            </w:pPr>
          </w:p>
        </w:tc>
      </w:tr>
      <w:tr>
        <w:trPr>
          <w:trHeight w:val="198"/>
        </w:trPr>
        <w:tc>
          <w:tcPr>
            <w:tcW w:w="160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7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rPr>
              <w:t>Date</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ind w:right="229"/>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540" w:type="dxa"/>
            <w:vAlign w:val="bottom"/>
          </w:tcPr>
          <w:p>
            <w:pPr>
              <w:jc w:val="right"/>
              <w:ind w:right="169"/>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540" w:type="dxa"/>
            <w:vAlign w:val="bottom"/>
          </w:tcPr>
          <w:p>
            <w:pPr>
              <w:jc w:val="right"/>
              <w:ind w:right="228"/>
              <w:spacing w:after="0"/>
              <w:rPr>
                <w:sz w:val="20"/>
                <w:szCs w:val="20"/>
                <w:color w:val="auto"/>
              </w:rPr>
            </w:pPr>
            <w:r>
              <w:rPr>
                <w:rFonts w:ascii="Arial" w:cs="Arial" w:eastAsia="Arial" w:hAnsi="Arial"/>
                <w:sz w:val="14"/>
                <w:szCs w:val="14"/>
                <w:b w:val="1"/>
                <w:bCs w:val="1"/>
                <w:color w:val="auto"/>
              </w:rPr>
              <w:t>(#)</w:t>
            </w:r>
          </w:p>
        </w:tc>
        <w:tc>
          <w:tcPr>
            <w:tcW w:w="400" w:type="dxa"/>
            <w:vAlign w:val="bottom"/>
            <w:gridSpan w:val="2"/>
          </w:tcPr>
          <w:p>
            <w:pPr>
              <w:ind w:left="20"/>
              <w:spacing w:after="0" w:line="199" w:lineRule="exact"/>
              <w:rPr>
                <w:sz w:val="20"/>
                <w:szCs w:val="20"/>
                <w:color w:val="auto"/>
              </w:rPr>
            </w:pPr>
            <w:r>
              <w:rPr>
                <w:rFonts w:ascii="Arial" w:cs="Arial" w:eastAsia="Arial" w:hAnsi="Arial"/>
                <w:sz w:val="22"/>
                <w:szCs w:val="22"/>
                <w:b w:val="1"/>
                <w:bCs w:val="1"/>
                <w:color w:val="auto"/>
                <w:vertAlign w:val="subscript"/>
              </w:rPr>
              <w:t>​​</w:t>
            </w:r>
            <w:r>
              <w:rPr>
                <w:rFonts w:ascii="Arial" w:cs="Arial" w:eastAsia="Arial" w:hAnsi="Arial"/>
                <w:sz w:val="12"/>
                <w:szCs w:val="12"/>
                <w:b w:val="1"/>
                <w:bCs w:val="1"/>
                <w:color w:val="auto"/>
              </w:rPr>
              <w:t xml:space="preserve">  (#)</w:t>
            </w:r>
          </w:p>
        </w:tc>
        <w:tc>
          <w:tcPr>
            <w:tcW w:w="14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7"/>
                <w:szCs w:val="17"/>
                <w:color w:val="auto"/>
              </w:rPr>
            </w:pPr>
          </w:p>
        </w:tc>
        <w:tc>
          <w:tcPr>
            <w:tcW w:w="48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3"/>
          </w:tcPr>
          <w:p>
            <w:pPr>
              <w:ind w:left="20"/>
              <w:spacing w:after="0" w:line="199" w:lineRule="exact"/>
              <w:rPr>
                <w:sz w:val="20"/>
                <w:szCs w:val="20"/>
                <w:color w:val="auto"/>
              </w:rPr>
            </w:pPr>
            <w:r>
              <w:rPr>
                <w:rFonts w:ascii="Arial" w:cs="Arial" w:eastAsia="Arial" w:hAnsi="Arial"/>
                <w:sz w:val="22"/>
                <w:szCs w:val="22"/>
                <w:b w:val="1"/>
                <w:bCs w:val="1"/>
                <w:color w:val="auto"/>
                <w:vertAlign w:val="subscript"/>
              </w:rPr>
              <w:t>​​</w:t>
            </w:r>
            <w:r>
              <w:rPr>
                <w:rFonts w:ascii="Arial" w:cs="Arial" w:eastAsia="Arial" w:hAnsi="Arial"/>
                <w:sz w:val="12"/>
                <w:szCs w:val="12"/>
                <w:b w:val="1"/>
                <w:bCs w:val="1"/>
                <w:color w:val="auto"/>
              </w:rPr>
              <w:t>of Stock</w:t>
            </w:r>
            <w:r>
              <w:rPr>
                <w:rFonts w:ascii="Arial" w:cs="Arial" w:eastAsia="Arial" w:hAnsi="Arial"/>
                <w:sz w:val="14"/>
                <w:szCs w:val="14"/>
                <w:b w:val="1"/>
                <w:bCs w:val="1"/>
                <w:color w:val="auto"/>
                <w:vertAlign w:val="superscript"/>
              </w:rPr>
              <w:t>(3)</w:t>
            </w:r>
          </w:p>
        </w:tc>
        <w:tc>
          <w:tcPr>
            <w:tcW w:w="1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0"/>
              </w:rPr>
              <w:t>($)</w:t>
            </w:r>
            <w:r>
              <w:rPr>
                <w:rFonts w:ascii="Arial" w:cs="Arial" w:eastAsia="Arial" w:hAnsi="Arial"/>
                <w:sz w:val="17"/>
                <w:szCs w:val="17"/>
                <w:b w:val="1"/>
                <w:bCs w:val="1"/>
                <w:color w:val="auto"/>
                <w:w w:val="90"/>
                <w:vertAlign w:val="superscript"/>
              </w:rPr>
              <w:t>(4)</w:t>
            </w:r>
          </w:p>
        </w:tc>
        <w:tc>
          <w:tcPr>
            <w:tcW w:w="0" w:type="dxa"/>
            <w:vAlign w:val="bottom"/>
          </w:tcPr>
          <w:p>
            <w:pPr>
              <w:spacing w:after="0"/>
              <w:rPr>
                <w:sz w:val="1"/>
                <w:szCs w:val="1"/>
                <w:color w:val="auto"/>
              </w:rPr>
            </w:pPr>
          </w:p>
        </w:tc>
      </w:tr>
      <w:tr>
        <w:trPr>
          <w:trHeight w:val="20"/>
        </w:trPr>
        <w:tc>
          <w:tcPr>
            <w:tcW w:w="1600" w:type="dxa"/>
            <w:vAlign w:val="bottom"/>
            <w:tcBorders>
              <w:right w:val="single" w:sz="8" w:color="CCEEFF"/>
            </w:tcBorders>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vMerge w:val="restart"/>
            <w:shd w:val="clear" w:color="auto" w:fill="CCEEFF"/>
          </w:tcPr>
          <w:p>
            <w:pPr>
              <w:jc w:val="right"/>
              <w:ind w:right="15"/>
              <w:spacing w:after="0"/>
              <w:rPr>
                <w:sz w:val="20"/>
                <w:szCs w:val="20"/>
                <w:color w:val="auto"/>
              </w:rPr>
            </w:pPr>
            <w:r>
              <w:rPr>
                <w:rFonts w:ascii="Arial" w:cs="Arial" w:eastAsia="Arial" w:hAnsi="Arial"/>
                <w:sz w:val="1"/>
                <w:szCs w:val="1"/>
                <w:color w:val="auto"/>
                <w:w w:val="4294942296"/>
              </w:rPr>
              <w:t>​</w:t>
            </w:r>
          </w:p>
        </w:tc>
        <w:tc>
          <w:tcPr>
            <w:tcW w:w="760" w:type="dxa"/>
            <w:vAlign w:val="bottom"/>
            <w:tcBorders>
              <w:right w:val="single" w:sz="8" w:color="auto"/>
            </w:tcBorders>
            <w:gridSpan w:val="2"/>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0" w:type="dxa"/>
            <w:vAlign w:val="bottom"/>
            <w:tcBorders>
              <w:right w:val="single" w:sz="8" w:color="CCEEFF"/>
            </w:tcBorders>
            <w:gridSpan w:val="2"/>
            <w:shd w:val="clear" w:color="auto" w:fill="000000"/>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6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w:t>
            </w: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w:t>
            </w:r>
          </w:p>
        </w:tc>
        <w:tc>
          <w:tcPr>
            <w:tcW w:w="320" w:type="dxa"/>
            <w:vAlign w:val="bottom"/>
            <w:tcBorders>
              <w:left w:val="single" w:sz="8" w:color="auto"/>
            </w:tcBorders>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16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John P. Albright</w:t>
            </w:r>
          </w:p>
        </w:tc>
        <w:tc>
          <w:tcPr>
            <w:tcW w:w="780" w:type="dxa"/>
            <w:vAlign w:val="bottom"/>
            <w:tcBorders>
              <w:right w:val="single" w:sz="8" w:color="CCEEFF"/>
            </w:tcBorders>
            <w:gridSpan w:val="2"/>
            <w:shd w:val="clear" w:color="auto" w:fill="CCEEFF"/>
          </w:tcPr>
          <w:p>
            <w:pPr>
              <w:jc w:val="center"/>
              <w:ind w:right="40"/>
              <w:spacing w:after="0" w:line="200"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2/12/25</w:t>
            </w:r>
          </w:p>
        </w:tc>
        <w:tc>
          <w:tcPr>
            <w:tcW w:w="40" w:type="dxa"/>
            <w:vAlign w:val="bottom"/>
            <w:vMerge w:val="continue"/>
            <w:shd w:val="clear" w:color="auto" w:fill="CCEEFF"/>
          </w:tcPr>
          <w:p>
            <w:pPr>
              <w:spacing w:after="0"/>
              <w:rPr>
                <w:sz w:val="17"/>
                <w:szCs w:val="17"/>
                <w:color w:val="auto"/>
              </w:rPr>
            </w:pPr>
          </w:p>
        </w:tc>
        <w:tc>
          <w:tcPr>
            <w:tcW w:w="760" w:type="dxa"/>
            <w:vAlign w:val="bottom"/>
            <w:tcBorders>
              <w:right w:val="single" w:sz="8" w:color="CCEEFF"/>
            </w:tcBorders>
            <w:gridSpan w:val="2"/>
            <w:shd w:val="clear" w:color="auto" w:fill="CCEEFF"/>
          </w:tcPr>
          <w:p>
            <w:pPr>
              <w:jc w:val="right"/>
              <w:ind w:right="49"/>
              <w:spacing w:after="0" w:line="200"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413,250</w:t>
            </w:r>
          </w:p>
        </w:tc>
        <w:tc>
          <w:tcPr>
            <w:tcW w:w="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00" w:type="dxa"/>
            <w:vAlign w:val="bottom"/>
            <w:tcBorders>
              <w:right w:val="single" w:sz="8" w:color="CCEEFF"/>
            </w:tcBorders>
            <w:gridSpan w:val="2"/>
            <w:shd w:val="clear" w:color="auto" w:fill="CCEEFF"/>
          </w:tcPr>
          <w:p>
            <w:pPr>
              <w:jc w:val="right"/>
              <w:spacing w:after="0" w:line="200"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826,500</w:t>
            </w:r>
          </w:p>
        </w:tc>
        <w:tc>
          <w:tcPr>
            <w:tcW w:w="700" w:type="dxa"/>
            <w:vAlign w:val="bottom"/>
            <w:gridSpan w:val="3"/>
            <w:shd w:val="clear" w:color="auto" w:fill="CCEEFF"/>
          </w:tcPr>
          <w:p>
            <w:pPr>
              <w:ind w:left="20"/>
              <w:spacing w:after="0" w:line="200"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1,653,000</w:t>
            </w:r>
          </w:p>
        </w:tc>
        <w:tc>
          <w:tcPr>
            <w:tcW w:w="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ind w:left="60"/>
              <w:spacing w:after="0"/>
              <w:rPr>
                <w:sz w:val="20"/>
                <w:szCs w:val="20"/>
                <w:color w:val="auto"/>
              </w:rPr>
            </w:pPr>
            <w:r>
              <w:rPr>
                <w:rFonts w:ascii="Arial" w:cs="Arial" w:eastAsia="Arial" w:hAnsi="Arial"/>
                <w:sz w:val="14"/>
                <w:szCs w:val="14"/>
                <w:color w:val="auto"/>
              </w:rPr>
              <w:t>​</w:t>
            </w:r>
          </w:p>
        </w:tc>
        <w:tc>
          <w:tcPr>
            <w:tcW w:w="540" w:type="dxa"/>
            <w:vAlign w:val="bottom"/>
            <w:tcBorders>
              <w:right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w w:val="85"/>
              </w:rPr>
              <w:t>—</w:t>
            </w:r>
          </w:p>
        </w:tc>
        <w:tc>
          <w:tcPr>
            <w:tcW w:w="80" w:type="dxa"/>
            <w:vAlign w:val="bottom"/>
            <w:vMerge w:val="continue"/>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right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vMerge w:val="continue"/>
            <w:shd w:val="clear" w:color="auto" w:fill="CCEEFF"/>
          </w:tcPr>
          <w:p>
            <w:pPr>
              <w:spacing w:after="0"/>
              <w:rPr>
                <w:sz w:val="17"/>
                <w:szCs w:val="17"/>
                <w:color w:val="auto"/>
              </w:rPr>
            </w:pPr>
          </w:p>
        </w:tc>
        <w:tc>
          <w:tcPr>
            <w:tcW w:w="320" w:type="dxa"/>
            <w:vAlign w:val="bottom"/>
            <w:tcBorders>
              <w:left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1600" w:type="dxa"/>
            <w:vAlign w:val="bottom"/>
            <w:tcBorders>
              <w:right w:val="single" w:sz="8" w:color="CCEEFF"/>
            </w:tcBorders>
            <w:shd w:val="clear" w:color="auto" w:fill="CCEEFF"/>
          </w:tcPr>
          <w:p>
            <w:pPr>
              <w:spacing w:after="0"/>
              <w:rPr>
                <w:sz w:val="21"/>
                <w:szCs w:val="21"/>
                <w:color w:val="auto"/>
              </w:rPr>
            </w:pPr>
          </w:p>
        </w:tc>
        <w:tc>
          <w:tcPr>
            <w:tcW w:w="780" w:type="dxa"/>
            <w:vAlign w:val="bottom"/>
            <w:tcBorders>
              <w:right w:val="single" w:sz="8" w:color="CCEEFF"/>
            </w:tcBorders>
            <w:gridSpan w:val="2"/>
            <w:shd w:val="clear" w:color="auto" w:fill="CCEEFF"/>
          </w:tcPr>
          <w:p>
            <w:pPr>
              <w:jc w:val="center"/>
              <w:ind w:right="40"/>
              <w:spacing w:after="0" w:line="24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2/12/25</w:t>
            </w:r>
          </w:p>
        </w:tc>
        <w:tc>
          <w:tcPr>
            <w:tcW w:w="40" w:type="dxa"/>
            <w:vAlign w:val="bottom"/>
            <w:shd w:val="clear" w:color="auto" w:fill="CCEEFF"/>
          </w:tcPr>
          <w:p>
            <w:pPr>
              <w:jc w:val="right"/>
              <w:ind w:right="15"/>
              <w:spacing w:after="0"/>
              <w:rPr>
                <w:sz w:val="20"/>
                <w:szCs w:val="20"/>
                <w:color w:val="auto"/>
              </w:rPr>
            </w:pPr>
            <w:r>
              <w:rPr>
                <w:rFonts w:ascii="Arial" w:cs="Arial" w:eastAsia="Arial" w:hAnsi="Arial"/>
                <w:sz w:val="1"/>
                <w:szCs w:val="1"/>
                <w:color w:val="auto"/>
                <w:w w:val="4294942296"/>
              </w:rPr>
              <w:t>​</w:t>
            </w:r>
          </w:p>
        </w:tc>
        <w:tc>
          <w:tcPr>
            <w:tcW w:w="1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62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 ​</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gridSpan w:val="4"/>
            <w:shd w:val="clear" w:color="auto" w:fill="CCEEFF"/>
          </w:tcPr>
          <w:p>
            <w:pPr>
              <w:jc w:val="right"/>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w:t>
            </w:r>
          </w:p>
        </w:tc>
        <w:tc>
          <w:tcPr>
            <w:tcW w:w="140" w:type="dxa"/>
            <w:vAlign w:val="bottom"/>
            <w:shd w:val="clear" w:color="auto" w:fill="CCEEFF"/>
          </w:tcPr>
          <w:p>
            <w:pPr>
              <w:ind w:left="60"/>
              <w:spacing w:after="0"/>
              <w:rPr>
                <w:sz w:val="20"/>
                <w:szCs w:val="20"/>
                <w:color w:val="auto"/>
              </w:rPr>
            </w:pPr>
            <w:r>
              <w:rPr>
                <w:rFonts w:ascii="Arial" w:cs="Arial" w:eastAsia="Arial" w:hAnsi="Arial"/>
                <w:sz w:val="14"/>
                <w:szCs w:val="14"/>
                <w:color w:val="auto"/>
              </w:rPr>
              <w:t>​</w:t>
            </w:r>
          </w:p>
        </w:tc>
        <w:tc>
          <w:tcPr>
            <w:tcW w:w="540" w:type="dxa"/>
            <w:vAlign w:val="bottom"/>
            <w:tcBorders>
              <w:right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spacing w:after="0" w:line="243" w:lineRule="exact"/>
              <w:rPr>
                <w:sz w:val="20"/>
                <w:szCs w:val="20"/>
                <w:color w:val="auto"/>
              </w:rPr>
            </w:pPr>
            <w:r>
              <w:rPr>
                <w:rFonts w:ascii="Arial" w:cs="Arial" w:eastAsia="Arial" w:hAnsi="Arial"/>
                <w:sz w:val="28"/>
                <w:szCs w:val="28"/>
                <w:color w:val="auto"/>
                <w:w w:val="97"/>
                <w:vertAlign w:val="subscript"/>
              </w:rPr>
              <w:t>—</w:t>
            </w:r>
            <w:r>
              <w:rPr>
                <w:rFonts w:ascii="Arial" w:cs="Arial" w:eastAsia="Arial" w:hAnsi="Arial"/>
                <w:sz w:val="14"/>
                <w:szCs w:val="14"/>
                <w:color w:val="auto"/>
                <w:w w:val="97"/>
              </w:rPr>
              <w:t xml:space="preserve"> ​​</w:t>
            </w:r>
          </w:p>
        </w:tc>
        <w:tc>
          <w:tcPr>
            <w:tcW w:w="22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right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20" w:type="dxa"/>
            <w:vAlign w:val="bottom"/>
            <w:tcBorders>
              <w:left w:val="single" w:sz="8" w:color="CCEEFF"/>
            </w:tcBorders>
            <w:gridSpan w:val="2"/>
            <w:shd w:val="clear" w:color="auto" w:fill="CCEEFF"/>
          </w:tcPr>
          <w:p>
            <w:pPr>
              <w:jc w:val="right"/>
              <w:ind w:right="48"/>
              <w:spacing w:after="0" w:line="24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34,147</w:t>
            </w:r>
          </w:p>
        </w:tc>
        <w:tc>
          <w:tcPr>
            <w:tcW w:w="14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696,257</w:t>
            </w:r>
          </w:p>
        </w:tc>
        <w:tc>
          <w:tcPr>
            <w:tcW w:w="0" w:type="dxa"/>
            <w:vAlign w:val="bottom"/>
          </w:tcPr>
          <w:p>
            <w:pPr>
              <w:spacing w:after="0"/>
              <w:rPr>
                <w:sz w:val="1"/>
                <w:szCs w:val="1"/>
                <w:color w:val="auto"/>
              </w:rPr>
            </w:pPr>
          </w:p>
        </w:tc>
      </w:tr>
      <w:tr>
        <w:trPr>
          <w:trHeight w:val="266"/>
        </w:trPr>
        <w:tc>
          <w:tcPr>
            <w:tcW w:w="1600" w:type="dxa"/>
            <w:vAlign w:val="bottom"/>
            <w:tcBorders>
              <w:right w:val="single" w:sz="8" w:color="CCEEFF"/>
            </w:tcBorders>
            <w:shd w:val="clear" w:color="auto" w:fill="CCEEFF"/>
          </w:tcPr>
          <w:p>
            <w:pPr>
              <w:spacing w:after="0"/>
              <w:rPr>
                <w:sz w:val="23"/>
                <w:szCs w:val="23"/>
                <w:color w:val="auto"/>
              </w:rPr>
            </w:pPr>
          </w:p>
        </w:tc>
        <w:tc>
          <w:tcPr>
            <w:tcW w:w="780" w:type="dxa"/>
            <w:vAlign w:val="bottom"/>
            <w:tcBorders>
              <w:right w:val="single" w:sz="8" w:color="CCEEFF"/>
            </w:tcBorders>
            <w:gridSpan w:val="2"/>
            <w:shd w:val="clear" w:color="auto" w:fill="CCEEFF"/>
          </w:tcPr>
          <w:p>
            <w:pPr>
              <w:jc w:val="center"/>
              <w:ind w:right="40"/>
              <w:spacing w:after="0" w:line="266"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2/12/25</w:t>
            </w:r>
          </w:p>
        </w:tc>
        <w:tc>
          <w:tcPr>
            <w:tcW w:w="40" w:type="dxa"/>
            <w:vAlign w:val="bottom"/>
            <w:shd w:val="clear" w:color="auto" w:fill="CCEEFF"/>
          </w:tcPr>
          <w:p>
            <w:pPr>
              <w:jc w:val="right"/>
              <w:ind w:right="15"/>
              <w:spacing w:after="0"/>
              <w:rPr>
                <w:sz w:val="20"/>
                <w:szCs w:val="20"/>
                <w:color w:val="auto"/>
              </w:rPr>
            </w:pPr>
            <w:r>
              <w:rPr>
                <w:rFonts w:ascii="Arial" w:cs="Arial" w:eastAsia="Arial" w:hAnsi="Arial"/>
                <w:sz w:val="1"/>
                <w:szCs w:val="1"/>
                <w:color w:val="auto"/>
                <w:w w:val="4294942296"/>
              </w:rPr>
              <w:t>​</w:t>
            </w:r>
          </w:p>
        </w:tc>
        <w:tc>
          <w:tcPr>
            <w:tcW w:w="1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62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 ​</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gridSpan w:val="4"/>
            <w:shd w:val="clear" w:color="auto" w:fill="CCEEFF"/>
          </w:tcPr>
          <w:p>
            <w:pPr>
              <w:jc w:val="right"/>
              <w:spacing w:after="0" w:line="266"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w:t>
            </w:r>
          </w:p>
        </w:tc>
        <w:tc>
          <w:tcPr>
            <w:tcW w:w="680" w:type="dxa"/>
            <w:vAlign w:val="bottom"/>
            <w:tcBorders>
              <w:right w:val="single" w:sz="8" w:color="CCEEFF"/>
            </w:tcBorders>
            <w:gridSpan w:val="2"/>
            <w:shd w:val="clear" w:color="auto" w:fill="CCEEFF"/>
          </w:tcPr>
          <w:p>
            <w:pPr>
              <w:jc w:val="right"/>
              <w:ind w:right="88"/>
              <w:spacing w:after="0" w:line="266"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26,165</w:t>
            </w:r>
          </w:p>
        </w:tc>
        <w:tc>
          <w:tcPr>
            <w:tcW w:w="620" w:type="dxa"/>
            <w:vAlign w:val="bottom"/>
            <w:gridSpan w:val="4"/>
            <w:shd w:val="clear" w:color="auto" w:fill="CCEEFF"/>
          </w:tcPr>
          <w:p>
            <w:pPr>
              <w:jc w:val="right"/>
              <w:spacing w:after="0" w:line="266" w:lineRule="exact"/>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bscript"/>
              </w:rPr>
              <w:t>52,329</w:t>
            </w:r>
            <w:r>
              <w:rPr>
                <w:rFonts w:ascii="Arial" w:cs="Arial" w:eastAsia="Arial" w:hAnsi="Arial"/>
                <w:sz w:val="14"/>
                <w:szCs w:val="14"/>
                <w:color w:val="auto"/>
              </w:rPr>
              <w:t xml:space="preserve"> ​​</w:t>
            </w:r>
          </w:p>
        </w:tc>
        <w:tc>
          <w:tcPr>
            <w:tcW w:w="700" w:type="dxa"/>
            <w:vAlign w:val="bottom"/>
            <w:tcBorders>
              <w:left w:val="single" w:sz="8" w:color="CCEEFF"/>
              <w:right w:val="single" w:sz="8" w:color="CCEEFF"/>
            </w:tcBorders>
            <w:gridSpan w:val="2"/>
            <w:shd w:val="clear" w:color="auto" w:fill="CCEEFF"/>
          </w:tcPr>
          <w:p>
            <w:pPr>
              <w:jc w:val="right"/>
              <w:ind w:right="48"/>
              <w:spacing w:after="0" w:line="266"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78,494</w:t>
            </w: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320" w:type="dxa"/>
            <w:vAlign w:val="bottom"/>
            <w:tcBorders>
              <w:left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line="266"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1,082,164</w:t>
            </w:r>
          </w:p>
        </w:tc>
        <w:tc>
          <w:tcPr>
            <w:tcW w:w="0" w:type="dxa"/>
            <w:vAlign w:val="bottom"/>
          </w:tcPr>
          <w:p>
            <w:pPr>
              <w:spacing w:after="0"/>
              <w:rPr>
                <w:sz w:val="1"/>
                <w:szCs w:val="1"/>
                <w:color w:val="auto"/>
              </w:rPr>
            </w:pPr>
          </w:p>
        </w:tc>
      </w:tr>
      <w:tr>
        <w:trPr>
          <w:trHeight w:val="207"/>
        </w:trPr>
        <w:tc>
          <w:tcPr>
            <w:tcW w:w="1600" w:type="dxa"/>
            <w:vAlign w:val="bottom"/>
          </w:tcPr>
          <w:p>
            <w:pPr>
              <w:spacing w:after="0"/>
              <w:rPr>
                <w:sz w:val="20"/>
                <w:szCs w:val="20"/>
                <w:color w:val="auto"/>
              </w:rPr>
            </w:pPr>
            <w:r>
              <w:rPr>
                <w:rFonts w:ascii="Arial" w:cs="Arial" w:eastAsia="Arial" w:hAnsi="Arial"/>
                <w:sz w:val="14"/>
                <w:szCs w:val="14"/>
                <w:color w:val="auto"/>
              </w:rPr>
              <w:t>Steven R. Greathouse</w:t>
            </w:r>
          </w:p>
        </w:tc>
        <w:tc>
          <w:tcPr>
            <w:tcW w:w="780" w:type="dxa"/>
            <w:vAlign w:val="bottom"/>
            <w:gridSpan w:val="2"/>
          </w:tcPr>
          <w:p>
            <w:pPr>
              <w:jc w:val="center"/>
              <w:ind w:right="40"/>
              <w:spacing w:after="0" w:line="207"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2/12/25</w:t>
            </w:r>
          </w:p>
        </w:tc>
        <w:tc>
          <w:tcPr>
            <w:tcW w:w="40" w:type="dxa"/>
            <w:vAlign w:val="bottom"/>
          </w:tcPr>
          <w:p>
            <w:pPr>
              <w:jc w:val="right"/>
              <w:ind w:right="15"/>
              <w:spacing w:after="0"/>
              <w:rPr>
                <w:sz w:val="20"/>
                <w:szCs w:val="20"/>
                <w:color w:val="auto"/>
              </w:rPr>
            </w:pPr>
            <w:r>
              <w:rPr>
                <w:rFonts w:ascii="Arial" w:cs="Arial" w:eastAsia="Arial" w:hAnsi="Arial"/>
                <w:sz w:val="1"/>
                <w:szCs w:val="1"/>
                <w:color w:val="auto"/>
                <w:w w:val="4294942296"/>
              </w:rPr>
              <w:t>​</w:t>
            </w:r>
          </w:p>
        </w:tc>
        <w:tc>
          <w:tcPr>
            <w:tcW w:w="760" w:type="dxa"/>
            <w:vAlign w:val="bottom"/>
            <w:gridSpan w:val="2"/>
          </w:tcPr>
          <w:p>
            <w:pPr>
              <w:jc w:val="right"/>
              <w:ind w:right="49"/>
              <w:spacing w:after="0" w:line="207"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195,000</w:t>
            </w:r>
          </w:p>
        </w:tc>
        <w:tc>
          <w:tcPr>
            <w:tcW w:w="640" w:type="dxa"/>
            <w:vAlign w:val="bottom"/>
            <w:gridSpan w:val="3"/>
          </w:tcPr>
          <w:p>
            <w:pPr>
              <w:jc w:val="right"/>
              <w:spacing w:after="0" w:line="207" w:lineRule="exact"/>
              <w:rPr>
                <w:sz w:val="20"/>
                <w:szCs w:val="20"/>
                <w:color w:val="auto"/>
              </w:rPr>
            </w:pPr>
            <w:r>
              <w:rPr>
                <w:rFonts w:ascii="Arial" w:cs="Arial" w:eastAsia="Arial" w:hAnsi="Arial"/>
                <w:sz w:val="23"/>
                <w:szCs w:val="23"/>
                <w:color w:val="auto"/>
                <w:vertAlign w:val="superscript"/>
              </w:rPr>
              <w:t>​ ​</w:t>
            </w:r>
            <w:r>
              <w:rPr>
                <w:rFonts w:ascii="Arial" w:cs="Arial" w:eastAsia="Arial" w:hAnsi="Arial"/>
                <w:sz w:val="13"/>
                <w:szCs w:val="13"/>
                <w:color w:val="auto"/>
              </w:rPr>
              <w:t>390,000</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780,000</w:t>
            </w:r>
          </w:p>
        </w:tc>
        <w:tc>
          <w:tcPr>
            <w:tcW w:w="16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ind w:left="60"/>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400" w:type="dxa"/>
            <w:vAlign w:val="bottom"/>
            <w:gridSpan w:val="2"/>
          </w:tcPr>
          <w:p>
            <w:pPr>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spacing w:after="0" w:line="207"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3"/>
                <w:szCs w:val="13"/>
                <w:color w:val="auto"/>
              </w:rPr>
              <w:t xml:space="preserve"> ​​</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r>
              <w:rPr>
                <w:rFonts w:ascii="Arial" w:cs="Arial" w:eastAsia="Arial" w:hAnsi="Arial"/>
                <w:sz w:val="14"/>
                <w:szCs w:val="14"/>
                <w:color w:val="auto"/>
              </w:rPr>
              <w:t>​​​</w:t>
            </w:r>
          </w:p>
        </w:tc>
        <w:tc>
          <w:tcPr>
            <w:tcW w:w="320" w:type="dxa"/>
            <w:vAlign w:val="bottom"/>
          </w:tcPr>
          <w:p>
            <w:pPr>
              <w:ind w:left="140"/>
              <w:spacing w:after="0"/>
              <w:rPr>
                <w:sz w:val="20"/>
                <w:szCs w:val="20"/>
                <w:color w:val="auto"/>
              </w:rPr>
            </w:pPr>
            <w:r>
              <w:rPr>
                <w:rFonts w:ascii="Arial" w:cs="Arial" w:eastAsia="Arial" w:hAnsi="Arial"/>
                <w:sz w:val="14"/>
                <w:szCs w:val="14"/>
                <w:color w:val="auto"/>
              </w:rPr>
              <w:t>​</w:t>
            </w:r>
          </w:p>
        </w:tc>
        <w:tc>
          <w:tcPr>
            <w:tcW w:w="4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jc w:val="center"/>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1600" w:type="dxa"/>
            <w:vAlign w:val="bottom"/>
          </w:tcPr>
          <w:p>
            <w:pPr>
              <w:spacing w:after="0"/>
              <w:rPr>
                <w:sz w:val="21"/>
                <w:szCs w:val="21"/>
                <w:color w:val="auto"/>
              </w:rPr>
            </w:pPr>
          </w:p>
        </w:tc>
        <w:tc>
          <w:tcPr>
            <w:tcW w:w="780" w:type="dxa"/>
            <w:vAlign w:val="bottom"/>
            <w:gridSpan w:val="2"/>
          </w:tcPr>
          <w:p>
            <w:pPr>
              <w:jc w:val="center"/>
              <w:ind w:right="40"/>
              <w:spacing w:after="0" w:line="24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2/12/25</w:t>
            </w:r>
          </w:p>
        </w:tc>
        <w:tc>
          <w:tcPr>
            <w:tcW w:w="40" w:type="dxa"/>
            <w:vAlign w:val="bottom"/>
          </w:tcPr>
          <w:p>
            <w:pPr>
              <w:jc w:val="right"/>
              <w:ind w:right="15"/>
              <w:spacing w:after="0"/>
              <w:rPr>
                <w:sz w:val="20"/>
                <w:szCs w:val="20"/>
                <w:color w:val="auto"/>
              </w:rPr>
            </w:pPr>
            <w:r>
              <w:rPr>
                <w:rFonts w:ascii="Arial" w:cs="Arial" w:eastAsia="Arial" w:hAnsi="Arial"/>
                <w:sz w:val="1"/>
                <w:szCs w:val="1"/>
                <w:color w:val="auto"/>
                <w:w w:val="4294942296"/>
              </w:rPr>
              <w:t>​</w:t>
            </w:r>
          </w:p>
        </w:tc>
        <w:tc>
          <w:tcPr>
            <w:tcW w:w="140" w:type="dxa"/>
            <w:vAlign w:val="bottom"/>
          </w:tcPr>
          <w:p>
            <w:pPr>
              <w:ind w:left="10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60" w:type="dxa"/>
            <w:vAlign w:val="bottom"/>
            <w:gridSpan w:val="2"/>
          </w:tcPr>
          <w:p>
            <w:pPr>
              <w:spacing w:after="0"/>
              <w:rPr>
                <w:sz w:val="20"/>
                <w:szCs w:val="20"/>
                <w:color w:val="auto"/>
              </w:rPr>
            </w:pPr>
            <w:r>
              <w:rPr>
                <w:rFonts w:ascii="Arial" w:cs="Arial" w:eastAsia="Arial" w:hAnsi="Arial"/>
                <w:sz w:val="14"/>
                <w:szCs w:val="14"/>
                <w:color w:val="auto"/>
              </w:rPr>
              <w:t>​ ​</w:t>
            </w: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700" w:type="dxa"/>
            <w:vAlign w:val="bottom"/>
            <w:gridSpan w:val="4"/>
          </w:tcPr>
          <w:p>
            <w:pPr>
              <w:jc w:val="right"/>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w:t>
            </w:r>
          </w:p>
        </w:tc>
        <w:tc>
          <w:tcPr>
            <w:tcW w:w="140" w:type="dxa"/>
            <w:vAlign w:val="bottom"/>
          </w:tcPr>
          <w:p>
            <w:pPr>
              <w:ind w:left="60"/>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400" w:type="dxa"/>
            <w:vAlign w:val="bottom"/>
            <w:gridSpan w:val="2"/>
          </w:tcPr>
          <w:p>
            <w:pPr>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spacing w:after="0" w:line="243" w:lineRule="exact"/>
              <w:rPr>
                <w:sz w:val="20"/>
                <w:szCs w:val="20"/>
                <w:color w:val="auto"/>
              </w:rPr>
            </w:pPr>
            <w:r>
              <w:rPr>
                <w:rFonts w:ascii="Arial" w:cs="Arial" w:eastAsia="Arial" w:hAnsi="Arial"/>
                <w:sz w:val="28"/>
                <w:szCs w:val="28"/>
                <w:color w:val="auto"/>
                <w:w w:val="97"/>
                <w:vertAlign w:val="subscript"/>
              </w:rPr>
              <w:t>—</w:t>
            </w:r>
            <w:r>
              <w:rPr>
                <w:rFonts w:ascii="Arial" w:cs="Arial" w:eastAsia="Arial" w:hAnsi="Arial"/>
                <w:sz w:val="14"/>
                <w:szCs w:val="14"/>
                <w:color w:val="auto"/>
                <w:w w:val="97"/>
              </w:rPr>
              <w:t xml:space="preserve"> ​​</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48"/>
              <w:spacing w:after="0" w:line="24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16,090</w:t>
            </w:r>
          </w:p>
        </w:tc>
        <w:tc>
          <w:tcPr>
            <w:tcW w:w="140" w:type="dxa"/>
            <w:vAlign w:val="bottom"/>
          </w:tcPr>
          <w:p>
            <w:pPr>
              <w:jc w:val="center"/>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328,075</w:t>
            </w:r>
          </w:p>
        </w:tc>
        <w:tc>
          <w:tcPr>
            <w:tcW w:w="0" w:type="dxa"/>
            <w:vAlign w:val="bottom"/>
          </w:tcPr>
          <w:p>
            <w:pPr>
              <w:spacing w:after="0"/>
              <w:rPr>
                <w:sz w:val="1"/>
                <w:szCs w:val="1"/>
                <w:color w:val="auto"/>
              </w:rPr>
            </w:pPr>
          </w:p>
        </w:tc>
      </w:tr>
      <w:tr>
        <w:trPr>
          <w:trHeight w:val="266"/>
        </w:trPr>
        <w:tc>
          <w:tcPr>
            <w:tcW w:w="1600" w:type="dxa"/>
            <w:vAlign w:val="bottom"/>
          </w:tcPr>
          <w:p>
            <w:pPr>
              <w:spacing w:after="0"/>
              <w:rPr>
                <w:sz w:val="23"/>
                <w:szCs w:val="23"/>
                <w:color w:val="auto"/>
              </w:rPr>
            </w:pPr>
          </w:p>
        </w:tc>
        <w:tc>
          <w:tcPr>
            <w:tcW w:w="780" w:type="dxa"/>
            <w:vAlign w:val="bottom"/>
            <w:gridSpan w:val="2"/>
          </w:tcPr>
          <w:p>
            <w:pPr>
              <w:jc w:val="center"/>
              <w:ind w:right="40"/>
              <w:spacing w:after="0" w:line="266"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2/12/25</w:t>
            </w:r>
          </w:p>
        </w:tc>
        <w:tc>
          <w:tcPr>
            <w:tcW w:w="40" w:type="dxa"/>
            <w:vAlign w:val="bottom"/>
          </w:tcPr>
          <w:p>
            <w:pPr>
              <w:jc w:val="right"/>
              <w:ind w:right="15"/>
              <w:spacing w:after="0"/>
              <w:rPr>
                <w:sz w:val="20"/>
                <w:szCs w:val="20"/>
                <w:color w:val="auto"/>
              </w:rPr>
            </w:pPr>
            <w:r>
              <w:rPr>
                <w:rFonts w:ascii="Arial" w:cs="Arial" w:eastAsia="Arial" w:hAnsi="Arial"/>
                <w:sz w:val="1"/>
                <w:szCs w:val="1"/>
                <w:color w:val="auto"/>
                <w:w w:val="4294942296"/>
              </w:rPr>
              <w:t>​</w:t>
            </w:r>
          </w:p>
        </w:tc>
        <w:tc>
          <w:tcPr>
            <w:tcW w:w="140" w:type="dxa"/>
            <w:vAlign w:val="bottom"/>
          </w:tcPr>
          <w:p>
            <w:pPr>
              <w:ind w:left="10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60" w:type="dxa"/>
            <w:vAlign w:val="bottom"/>
            <w:gridSpan w:val="2"/>
          </w:tcPr>
          <w:p>
            <w:pPr>
              <w:spacing w:after="0"/>
              <w:rPr>
                <w:sz w:val="20"/>
                <w:szCs w:val="20"/>
                <w:color w:val="auto"/>
              </w:rPr>
            </w:pPr>
            <w:r>
              <w:rPr>
                <w:rFonts w:ascii="Arial" w:cs="Arial" w:eastAsia="Arial" w:hAnsi="Arial"/>
                <w:sz w:val="14"/>
                <w:szCs w:val="14"/>
                <w:color w:val="auto"/>
              </w:rPr>
              <w:t>​ ​</w:t>
            </w: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700" w:type="dxa"/>
            <w:vAlign w:val="bottom"/>
            <w:gridSpan w:val="4"/>
          </w:tcPr>
          <w:p>
            <w:pPr>
              <w:jc w:val="right"/>
              <w:spacing w:after="0" w:line="266"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w:t>
            </w:r>
          </w:p>
        </w:tc>
        <w:tc>
          <w:tcPr>
            <w:tcW w:w="680" w:type="dxa"/>
            <w:vAlign w:val="bottom"/>
            <w:gridSpan w:val="2"/>
          </w:tcPr>
          <w:p>
            <w:pPr>
              <w:jc w:val="right"/>
              <w:ind w:right="88"/>
              <w:spacing w:after="0" w:line="266"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9,596</w:t>
            </w:r>
          </w:p>
        </w:tc>
        <w:tc>
          <w:tcPr>
            <w:tcW w:w="620" w:type="dxa"/>
            <w:vAlign w:val="bottom"/>
            <w:gridSpan w:val="4"/>
          </w:tcPr>
          <w:p>
            <w:pPr>
              <w:jc w:val="right"/>
              <w:spacing w:after="0" w:line="266" w:lineRule="exact"/>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bscript"/>
              </w:rPr>
              <w:t>19,191</w:t>
            </w:r>
            <w:r>
              <w:rPr>
                <w:rFonts w:ascii="Arial" w:cs="Arial" w:eastAsia="Arial" w:hAnsi="Arial"/>
                <w:sz w:val="14"/>
                <w:szCs w:val="14"/>
                <w:color w:val="auto"/>
              </w:rPr>
              <w:t xml:space="preserve"> ​​</w:t>
            </w:r>
          </w:p>
        </w:tc>
        <w:tc>
          <w:tcPr>
            <w:tcW w:w="700" w:type="dxa"/>
            <w:vAlign w:val="bottom"/>
            <w:gridSpan w:val="2"/>
          </w:tcPr>
          <w:p>
            <w:pPr>
              <w:jc w:val="right"/>
              <w:ind w:right="48"/>
              <w:spacing w:after="0" w:line="266"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28,787</w:t>
            </w:r>
          </w:p>
        </w:tc>
        <w:tc>
          <w:tcPr>
            <w:tcW w:w="80" w:type="dxa"/>
            <w:vAlign w:val="bottom"/>
          </w:tcPr>
          <w:p>
            <w:pPr>
              <w:spacing w:after="0"/>
              <w:rPr>
                <w:sz w:val="20"/>
                <w:szCs w:val="20"/>
                <w:color w:val="auto"/>
              </w:rPr>
            </w:pPr>
            <w:r>
              <w:rPr>
                <w:rFonts w:ascii="Arial" w:cs="Arial" w:eastAsia="Arial" w:hAnsi="Arial"/>
                <w:sz w:val="14"/>
                <w:szCs w:val="14"/>
                <w:color w:val="auto"/>
              </w:rPr>
              <w:t>​​​</w:t>
            </w:r>
          </w:p>
        </w:tc>
        <w:tc>
          <w:tcPr>
            <w:tcW w:w="320" w:type="dxa"/>
            <w:vAlign w:val="bottom"/>
          </w:tcPr>
          <w:p>
            <w:pPr>
              <w:ind w:left="140"/>
              <w:spacing w:after="0"/>
              <w:rPr>
                <w:sz w:val="20"/>
                <w:szCs w:val="20"/>
                <w:color w:val="auto"/>
              </w:rPr>
            </w:pPr>
            <w:r>
              <w:rPr>
                <w:rFonts w:ascii="Arial" w:cs="Arial" w:eastAsia="Arial" w:hAnsi="Arial"/>
                <w:sz w:val="14"/>
                <w:szCs w:val="14"/>
                <w:color w:val="auto"/>
              </w:rPr>
              <w:t>​</w:t>
            </w:r>
          </w:p>
        </w:tc>
        <w:tc>
          <w:tcPr>
            <w:tcW w:w="4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jc w:val="center"/>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396,870</w:t>
            </w:r>
          </w:p>
        </w:tc>
        <w:tc>
          <w:tcPr>
            <w:tcW w:w="0" w:type="dxa"/>
            <w:vAlign w:val="bottom"/>
          </w:tcPr>
          <w:p>
            <w:pPr>
              <w:spacing w:after="0"/>
              <w:rPr>
                <w:sz w:val="1"/>
                <w:szCs w:val="1"/>
                <w:color w:val="auto"/>
              </w:rPr>
            </w:pPr>
          </w:p>
        </w:tc>
      </w:tr>
      <w:tr>
        <w:trPr>
          <w:trHeight w:val="207"/>
        </w:trPr>
        <w:tc>
          <w:tcPr>
            <w:tcW w:w="16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Philip R. Mays</w:t>
            </w:r>
          </w:p>
        </w:tc>
        <w:tc>
          <w:tcPr>
            <w:tcW w:w="780" w:type="dxa"/>
            <w:vAlign w:val="bottom"/>
            <w:tcBorders>
              <w:right w:val="single" w:sz="8" w:color="CCEEFF"/>
            </w:tcBorders>
            <w:gridSpan w:val="2"/>
            <w:shd w:val="clear" w:color="auto" w:fill="CCEEFF"/>
          </w:tcPr>
          <w:p>
            <w:pPr>
              <w:jc w:val="center"/>
              <w:ind w:right="40"/>
              <w:spacing w:after="0" w:line="207"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2/12/25</w:t>
            </w:r>
          </w:p>
        </w:tc>
        <w:tc>
          <w:tcPr>
            <w:tcW w:w="40" w:type="dxa"/>
            <w:vAlign w:val="bottom"/>
            <w:shd w:val="clear" w:color="auto" w:fill="CCEEFF"/>
          </w:tcPr>
          <w:p>
            <w:pPr>
              <w:jc w:val="right"/>
              <w:ind w:right="15"/>
              <w:spacing w:after="0"/>
              <w:rPr>
                <w:sz w:val="20"/>
                <w:szCs w:val="20"/>
                <w:color w:val="auto"/>
              </w:rPr>
            </w:pPr>
            <w:r>
              <w:rPr>
                <w:rFonts w:ascii="Arial" w:cs="Arial" w:eastAsia="Arial" w:hAnsi="Arial"/>
                <w:sz w:val="1"/>
                <w:szCs w:val="1"/>
                <w:color w:val="auto"/>
                <w:w w:val="4294942296"/>
              </w:rPr>
              <w:t>​</w:t>
            </w:r>
          </w:p>
        </w:tc>
        <w:tc>
          <w:tcPr>
            <w:tcW w:w="760" w:type="dxa"/>
            <w:vAlign w:val="bottom"/>
            <w:tcBorders>
              <w:right w:val="single" w:sz="8" w:color="CCEEFF"/>
            </w:tcBorders>
            <w:gridSpan w:val="2"/>
            <w:shd w:val="clear" w:color="auto" w:fill="CCEEFF"/>
          </w:tcPr>
          <w:p>
            <w:pPr>
              <w:jc w:val="right"/>
              <w:ind w:right="49"/>
              <w:spacing w:after="0" w:line="207"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155,625</w:t>
            </w:r>
          </w:p>
        </w:tc>
        <w:tc>
          <w:tcPr>
            <w:tcW w:w="640" w:type="dxa"/>
            <w:vAlign w:val="bottom"/>
            <w:tcBorders>
              <w:right w:val="single" w:sz="8" w:color="CCEEFF"/>
            </w:tcBorders>
            <w:gridSpan w:val="3"/>
            <w:shd w:val="clear" w:color="auto" w:fill="CCEEFF"/>
          </w:tcPr>
          <w:p>
            <w:pPr>
              <w:jc w:val="right"/>
              <w:spacing w:after="0" w:line="207" w:lineRule="exact"/>
              <w:rPr>
                <w:sz w:val="20"/>
                <w:szCs w:val="20"/>
                <w:color w:val="auto"/>
              </w:rPr>
            </w:pPr>
            <w:r>
              <w:rPr>
                <w:rFonts w:ascii="Arial" w:cs="Arial" w:eastAsia="Arial" w:hAnsi="Arial"/>
                <w:sz w:val="23"/>
                <w:szCs w:val="23"/>
                <w:color w:val="auto"/>
                <w:vertAlign w:val="superscript"/>
              </w:rPr>
              <w:t>​ ​</w:t>
            </w:r>
            <w:r>
              <w:rPr>
                <w:rFonts w:ascii="Arial" w:cs="Arial" w:eastAsia="Arial" w:hAnsi="Arial"/>
                <w:sz w:val="13"/>
                <w:szCs w:val="13"/>
                <w:color w:val="auto"/>
              </w:rPr>
              <w:t>311,250</w:t>
            </w: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622,500</w:t>
            </w:r>
          </w:p>
        </w:tc>
        <w:tc>
          <w:tcPr>
            <w:tcW w:w="1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ind w:left="60"/>
              <w:spacing w:after="0"/>
              <w:rPr>
                <w:sz w:val="20"/>
                <w:szCs w:val="20"/>
                <w:color w:val="auto"/>
              </w:rPr>
            </w:pPr>
            <w:r>
              <w:rPr>
                <w:rFonts w:ascii="Arial" w:cs="Arial" w:eastAsia="Arial" w:hAnsi="Arial"/>
                <w:sz w:val="14"/>
                <w:szCs w:val="14"/>
                <w:color w:val="auto"/>
              </w:rPr>
              <w:t>​</w:t>
            </w:r>
          </w:p>
        </w:tc>
        <w:tc>
          <w:tcPr>
            <w:tcW w:w="540" w:type="dxa"/>
            <w:vAlign w:val="bottom"/>
            <w:tcBorders>
              <w:right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spacing w:after="0" w:line="207"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3"/>
                <w:szCs w:val="13"/>
                <w:color w:val="auto"/>
              </w:rPr>
              <w:t xml:space="preserve"> ​​</w:t>
            </w:r>
          </w:p>
        </w:tc>
        <w:tc>
          <w:tcPr>
            <w:tcW w:w="22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right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320" w:type="dxa"/>
            <w:vAlign w:val="bottom"/>
            <w:tcBorders>
              <w:left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1600" w:type="dxa"/>
            <w:vAlign w:val="bottom"/>
            <w:tcBorders>
              <w:right w:val="single" w:sz="8" w:color="CCEEFF"/>
            </w:tcBorders>
            <w:shd w:val="clear" w:color="auto" w:fill="CCEEFF"/>
          </w:tcPr>
          <w:p>
            <w:pPr>
              <w:spacing w:after="0"/>
              <w:rPr>
                <w:sz w:val="21"/>
                <w:szCs w:val="21"/>
                <w:color w:val="auto"/>
              </w:rPr>
            </w:pPr>
          </w:p>
        </w:tc>
        <w:tc>
          <w:tcPr>
            <w:tcW w:w="780" w:type="dxa"/>
            <w:vAlign w:val="bottom"/>
            <w:tcBorders>
              <w:right w:val="single" w:sz="8" w:color="CCEEFF"/>
            </w:tcBorders>
            <w:gridSpan w:val="2"/>
            <w:shd w:val="clear" w:color="auto" w:fill="CCEEFF"/>
          </w:tcPr>
          <w:p>
            <w:pPr>
              <w:jc w:val="center"/>
              <w:ind w:right="40"/>
              <w:spacing w:after="0" w:line="24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2/12/25</w:t>
            </w:r>
          </w:p>
        </w:tc>
        <w:tc>
          <w:tcPr>
            <w:tcW w:w="40" w:type="dxa"/>
            <w:vAlign w:val="bottom"/>
            <w:shd w:val="clear" w:color="auto" w:fill="CCEEFF"/>
          </w:tcPr>
          <w:p>
            <w:pPr>
              <w:jc w:val="right"/>
              <w:ind w:right="15"/>
              <w:spacing w:after="0"/>
              <w:rPr>
                <w:sz w:val="20"/>
                <w:szCs w:val="20"/>
                <w:color w:val="auto"/>
              </w:rPr>
            </w:pPr>
            <w:r>
              <w:rPr>
                <w:rFonts w:ascii="Arial" w:cs="Arial" w:eastAsia="Arial" w:hAnsi="Arial"/>
                <w:sz w:val="1"/>
                <w:szCs w:val="1"/>
                <w:color w:val="auto"/>
                <w:w w:val="4294942296"/>
              </w:rPr>
              <w:t>​</w:t>
            </w:r>
          </w:p>
        </w:tc>
        <w:tc>
          <w:tcPr>
            <w:tcW w:w="1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62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 ​</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gridSpan w:val="4"/>
            <w:shd w:val="clear" w:color="auto" w:fill="CCEEFF"/>
          </w:tcPr>
          <w:p>
            <w:pPr>
              <w:jc w:val="right"/>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w:t>
            </w:r>
          </w:p>
        </w:tc>
        <w:tc>
          <w:tcPr>
            <w:tcW w:w="140" w:type="dxa"/>
            <w:vAlign w:val="bottom"/>
            <w:shd w:val="clear" w:color="auto" w:fill="CCEEFF"/>
          </w:tcPr>
          <w:p>
            <w:pPr>
              <w:ind w:left="60"/>
              <w:spacing w:after="0"/>
              <w:rPr>
                <w:sz w:val="20"/>
                <w:szCs w:val="20"/>
                <w:color w:val="auto"/>
              </w:rPr>
            </w:pPr>
            <w:r>
              <w:rPr>
                <w:rFonts w:ascii="Arial" w:cs="Arial" w:eastAsia="Arial" w:hAnsi="Arial"/>
                <w:sz w:val="14"/>
                <w:szCs w:val="14"/>
                <w:color w:val="auto"/>
              </w:rPr>
              <w:t>​</w:t>
            </w:r>
          </w:p>
        </w:tc>
        <w:tc>
          <w:tcPr>
            <w:tcW w:w="540" w:type="dxa"/>
            <w:vAlign w:val="bottom"/>
            <w:tcBorders>
              <w:right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spacing w:after="0" w:line="243" w:lineRule="exact"/>
              <w:rPr>
                <w:sz w:val="20"/>
                <w:szCs w:val="20"/>
                <w:color w:val="auto"/>
              </w:rPr>
            </w:pPr>
            <w:r>
              <w:rPr>
                <w:rFonts w:ascii="Arial" w:cs="Arial" w:eastAsia="Arial" w:hAnsi="Arial"/>
                <w:sz w:val="28"/>
                <w:szCs w:val="28"/>
                <w:color w:val="auto"/>
                <w:w w:val="97"/>
                <w:vertAlign w:val="subscript"/>
              </w:rPr>
              <w:t>—</w:t>
            </w:r>
            <w:r>
              <w:rPr>
                <w:rFonts w:ascii="Arial" w:cs="Arial" w:eastAsia="Arial" w:hAnsi="Arial"/>
                <w:sz w:val="14"/>
                <w:szCs w:val="14"/>
                <w:color w:val="auto"/>
                <w:w w:val="97"/>
              </w:rPr>
              <w:t xml:space="preserve"> ​​</w:t>
            </w:r>
          </w:p>
        </w:tc>
        <w:tc>
          <w:tcPr>
            <w:tcW w:w="22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right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20" w:type="dxa"/>
            <w:vAlign w:val="bottom"/>
            <w:tcBorders>
              <w:left w:val="single" w:sz="8" w:color="CCEEFF"/>
            </w:tcBorders>
            <w:gridSpan w:val="2"/>
            <w:shd w:val="clear" w:color="auto" w:fill="CCEEFF"/>
          </w:tcPr>
          <w:p>
            <w:pPr>
              <w:jc w:val="right"/>
              <w:ind w:right="48"/>
              <w:spacing w:after="0" w:line="24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12,841</w:t>
            </w:r>
          </w:p>
        </w:tc>
        <w:tc>
          <w:tcPr>
            <w:tcW w:w="14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261,828</w:t>
            </w:r>
          </w:p>
        </w:tc>
        <w:tc>
          <w:tcPr>
            <w:tcW w:w="0" w:type="dxa"/>
            <w:vAlign w:val="bottom"/>
          </w:tcPr>
          <w:p>
            <w:pPr>
              <w:spacing w:after="0"/>
              <w:rPr>
                <w:sz w:val="1"/>
                <w:szCs w:val="1"/>
                <w:color w:val="auto"/>
              </w:rPr>
            </w:pPr>
          </w:p>
        </w:tc>
      </w:tr>
      <w:tr>
        <w:trPr>
          <w:trHeight w:val="266"/>
        </w:trPr>
        <w:tc>
          <w:tcPr>
            <w:tcW w:w="1600" w:type="dxa"/>
            <w:vAlign w:val="bottom"/>
            <w:tcBorders>
              <w:right w:val="single" w:sz="8" w:color="CCEEFF"/>
            </w:tcBorders>
            <w:shd w:val="clear" w:color="auto" w:fill="CCEEFF"/>
          </w:tcPr>
          <w:p>
            <w:pPr>
              <w:spacing w:after="0"/>
              <w:rPr>
                <w:sz w:val="23"/>
                <w:szCs w:val="23"/>
                <w:color w:val="auto"/>
              </w:rPr>
            </w:pPr>
          </w:p>
        </w:tc>
        <w:tc>
          <w:tcPr>
            <w:tcW w:w="780" w:type="dxa"/>
            <w:vAlign w:val="bottom"/>
            <w:tcBorders>
              <w:right w:val="single" w:sz="8" w:color="CCEEFF"/>
            </w:tcBorders>
            <w:gridSpan w:val="2"/>
            <w:shd w:val="clear" w:color="auto" w:fill="CCEEFF"/>
          </w:tcPr>
          <w:p>
            <w:pPr>
              <w:jc w:val="center"/>
              <w:ind w:right="40"/>
              <w:spacing w:after="0" w:line="266"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2/12/25</w:t>
            </w:r>
          </w:p>
        </w:tc>
        <w:tc>
          <w:tcPr>
            <w:tcW w:w="40" w:type="dxa"/>
            <w:vAlign w:val="bottom"/>
            <w:shd w:val="clear" w:color="auto" w:fill="CCEEFF"/>
          </w:tcPr>
          <w:p>
            <w:pPr>
              <w:jc w:val="right"/>
              <w:ind w:right="15"/>
              <w:spacing w:after="0"/>
              <w:rPr>
                <w:sz w:val="20"/>
                <w:szCs w:val="20"/>
                <w:color w:val="auto"/>
              </w:rPr>
            </w:pPr>
            <w:r>
              <w:rPr>
                <w:rFonts w:ascii="Arial" w:cs="Arial" w:eastAsia="Arial" w:hAnsi="Arial"/>
                <w:sz w:val="1"/>
                <w:szCs w:val="1"/>
                <w:color w:val="auto"/>
                <w:w w:val="4294942296"/>
              </w:rPr>
              <w:t>​</w:t>
            </w:r>
          </w:p>
        </w:tc>
        <w:tc>
          <w:tcPr>
            <w:tcW w:w="1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62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 ​</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gridSpan w:val="4"/>
            <w:shd w:val="clear" w:color="auto" w:fill="CCEEFF"/>
          </w:tcPr>
          <w:p>
            <w:pPr>
              <w:jc w:val="right"/>
              <w:spacing w:after="0" w:line="266"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w:t>
            </w:r>
          </w:p>
        </w:tc>
        <w:tc>
          <w:tcPr>
            <w:tcW w:w="680" w:type="dxa"/>
            <w:vAlign w:val="bottom"/>
            <w:tcBorders>
              <w:right w:val="single" w:sz="8" w:color="CCEEFF"/>
            </w:tcBorders>
            <w:gridSpan w:val="2"/>
            <w:shd w:val="clear" w:color="auto" w:fill="CCEEFF"/>
          </w:tcPr>
          <w:p>
            <w:pPr>
              <w:jc w:val="right"/>
              <w:ind w:right="88"/>
              <w:spacing w:after="0" w:line="266"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7,658</w:t>
            </w:r>
          </w:p>
        </w:tc>
        <w:tc>
          <w:tcPr>
            <w:tcW w:w="620" w:type="dxa"/>
            <w:vAlign w:val="bottom"/>
            <w:gridSpan w:val="4"/>
            <w:shd w:val="clear" w:color="auto" w:fill="CCEEFF"/>
          </w:tcPr>
          <w:p>
            <w:pPr>
              <w:jc w:val="right"/>
              <w:spacing w:after="0" w:line="266"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15,316 </w:t>
            </w:r>
            <w:r>
              <w:rPr>
                <w:rFonts w:ascii="Arial" w:cs="Arial" w:eastAsia="Arial" w:hAnsi="Arial"/>
                <w:sz w:val="28"/>
                <w:szCs w:val="28"/>
                <w:color w:val="auto"/>
                <w:vertAlign w:val="superscript"/>
              </w:rPr>
              <w:t>​​</w:t>
            </w:r>
          </w:p>
        </w:tc>
        <w:tc>
          <w:tcPr>
            <w:tcW w:w="700" w:type="dxa"/>
            <w:vAlign w:val="bottom"/>
            <w:tcBorders>
              <w:left w:val="single" w:sz="8" w:color="CCEEFF"/>
              <w:right w:val="single" w:sz="8" w:color="CCEEFF"/>
            </w:tcBorders>
            <w:gridSpan w:val="2"/>
            <w:shd w:val="clear" w:color="auto" w:fill="CCEEFF"/>
          </w:tcPr>
          <w:p>
            <w:pPr>
              <w:jc w:val="right"/>
              <w:ind w:right="48"/>
              <w:spacing w:after="0" w:line="266"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22,974</w:t>
            </w: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320" w:type="dxa"/>
            <w:vAlign w:val="bottom"/>
            <w:tcBorders>
              <w:left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316,735</w:t>
            </w:r>
          </w:p>
        </w:tc>
        <w:tc>
          <w:tcPr>
            <w:tcW w:w="0" w:type="dxa"/>
            <w:vAlign w:val="bottom"/>
          </w:tcPr>
          <w:p>
            <w:pPr>
              <w:spacing w:after="0"/>
              <w:rPr>
                <w:sz w:val="1"/>
                <w:szCs w:val="1"/>
                <w:color w:val="auto"/>
              </w:rPr>
            </w:pPr>
          </w:p>
        </w:tc>
      </w:tr>
      <w:tr>
        <w:trPr>
          <w:trHeight w:val="207"/>
        </w:trPr>
        <w:tc>
          <w:tcPr>
            <w:tcW w:w="1600" w:type="dxa"/>
            <w:vAlign w:val="bottom"/>
          </w:tcPr>
          <w:p>
            <w:pPr>
              <w:spacing w:after="0"/>
              <w:rPr>
                <w:sz w:val="20"/>
                <w:szCs w:val="20"/>
                <w:color w:val="auto"/>
              </w:rPr>
            </w:pPr>
            <w:r>
              <w:rPr>
                <w:rFonts w:ascii="Arial" w:cs="Arial" w:eastAsia="Arial" w:hAnsi="Arial"/>
                <w:sz w:val="14"/>
                <w:szCs w:val="14"/>
                <w:color w:val="auto"/>
              </w:rPr>
              <w:t>Daniel E. Smith</w:t>
            </w:r>
          </w:p>
        </w:tc>
        <w:tc>
          <w:tcPr>
            <w:tcW w:w="780" w:type="dxa"/>
            <w:vAlign w:val="bottom"/>
            <w:gridSpan w:val="2"/>
          </w:tcPr>
          <w:p>
            <w:pPr>
              <w:jc w:val="center"/>
              <w:ind w:right="40"/>
              <w:spacing w:after="0" w:line="207"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2/12/25</w:t>
            </w:r>
          </w:p>
        </w:tc>
        <w:tc>
          <w:tcPr>
            <w:tcW w:w="40" w:type="dxa"/>
            <w:vAlign w:val="bottom"/>
          </w:tcPr>
          <w:p>
            <w:pPr>
              <w:jc w:val="right"/>
              <w:ind w:right="15"/>
              <w:spacing w:after="0"/>
              <w:rPr>
                <w:sz w:val="20"/>
                <w:szCs w:val="20"/>
                <w:color w:val="auto"/>
              </w:rPr>
            </w:pPr>
            <w:r>
              <w:rPr>
                <w:rFonts w:ascii="Arial" w:cs="Arial" w:eastAsia="Arial" w:hAnsi="Arial"/>
                <w:sz w:val="1"/>
                <w:szCs w:val="1"/>
                <w:color w:val="auto"/>
                <w:w w:val="4294942296"/>
              </w:rPr>
              <w:t>​</w:t>
            </w:r>
          </w:p>
        </w:tc>
        <w:tc>
          <w:tcPr>
            <w:tcW w:w="760" w:type="dxa"/>
            <w:vAlign w:val="bottom"/>
            <w:gridSpan w:val="2"/>
          </w:tcPr>
          <w:p>
            <w:pPr>
              <w:jc w:val="right"/>
              <w:ind w:right="49"/>
              <w:spacing w:after="0" w:line="207"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125,625</w:t>
            </w:r>
          </w:p>
        </w:tc>
        <w:tc>
          <w:tcPr>
            <w:tcW w:w="640" w:type="dxa"/>
            <w:vAlign w:val="bottom"/>
            <w:gridSpan w:val="3"/>
          </w:tcPr>
          <w:p>
            <w:pPr>
              <w:jc w:val="right"/>
              <w:spacing w:after="0" w:line="207" w:lineRule="exact"/>
              <w:rPr>
                <w:sz w:val="20"/>
                <w:szCs w:val="20"/>
                <w:color w:val="auto"/>
              </w:rPr>
            </w:pPr>
            <w:r>
              <w:rPr>
                <w:rFonts w:ascii="Arial" w:cs="Arial" w:eastAsia="Arial" w:hAnsi="Arial"/>
                <w:sz w:val="23"/>
                <w:szCs w:val="23"/>
                <w:color w:val="auto"/>
                <w:vertAlign w:val="superscript"/>
              </w:rPr>
              <w:t>​ ​</w:t>
            </w:r>
            <w:r>
              <w:rPr>
                <w:rFonts w:ascii="Arial" w:cs="Arial" w:eastAsia="Arial" w:hAnsi="Arial"/>
                <w:sz w:val="13"/>
                <w:szCs w:val="13"/>
                <w:color w:val="auto"/>
              </w:rPr>
              <w:t>251,250</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700" w:type="dxa"/>
            <w:vAlign w:val="bottom"/>
            <w:gridSpan w:val="4"/>
          </w:tcPr>
          <w:p>
            <w:pPr>
              <w:jc w:val="right"/>
              <w:spacing w:after="0" w:line="207" w:lineRule="exact"/>
              <w:rPr>
                <w:sz w:val="20"/>
                <w:szCs w:val="20"/>
                <w:color w:val="auto"/>
              </w:rPr>
            </w:pPr>
            <w:r>
              <w:rPr>
                <w:rFonts w:ascii="Arial" w:cs="Arial" w:eastAsia="Arial" w:hAnsi="Arial"/>
                <w:sz w:val="13"/>
                <w:szCs w:val="13"/>
                <w:color w:val="auto"/>
              </w:rPr>
              <w:t xml:space="preserve">502,500 </w:t>
            </w:r>
            <w:r>
              <w:rPr>
                <w:rFonts w:ascii="Arial" w:cs="Arial" w:eastAsia="Arial" w:hAnsi="Arial"/>
                <w:sz w:val="23"/>
                <w:szCs w:val="23"/>
                <w:color w:val="auto"/>
                <w:vertAlign w:val="superscript"/>
              </w:rPr>
              <w:t>​​</w:t>
            </w:r>
          </w:p>
        </w:tc>
        <w:tc>
          <w:tcPr>
            <w:tcW w:w="140" w:type="dxa"/>
            <w:vAlign w:val="bottom"/>
          </w:tcPr>
          <w:p>
            <w:pPr>
              <w:ind w:left="60"/>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400" w:type="dxa"/>
            <w:vAlign w:val="bottom"/>
            <w:gridSpan w:val="2"/>
          </w:tcPr>
          <w:p>
            <w:pPr>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spacing w:after="0" w:line="207"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3"/>
                <w:szCs w:val="13"/>
                <w:color w:val="auto"/>
              </w:rPr>
              <w:t xml:space="preserve"> ​​</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r>
              <w:rPr>
                <w:rFonts w:ascii="Arial" w:cs="Arial" w:eastAsia="Arial" w:hAnsi="Arial"/>
                <w:sz w:val="14"/>
                <w:szCs w:val="14"/>
                <w:color w:val="auto"/>
              </w:rPr>
              <w:t>​​​</w:t>
            </w:r>
          </w:p>
        </w:tc>
        <w:tc>
          <w:tcPr>
            <w:tcW w:w="320" w:type="dxa"/>
            <w:vAlign w:val="bottom"/>
          </w:tcPr>
          <w:p>
            <w:pPr>
              <w:ind w:left="140"/>
              <w:spacing w:after="0"/>
              <w:rPr>
                <w:sz w:val="20"/>
                <w:szCs w:val="20"/>
                <w:color w:val="auto"/>
              </w:rPr>
            </w:pPr>
            <w:r>
              <w:rPr>
                <w:rFonts w:ascii="Arial" w:cs="Arial" w:eastAsia="Arial" w:hAnsi="Arial"/>
                <w:sz w:val="14"/>
                <w:szCs w:val="14"/>
                <w:color w:val="auto"/>
              </w:rPr>
              <w:t>​</w:t>
            </w:r>
          </w:p>
        </w:tc>
        <w:tc>
          <w:tcPr>
            <w:tcW w:w="4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jc w:val="center"/>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1600" w:type="dxa"/>
            <w:vAlign w:val="bottom"/>
          </w:tcPr>
          <w:p>
            <w:pPr>
              <w:spacing w:after="0"/>
              <w:rPr>
                <w:sz w:val="21"/>
                <w:szCs w:val="21"/>
                <w:color w:val="auto"/>
              </w:rPr>
            </w:pPr>
          </w:p>
        </w:tc>
        <w:tc>
          <w:tcPr>
            <w:tcW w:w="780" w:type="dxa"/>
            <w:vAlign w:val="bottom"/>
            <w:gridSpan w:val="2"/>
          </w:tcPr>
          <w:p>
            <w:pPr>
              <w:jc w:val="center"/>
              <w:ind w:right="40"/>
              <w:spacing w:after="0" w:line="24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2/12/25</w:t>
            </w:r>
          </w:p>
        </w:tc>
        <w:tc>
          <w:tcPr>
            <w:tcW w:w="40" w:type="dxa"/>
            <w:vAlign w:val="bottom"/>
          </w:tcPr>
          <w:p>
            <w:pPr>
              <w:jc w:val="right"/>
              <w:ind w:right="15"/>
              <w:spacing w:after="0"/>
              <w:rPr>
                <w:sz w:val="20"/>
                <w:szCs w:val="20"/>
                <w:color w:val="auto"/>
              </w:rPr>
            </w:pPr>
            <w:r>
              <w:rPr>
                <w:rFonts w:ascii="Arial" w:cs="Arial" w:eastAsia="Arial" w:hAnsi="Arial"/>
                <w:sz w:val="1"/>
                <w:szCs w:val="1"/>
                <w:color w:val="auto"/>
                <w:w w:val="4294942296"/>
              </w:rPr>
              <w:t>​</w:t>
            </w:r>
          </w:p>
        </w:tc>
        <w:tc>
          <w:tcPr>
            <w:tcW w:w="140" w:type="dxa"/>
            <w:vAlign w:val="bottom"/>
          </w:tcPr>
          <w:p>
            <w:pPr>
              <w:ind w:left="10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60" w:type="dxa"/>
            <w:vAlign w:val="bottom"/>
            <w:gridSpan w:val="2"/>
          </w:tcPr>
          <w:p>
            <w:pPr>
              <w:spacing w:after="0"/>
              <w:rPr>
                <w:sz w:val="20"/>
                <w:szCs w:val="20"/>
                <w:color w:val="auto"/>
              </w:rPr>
            </w:pPr>
            <w:r>
              <w:rPr>
                <w:rFonts w:ascii="Arial" w:cs="Arial" w:eastAsia="Arial" w:hAnsi="Arial"/>
                <w:sz w:val="14"/>
                <w:szCs w:val="14"/>
                <w:color w:val="auto"/>
              </w:rPr>
              <w:t>​ ​</w:t>
            </w: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700" w:type="dxa"/>
            <w:vAlign w:val="bottom"/>
            <w:gridSpan w:val="4"/>
          </w:tcPr>
          <w:p>
            <w:pPr>
              <w:jc w:val="right"/>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w:t>
            </w:r>
          </w:p>
        </w:tc>
        <w:tc>
          <w:tcPr>
            <w:tcW w:w="140" w:type="dxa"/>
            <w:vAlign w:val="bottom"/>
          </w:tcPr>
          <w:p>
            <w:pPr>
              <w:ind w:left="60"/>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400" w:type="dxa"/>
            <w:vAlign w:val="bottom"/>
            <w:gridSpan w:val="2"/>
          </w:tcPr>
          <w:p>
            <w:pPr>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spacing w:after="0" w:line="243" w:lineRule="exact"/>
              <w:rPr>
                <w:sz w:val="20"/>
                <w:szCs w:val="20"/>
                <w:color w:val="auto"/>
              </w:rPr>
            </w:pPr>
            <w:r>
              <w:rPr>
                <w:rFonts w:ascii="Arial" w:cs="Arial" w:eastAsia="Arial" w:hAnsi="Arial"/>
                <w:sz w:val="28"/>
                <w:szCs w:val="28"/>
                <w:color w:val="auto"/>
                <w:w w:val="97"/>
                <w:vertAlign w:val="subscript"/>
              </w:rPr>
              <w:t>—</w:t>
            </w:r>
            <w:r>
              <w:rPr>
                <w:rFonts w:ascii="Arial" w:cs="Arial" w:eastAsia="Arial" w:hAnsi="Arial"/>
                <w:sz w:val="14"/>
                <w:szCs w:val="14"/>
                <w:color w:val="auto"/>
                <w:w w:val="97"/>
              </w:rPr>
              <w:t xml:space="preserve"> ​​</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48"/>
              <w:spacing w:after="0" w:line="24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10,366</w:t>
            </w:r>
          </w:p>
        </w:tc>
        <w:tc>
          <w:tcPr>
            <w:tcW w:w="140" w:type="dxa"/>
            <w:vAlign w:val="bottom"/>
          </w:tcPr>
          <w:p>
            <w:pPr>
              <w:jc w:val="center"/>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211,363</w:t>
            </w:r>
          </w:p>
        </w:tc>
        <w:tc>
          <w:tcPr>
            <w:tcW w:w="0" w:type="dxa"/>
            <w:vAlign w:val="bottom"/>
          </w:tcPr>
          <w:p>
            <w:pPr>
              <w:spacing w:after="0"/>
              <w:rPr>
                <w:sz w:val="1"/>
                <w:szCs w:val="1"/>
                <w:color w:val="auto"/>
              </w:rPr>
            </w:pPr>
          </w:p>
        </w:tc>
      </w:tr>
      <w:tr>
        <w:trPr>
          <w:trHeight w:val="266"/>
        </w:trPr>
        <w:tc>
          <w:tcPr>
            <w:tcW w:w="1600" w:type="dxa"/>
            <w:vAlign w:val="bottom"/>
          </w:tcPr>
          <w:p>
            <w:pPr>
              <w:spacing w:after="0"/>
              <w:rPr>
                <w:sz w:val="23"/>
                <w:szCs w:val="23"/>
                <w:color w:val="auto"/>
              </w:rPr>
            </w:pPr>
          </w:p>
        </w:tc>
        <w:tc>
          <w:tcPr>
            <w:tcW w:w="780" w:type="dxa"/>
            <w:vAlign w:val="bottom"/>
            <w:gridSpan w:val="2"/>
          </w:tcPr>
          <w:p>
            <w:pPr>
              <w:jc w:val="center"/>
              <w:ind w:right="40"/>
              <w:spacing w:after="0" w:line="266"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2/12/25</w:t>
            </w:r>
          </w:p>
        </w:tc>
        <w:tc>
          <w:tcPr>
            <w:tcW w:w="40" w:type="dxa"/>
            <w:vAlign w:val="bottom"/>
          </w:tcPr>
          <w:p>
            <w:pPr>
              <w:jc w:val="right"/>
              <w:ind w:right="15"/>
              <w:spacing w:after="0"/>
              <w:rPr>
                <w:sz w:val="20"/>
                <w:szCs w:val="20"/>
                <w:color w:val="auto"/>
              </w:rPr>
            </w:pPr>
            <w:r>
              <w:rPr>
                <w:rFonts w:ascii="Arial" w:cs="Arial" w:eastAsia="Arial" w:hAnsi="Arial"/>
                <w:sz w:val="1"/>
                <w:szCs w:val="1"/>
                <w:color w:val="auto"/>
                <w:w w:val="4294942296"/>
              </w:rPr>
              <w:t>​</w:t>
            </w:r>
          </w:p>
        </w:tc>
        <w:tc>
          <w:tcPr>
            <w:tcW w:w="140" w:type="dxa"/>
            <w:vAlign w:val="bottom"/>
          </w:tcPr>
          <w:p>
            <w:pPr>
              <w:ind w:left="10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60" w:type="dxa"/>
            <w:vAlign w:val="bottom"/>
            <w:gridSpan w:val="2"/>
          </w:tcPr>
          <w:p>
            <w:pPr>
              <w:spacing w:after="0"/>
              <w:rPr>
                <w:sz w:val="20"/>
                <w:szCs w:val="20"/>
                <w:color w:val="auto"/>
              </w:rPr>
            </w:pPr>
            <w:r>
              <w:rPr>
                <w:rFonts w:ascii="Arial" w:cs="Arial" w:eastAsia="Arial" w:hAnsi="Arial"/>
                <w:sz w:val="14"/>
                <w:szCs w:val="14"/>
                <w:color w:val="auto"/>
              </w:rPr>
              <w:t>​ ​</w:t>
            </w: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700" w:type="dxa"/>
            <w:vAlign w:val="bottom"/>
            <w:gridSpan w:val="4"/>
          </w:tcPr>
          <w:p>
            <w:pPr>
              <w:jc w:val="right"/>
              <w:spacing w:after="0" w:line="266"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w:t>
            </w:r>
          </w:p>
        </w:tc>
        <w:tc>
          <w:tcPr>
            <w:tcW w:w="680" w:type="dxa"/>
            <w:vAlign w:val="bottom"/>
            <w:gridSpan w:val="2"/>
          </w:tcPr>
          <w:p>
            <w:pPr>
              <w:jc w:val="right"/>
              <w:ind w:right="88"/>
              <w:spacing w:after="0" w:line="266"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6,182</w:t>
            </w:r>
          </w:p>
        </w:tc>
        <w:tc>
          <w:tcPr>
            <w:tcW w:w="620" w:type="dxa"/>
            <w:vAlign w:val="bottom"/>
            <w:gridSpan w:val="4"/>
          </w:tcPr>
          <w:p>
            <w:pPr>
              <w:jc w:val="right"/>
              <w:spacing w:after="0" w:line="266" w:lineRule="exact"/>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bscript"/>
              </w:rPr>
              <w:t>12,363</w:t>
            </w:r>
            <w:r>
              <w:rPr>
                <w:rFonts w:ascii="Arial" w:cs="Arial" w:eastAsia="Arial" w:hAnsi="Arial"/>
                <w:sz w:val="14"/>
                <w:szCs w:val="14"/>
                <w:color w:val="auto"/>
              </w:rPr>
              <w:t xml:space="preserve"> ​​</w:t>
            </w:r>
          </w:p>
        </w:tc>
        <w:tc>
          <w:tcPr>
            <w:tcW w:w="700" w:type="dxa"/>
            <w:vAlign w:val="bottom"/>
            <w:gridSpan w:val="2"/>
          </w:tcPr>
          <w:p>
            <w:pPr>
              <w:jc w:val="right"/>
              <w:ind w:right="48"/>
              <w:spacing w:after="0" w:line="266"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18,545</w:t>
            </w:r>
          </w:p>
        </w:tc>
        <w:tc>
          <w:tcPr>
            <w:tcW w:w="80" w:type="dxa"/>
            <w:vAlign w:val="bottom"/>
          </w:tcPr>
          <w:p>
            <w:pPr>
              <w:spacing w:after="0"/>
              <w:rPr>
                <w:sz w:val="20"/>
                <w:szCs w:val="20"/>
                <w:color w:val="auto"/>
              </w:rPr>
            </w:pPr>
            <w:r>
              <w:rPr>
                <w:rFonts w:ascii="Arial" w:cs="Arial" w:eastAsia="Arial" w:hAnsi="Arial"/>
                <w:sz w:val="14"/>
                <w:szCs w:val="14"/>
                <w:color w:val="auto"/>
              </w:rPr>
              <w:t>​​​</w:t>
            </w:r>
          </w:p>
        </w:tc>
        <w:tc>
          <w:tcPr>
            <w:tcW w:w="320" w:type="dxa"/>
            <w:vAlign w:val="bottom"/>
          </w:tcPr>
          <w:p>
            <w:pPr>
              <w:ind w:left="140"/>
              <w:spacing w:after="0"/>
              <w:rPr>
                <w:sz w:val="20"/>
                <w:szCs w:val="20"/>
                <w:color w:val="auto"/>
              </w:rPr>
            </w:pPr>
            <w:r>
              <w:rPr>
                <w:rFonts w:ascii="Arial" w:cs="Arial" w:eastAsia="Arial" w:hAnsi="Arial"/>
                <w:sz w:val="14"/>
                <w:szCs w:val="14"/>
                <w:color w:val="auto"/>
              </w:rPr>
              <w:t>​</w:t>
            </w:r>
          </w:p>
        </w:tc>
        <w:tc>
          <w:tcPr>
            <w:tcW w:w="4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jc w:val="center"/>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255,667</w:t>
            </w:r>
          </w:p>
        </w:tc>
        <w:tc>
          <w:tcPr>
            <w:tcW w:w="0" w:type="dxa"/>
            <w:vAlign w:val="bottom"/>
          </w:tcPr>
          <w:p>
            <w:pPr>
              <w:spacing w:after="0"/>
              <w:rPr>
                <w:sz w:val="1"/>
                <w:szCs w:val="1"/>
                <w:color w:val="auto"/>
              </w:rPr>
            </w:pPr>
          </w:p>
        </w:tc>
      </w:tr>
      <w:tr>
        <w:trPr>
          <w:trHeight w:val="207"/>
        </w:trPr>
        <w:tc>
          <w:tcPr>
            <w:tcW w:w="16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Lisa M. Vorakoun</w:t>
            </w:r>
          </w:p>
        </w:tc>
        <w:tc>
          <w:tcPr>
            <w:tcW w:w="780" w:type="dxa"/>
            <w:vAlign w:val="bottom"/>
            <w:tcBorders>
              <w:right w:val="single" w:sz="8" w:color="CCEEFF"/>
            </w:tcBorders>
            <w:gridSpan w:val="2"/>
            <w:shd w:val="clear" w:color="auto" w:fill="CCEEFF"/>
          </w:tcPr>
          <w:p>
            <w:pPr>
              <w:jc w:val="center"/>
              <w:ind w:right="40"/>
              <w:spacing w:after="0" w:line="207"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2/12/25</w:t>
            </w:r>
          </w:p>
        </w:tc>
        <w:tc>
          <w:tcPr>
            <w:tcW w:w="40" w:type="dxa"/>
            <w:vAlign w:val="bottom"/>
            <w:shd w:val="clear" w:color="auto" w:fill="CCEEFF"/>
          </w:tcPr>
          <w:p>
            <w:pPr>
              <w:jc w:val="right"/>
              <w:ind w:right="15"/>
              <w:spacing w:after="0"/>
              <w:rPr>
                <w:sz w:val="20"/>
                <w:szCs w:val="20"/>
                <w:color w:val="auto"/>
              </w:rPr>
            </w:pPr>
            <w:r>
              <w:rPr>
                <w:rFonts w:ascii="Arial" w:cs="Arial" w:eastAsia="Arial" w:hAnsi="Arial"/>
                <w:sz w:val="1"/>
                <w:szCs w:val="1"/>
                <w:color w:val="auto"/>
                <w:w w:val="4294942296"/>
              </w:rPr>
              <w:t>​</w:t>
            </w:r>
          </w:p>
        </w:tc>
        <w:tc>
          <w:tcPr>
            <w:tcW w:w="760" w:type="dxa"/>
            <w:vAlign w:val="bottom"/>
            <w:tcBorders>
              <w:right w:val="single" w:sz="8" w:color="CCEEFF"/>
            </w:tcBorders>
            <w:gridSpan w:val="2"/>
            <w:shd w:val="clear" w:color="auto" w:fill="CCEEFF"/>
          </w:tcPr>
          <w:p>
            <w:pPr>
              <w:jc w:val="right"/>
              <w:ind w:right="49"/>
              <w:spacing w:after="0" w:line="207"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112,500</w:t>
            </w:r>
          </w:p>
        </w:tc>
        <w:tc>
          <w:tcPr>
            <w:tcW w:w="640" w:type="dxa"/>
            <w:vAlign w:val="bottom"/>
            <w:tcBorders>
              <w:right w:val="single" w:sz="8" w:color="CCEEFF"/>
            </w:tcBorders>
            <w:gridSpan w:val="3"/>
            <w:shd w:val="clear" w:color="auto" w:fill="CCEEFF"/>
          </w:tcPr>
          <w:p>
            <w:pPr>
              <w:jc w:val="right"/>
              <w:spacing w:after="0" w:line="207" w:lineRule="exact"/>
              <w:rPr>
                <w:sz w:val="20"/>
                <w:szCs w:val="20"/>
                <w:color w:val="auto"/>
              </w:rPr>
            </w:pPr>
            <w:r>
              <w:rPr>
                <w:rFonts w:ascii="Arial" w:cs="Arial" w:eastAsia="Arial" w:hAnsi="Arial"/>
                <w:sz w:val="23"/>
                <w:szCs w:val="23"/>
                <w:color w:val="auto"/>
                <w:vertAlign w:val="superscript"/>
              </w:rPr>
              <w:t>​ ​</w:t>
            </w:r>
            <w:r>
              <w:rPr>
                <w:rFonts w:ascii="Arial" w:cs="Arial" w:eastAsia="Arial" w:hAnsi="Arial"/>
                <w:sz w:val="13"/>
                <w:szCs w:val="13"/>
                <w:color w:val="auto"/>
              </w:rPr>
              <w:t>225,000</w:t>
            </w: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gridSpan w:val="4"/>
            <w:shd w:val="clear" w:color="auto" w:fill="CCEEFF"/>
          </w:tcPr>
          <w:p>
            <w:pPr>
              <w:jc w:val="right"/>
              <w:spacing w:after="0" w:line="207" w:lineRule="exact"/>
              <w:rPr>
                <w:sz w:val="20"/>
                <w:szCs w:val="20"/>
                <w:color w:val="auto"/>
              </w:rPr>
            </w:pPr>
            <w:r>
              <w:rPr>
                <w:rFonts w:ascii="Arial" w:cs="Arial" w:eastAsia="Arial" w:hAnsi="Arial"/>
                <w:sz w:val="13"/>
                <w:szCs w:val="13"/>
                <w:color w:val="auto"/>
              </w:rPr>
              <w:t xml:space="preserve">450,000 </w:t>
            </w:r>
            <w:r>
              <w:rPr>
                <w:rFonts w:ascii="Arial" w:cs="Arial" w:eastAsia="Arial" w:hAnsi="Arial"/>
                <w:sz w:val="23"/>
                <w:szCs w:val="23"/>
                <w:color w:val="auto"/>
                <w:vertAlign w:val="superscript"/>
              </w:rPr>
              <w:t>​​</w:t>
            </w:r>
          </w:p>
        </w:tc>
        <w:tc>
          <w:tcPr>
            <w:tcW w:w="140" w:type="dxa"/>
            <w:vAlign w:val="bottom"/>
            <w:shd w:val="clear" w:color="auto" w:fill="CCEEFF"/>
          </w:tcPr>
          <w:p>
            <w:pPr>
              <w:ind w:left="60"/>
              <w:spacing w:after="0"/>
              <w:rPr>
                <w:sz w:val="20"/>
                <w:szCs w:val="20"/>
                <w:color w:val="auto"/>
              </w:rPr>
            </w:pPr>
            <w:r>
              <w:rPr>
                <w:rFonts w:ascii="Arial" w:cs="Arial" w:eastAsia="Arial" w:hAnsi="Arial"/>
                <w:sz w:val="14"/>
                <w:szCs w:val="14"/>
                <w:color w:val="auto"/>
              </w:rPr>
              <w:t>​</w:t>
            </w:r>
          </w:p>
        </w:tc>
        <w:tc>
          <w:tcPr>
            <w:tcW w:w="540" w:type="dxa"/>
            <w:vAlign w:val="bottom"/>
            <w:tcBorders>
              <w:right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spacing w:after="0" w:line="207"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3"/>
                <w:szCs w:val="13"/>
                <w:color w:val="auto"/>
              </w:rPr>
              <w:t xml:space="preserve"> ​​</w:t>
            </w:r>
          </w:p>
        </w:tc>
        <w:tc>
          <w:tcPr>
            <w:tcW w:w="22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right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320" w:type="dxa"/>
            <w:vAlign w:val="bottom"/>
            <w:tcBorders>
              <w:left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1600" w:type="dxa"/>
            <w:vAlign w:val="bottom"/>
            <w:tcBorders>
              <w:right w:val="single" w:sz="8" w:color="CCEEFF"/>
            </w:tcBorders>
            <w:shd w:val="clear" w:color="auto" w:fill="CCEEFF"/>
          </w:tcPr>
          <w:p>
            <w:pPr>
              <w:spacing w:after="0"/>
              <w:rPr>
                <w:sz w:val="21"/>
                <w:szCs w:val="21"/>
                <w:color w:val="auto"/>
              </w:rPr>
            </w:pPr>
          </w:p>
        </w:tc>
        <w:tc>
          <w:tcPr>
            <w:tcW w:w="780" w:type="dxa"/>
            <w:vAlign w:val="bottom"/>
            <w:tcBorders>
              <w:right w:val="single" w:sz="8" w:color="CCEEFF"/>
            </w:tcBorders>
            <w:gridSpan w:val="2"/>
            <w:shd w:val="clear" w:color="auto" w:fill="CCEEFF"/>
          </w:tcPr>
          <w:p>
            <w:pPr>
              <w:jc w:val="center"/>
              <w:ind w:right="40"/>
              <w:spacing w:after="0" w:line="24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2/12/25</w:t>
            </w:r>
          </w:p>
        </w:tc>
        <w:tc>
          <w:tcPr>
            <w:tcW w:w="40" w:type="dxa"/>
            <w:vAlign w:val="bottom"/>
            <w:shd w:val="clear" w:color="auto" w:fill="CCEEFF"/>
          </w:tcPr>
          <w:p>
            <w:pPr>
              <w:jc w:val="right"/>
              <w:ind w:right="15"/>
              <w:spacing w:after="0"/>
              <w:rPr>
                <w:sz w:val="20"/>
                <w:szCs w:val="20"/>
                <w:color w:val="auto"/>
              </w:rPr>
            </w:pPr>
            <w:r>
              <w:rPr>
                <w:rFonts w:ascii="Arial" w:cs="Arial" w:eastAsia="Arial" w:hAnsi="Arial"/>
                <w:sz w:val="1"/>
                <w:szCs w:val="1"/>
                <w:color w:val="auto"/>
                <w:w w:val="4294942296"/>
              </w:rPr>
              <w:t>​</w:t>
            </w:r>
          </w:p>
        </w:tc>
        <w:tc>
          <w:tcPr>
            <w:tcW w:w="1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62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 ​</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gridSpan w:val="4"/>
            <w:shd w:val="clear" w:color="auto" w:fill="CCEEFF"/>
          </w:tcPr>
          <w:p>
            <w:pPr>
              <w:jc w:val="right"/>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w:t>
            </w:r>
          </w:p>
        </w:tc>
        <w:tc>
          <w:tcPr>
            <w:tcW w:w="140" w:type="dxa"/>
            <w:vAlign w:val="bottom"/>
            <w:shd w:val="clear" w:color="auto" w:fill="CCEEFF"/>
          </w:tcPr>
          <w:p>
            <w:pPr>
              <w:ind w:left="60"/>
              <w:spacing w:after="0"/>
              <w:rPr>
                <w:sz w:val="20"/>
                <w:szCs w:val="20"/>
                <w:color w:val="auto"/>
              </w:rPr>
            </w:pPr>
            <w:r>
              <w:rPr>
                <w:rFonts w:ascii="Arial" w:cs="Arial" w:eastAsia="Arial" w:hAnsi="Arial"/>
                <w:sz w:val="14"/>
                <w:szCs w:val="14"/>
                <w:color w:val="auto"/>
              </w:rPr>
              <w:t>​</w:t>
            </w:r>
          </w:p>
        </w:tc>
        <w:tc>
          <w:tcPr>
            <w:tcW w:w="540" w:type="dxa"/>
            <w:vAlign w:val="bottom"/>
            <w:tcBorders>
              <w:right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spacing w:after="0" w:line="243" w:lineRule="exact"/>
              <w:rPr>
                <w:sz w:val="20"/>
                <w:szCs w:val="20"/>
                <w:color w:val="auto"/>
              </w:rPr>
            </w:pPr>
            <w:r>
              <w:rPr>
                <w:rFonts w:ascii="Arial" w:cs="Arial" w:eastAsia="Arial" w:hAnsi="Arial"/>
                <w:sz w:val="28"/>
                <w:szCs w:val="28"/>
                <w:color w:val="auto"/>
                <w:w w:val="97"/>
                <w:vertAlign w:val="subscript"/>
              </w:rPr>
              <w:t>—</w:t>
            </w:r>
            <w:r>
              <w:rPr>
                <w:rFonts w:ascii="Arial" w:cs="Arial" w:eastAsia="Arial" w:hAnsi="Arial"/>
                <w:sz w:val="14"/>
                <w:szCs w:val="14"/>
                <w:color w:val="auto"/>
                <w:w w:val="97"/>
              </w:rPr>
              <w:t xml:space="preserve"> ​​</w:t>
            </w:r>
          </w:p>
        </w:tc>
        <w:tc>
          <w:tcPr>
            <w:tcW w:w="22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right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20" w:type="dxa"/>
            <w:vAlign w:val="bottom"/>
            <w:tcBorders>
              <w:left w:val="single" w:sz="8" w:color="CCEEFF"/>
            </w:tcBorders>
            <w:gridSpan w:val="2"/>
            <w:shd w:val="clear" w:color="auto" w:fill="CCEEFF"/>
          </w:tcPr>
          <w:p>
            <w:pPr>
              <w:jc w:val="right"/>
              <w:ind w:right="48"/>
              <w:spacing w:after="0" w:line="24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9,283</w:t>
            </w:r>
          </w:p>
        </w:tc>
        <w:tc>
          <w:tcPr>
            <w:tcW w:w="14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189,280</w:t>
            </w:r>
          </w:p>
        </w:tc>
        <w:tc>
          <w:tcPr>
            <w:tcW w:w="0" w:type="dxa"/>
            <w:vAlign w:val="bottom"/>
          </w:tcPr>
          <w:p>
            <w:pPr>
              <w:spacing w:after="0"/>
              <w:rPr>
                <w:sz w:val="1"/>
                <w:szCs w:val="1"/>
                <w:color w:val="auto"/>
              </w:rPr>
            </w:pPr>
          </w:p>
        </w:tc>
      </w:tr>
      <w:tr>
        <w:trPr>
          <w:trHeight w:val="333"/>
        </w:trPr>
        <w:tc>
          <w:tcPr>
            <w:tcW w:w="1600" w:type="dxa"/>
            <w:vAlign w:val="bottom"/>
            <w:tcBorders>
              <w:right w:val="single" w:sz="8" w:color="CCEEFF"/>
            </w:tcBorders>
            <w:shd w:val="clear" w:color="auto" w:fill="CCEEFF"/>
          </w:tcPr>
          <w:p>
            <w:pPr>
              <w:spacing w:after="0"/>
              <w:rPr>
                <w:sz w:val="24"/>
                <w:szCs w:val="24"/>
                <w:color w:val="auto"/>
              </w:rPr>
            </w:pPr>
          </w:p>
        </w:tc>
        <w:tc>
          <w:tcPr>
            <w:tcW w:w="780" w:type="dxa"/>
            <w:vAlign w:val="bottom"/>
            <w:tcBorders>
              <w:right w:val="single" w:sz="8" w:color="CCEEFF"/>
            </w:tcBorders>
            <w:gridSpan w:val="2"/>
            <w:shd w:val="clear" w:color="auto" w:fill="CCEEFF"/>
          </w:tcPr>
          <w:p>
            <w:pPr>
              <w:jc w:val="center"/>
              <w:ind w:right="40"/>
              <w:spacing w:after="0"/>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2/12/25</w:t>
            </w:r>
          </w:p>
        </w:tc>
        <w:tc>
          <w:tcPr>
            <w:tcW w:w="40" w:type="dxa"/>
            <w:vAlign w:val="bottom"/>
            <w:shd w:val="clear" w:color="auto" w:fill="CCEEFF"/>
          </w:tcPr>
          <w:p>
            <w:pPr>
              <w:jc w:val="right"/>
              <w:ind w:right="15"/>
              <w:spacing w:after="0"/>
              <w:rPr>
                <w:sz w:val="20"/>
                <w:szCs w:val="20"/>
                <w:color w:val="auto"/>
              </w:rPr>
            </w:pPr>
            <w:r>
              <w:rPr>
                <w:rFonts w:ascii="Arial" w:cs="Arial" w:eastAsia="Arial" w:hAnsi="Arial"/>
                <w:sz w:val="1"/>
                <w:szCs w:val="1"/>
                <w:color w:val="auto"/>
                <w:w w:val="4294942296"/>
              </w:rPr>
              <w:t>​</w:t>
            </w:r>
          </w:p>
        </w:tc>
        <w:tc>
          <w:tcPr>
            <w:tcW w:w="1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62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 ​</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w:t>
            </w:r>
          </w:p>
        </w:tc>
        <w:tc>
          <w:tcPr>
            <w:tcW w:w="680" w:type="dxa"/>
            <w:vAlign w:val="bottom"/>
            <w:tcBorders>
              <w:right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5,536</w:t>
            </w:r>
          </w:p>
        </w:tc>
        <w:tc>
          <w:tcPr>
            <w:tcW w:w="620" w:type="dxa"/>
            <w:vAlign w:val="bottom"/>
            <w:gridSpan w:val="4"/>
            <w:shd w:val="clear" w:color="auto" w:fill="CCEEFF"/>
          </w:tcPr>
          <w:p>
            <w:pPr>
              <w:jc w:val="right"/>
              <w:spacing w:after="0"/>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11,071 </w:t>
            </w:r>
            <w:r>
              <w:rPr>
                <w:rFonts w:ascii="Arial" w:cs="Arial" w:eastAsia="Arial" w:hAnsi="Arial"/>
                <w:sz w:val="28"/>
                <w:szCs w:val="28"/>
                <w:color w:val="auto"/>
                <w:vertAlign w:val="superscript"/>
              </w:rPr>
              <w:t>​​</w:t>
            </w:r>
          </w:p>
        </w:tc>
        <w:tc>
          <w:tcPr>
            <w:tcW w:w="700" w:type="dxa"/>
            <w:vAlign w:val="bottom"/>
            <w:tcBorders>
              <w:left w:val="single" w:sz="8" w:color="CCEEFF"/>
              <w:right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16,607</w:t>
            </w: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320" w:type="dxa"/>
            <w:vAlign w:val="bottom"/>
            <w:tcBorders>
              <w:left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228,948</w:t>
            </w:r>
          </w:p>
        </w:tc>
        <w:tc>
          <w:tcPr>
            <w:tcW w:w="0" w:type="dxa"/>
            <w:vAlign w:val="bottom"/>
          </w:tcPr>
          <w:p>
            <w:pPr>
              <w:spacing w:after="0"/>
              <w:rPr>
                <w:sz w:val="1"/>
                <w:szCs w:val="1"/>
                <w:color w:val="auto"/>
              </w:rPr>
            </w:pPr>
          </w:p>
        </w:tc>
      </w:tr>
      <w:tr>
        <w:trPr>
          <w:trHeight w:val="243"/>
        </w:trPr>
        <w:tc>
          <w:tcPr>
            <w:tcW w:w="16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4537710</wp:posOffset>
            </wp:positionH>
            <wp:positionV relativeFrom="paragraph">
              <wp:posOffset>-2485390</wp:posOffset>
            </wp:positionV>
            <wp:extent cx="5143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4185920</wp:posOffset>
            </wp:positionH>
            <wp:positionV relativeFrom="paragraph">
              <wp:posOffset>-2485390</wp:posOffset>
            </wp:positionV>
            <wp:extent cx="5143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3671570</wp:posOffset>
            </wp:positionH>
            <wp:positionV relativeFrom="paragraph">
              <wp:posOffset>-2485390</wp:posOffset>
            </wp:positionV>
            <wp:extent cx="431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3191510</wp:posOffset>
            </wp:positionH>
            <wp:positionV relativeFrom="paragraph">
              <wp:posOffset>-2485390</wp:posOffset>
            </wp:positionV>
            <wp:extent cx="3429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2814320</wp:posOffset>
            </wp:positionH>
            <wp:positionV relativeFrom="paragraph">
              <wp:posOffset>-2485390</wp:posOffset>
            </wp:positionV>
            <wp:extent cx="3429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5540375</wp:posOffset>
            </wp:positionH>
            <wp:positionV relativeFrom="paragraph">
              <wp:posOffset>-2485390</wp:posOffset>
            </wp:positionV>
            <wp:extent cx="5143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-2485390</wp:posOffset>
            </wp:positionV>
            <wp:extent cx="5143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2308860</wp:posOffset>
            </wp:positionH>
            <wp:positionV relativeFrom="paragraph">
              <wp:posOffset>-2485390</wp:posOffset>
            </wp:positionV>
            <wp:extent cx="3429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1777365</wp:posOffset>
            </wp:positionH>
            <wp:positionV relativeFrom="paragraph">
              <wp:posOffset>-2485390</wp:posOffset>
            </wp:positionV>
            <wp:extent cx="3429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19" w:lineRule="exact"/>
        <w:rPr>
          <w:sz w:val="20"/>
          <w:szCs w:val="20"/>
          <w:color w:val="auto"/>
        </w:rPr>
      </w:pPr>
    </w:p>
    <w:p>
      <w:pPr>
        <w:ind w:left="1620" w:right="419" w:hanging="360"/>
        <w:spacing w:after="0" w:line="305" w:lineRule="auto"/>
        <w:tabs>
          <w:tab w:leader="none" w:pos="16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amounts in these columns reflect the target, threshold, and maximum payouts of cash awards made pursuant to the Annual Incentive Plan.</w:t>
      </w:r>
    </w:p>
    <w:p>
      <w:pPr>
        <w:spacing w:after="0" w:line="22" w:lineRule="exact"/>
        <w:rPr>
          <w:rFonts w:ascii="Arial" w:cs="Arial" w:eastAsia="Arial" w:hAnsi="Arial"/>
          <w:sz w:val="14"/>
          <w:szCs w:val="14"/>
          <w:color w:val="auto"/>
        </w:rPr>
      </w:pPr>
    </w:p>
    <w:p>
      <w:pPr>
        <w:ind w:left="1620" w:right="419" w:hanging="360"/>
        <w:spacing w:after="0" w:line="305" w:lineRule="auto"/>
        <w:tabs>
          <w:tab w:leader="none" w:pos="16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amounts in these columns reflect the target, threshold, and maximum payouts of the performance share grants to Ms. Vorakoun and to Messrs. Albright, Greathouse, Mays and Smith made pursuant to the 2010 Plan.</w:t>
      </w:r>
    </w:p>
    <w:p>
      <w:pPr>
        <w:spacing w:after="0" w:line="22" w:lineRule="exact"/>
        <w:rPr>
          <w:rFonts w:ascii="Arial" w:cs="Arial" w:eastAsia="Arial" w:hAnsi="Arial"/>
          <w:sz w:val="14"/>
          <w:szCs w:val="14"/>
          <w:color w:val="auto"/>
        </w:rPr>
      </w:pPr>
    </w:p>
    <w:p>
      <w:pPr>
        <w:jc w:val="both"/>
        <w:ind w:left="1620" w:right="419" w:hanging="360"/>
        <w:spacing w:after="0" w:line="283" w:lineRule="auto"/>
        <w:tabs>
          <w:tab w:leader="none" w:pos="16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amounts in this column reflect restricted share grants to Ms. Vorakoun and to Messrs. Albright, Greathouse, Mays, and Smith made pursuant to the 2010 Plan. The closing price of the Company’s common stock on the grant date of the February 12, 2025 award was $20.39.</w:t>
      </w:r>
    </w:p>
    <w:p>
      <w:pPr>
        <w:spacing w:after="0" w:line="37" w:lineRule="exact"/>
        <w:rPr>
          <w:rFonts w:ascii="Arial" w:cs="Arial" w:eastAsia="Arial" w:hAnsi="Arial"/>
          <w:sz w:val="14"/>
          <w:szCs w:val="14"/>
          <w:color w:val="auto"/>
        </w:rPr>
      </w:pPr>
    </w:p>
    <w:p>
      <w:pPr>
        <w:jc w:val="both"/>
        <w:ind w:left="1620" w:right="419" w:hanging="360"/>
        <w:spacing w:after="0" w:line="280" w:lineRule="auto"/>
        <w:tabs>
          <w:tab w:leader="none" w:pos="16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values in the “Grant Date Fair Value” column reflect the grant date fair value of the performance share grants at target and restricted share grants to our NEOs during fiscal year 2025, and determined in accordance with FASB ASC 718, disregarding the estimate of forfeitures. Regarding assumptions underlying the valuation of these equity awards, please see Note 20 (Stock-Based Compensation) in the Notes to Consolidated Financial Statements included in our 2025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OUTSTANDING EQUITY AWARDS AT FISCAL YEAR END FOR 2025</w:t>
      </w:r>
    </w:p>
    <w:p>
      <w:pPr>
        <w:spacing w:after="0" w:line="158" w:lineRule="exact"/>
        <w:rPr>
          <w:sz w:val="20"/>
          <w:szCs w:val="20"/>
          <w:color w:val="auto"/>
        </w:rPr>
      </w:pPr>
    </w:p>
    <w:p>
      <w:pPr>
        <w:ind w:left="1260" w:right="419"/>
        <w:spacing w:after="0" w:line="287" w:lineRule="auto"/>
        <w:rPr>
          <w:sz w:val="20"/>
          <w:szCs w:val="20"/>
          <w:color w:val="auto"/>
        </w:rPr>
      </w:pPr>
      <w:r>
        <w:rPr>
          <w:rFonts w:ascii="Arial" w:cs="Arial" w:eastAsia="Arial" w:hAnsi="Arial"/>
          <w:sz w:val="18"/>
          <w:szCs w:val="18"/>
          <w:color w:val="auto"/>
        </w:rPr>
        <w:t>The following table sets forth information with respect to outstanding equity-based awards held by our NEOs as of December 31, 2025.</w:t>
      </w:r>
    </w:p>
    <w:p>
      <w:pPr>
        <w:spacing w:after="0" w:line="109" w:lineRule="exact"/>
        <w:rPr>
          <w:sz w:val="20"/>
          <w:szCs w:val="20"/>
          <w:color w:val="auto"/>
        </w:rPr>
      </w:pPr>
    </w:p>
    <w:tbl>
      <w:tblPr>
        <w:tblLayout w:type="fixed"/>
        <w:tblInd w:w="1260" w:type="dxa"/>
        <w:tblCellMar>
          <w:top w:w="0" w:type="dxa"/>
          <w:left w:w="0" w:type="dxa"/>
          <w:bottom w:w="0" w:type="dxa"/>
          <w:right w:w="0" w:type="dxa"/>
        </w:tblCellMar>
      </w:tblPr>
      <w:tr>
        <w:trPr>
          <w:trHeight w:val="205"/>
        </w:trPr>
        <w:tc>
          <w:tcPr>
            <w:tcW w:w="3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b w:val="1"/>
                <w:bCs w:val="1"/>
                <w:color w:val="auto"/>
              </w:rPr>
              <w:t>Stock Awards</w:t>
            </w:r>
          </w:p>
        </w:tc>
        <w:tc>
          <w:tcPr>
            <w:tcW w:w="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193"/>
        </w:trPr>
        <w:tc>
          <w:tcPr>
            <w:tcW w:w="3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center"/>
              <w:ind w:right="70"/>
              <w:spacing w:after="0"/>
              <w:rPr>
                <w:sz w:val="20"/>
                <w:szCs w:val="20"/>
                <w:color w:val="auto"/>
              </w:rPr>
            </w:pPr>
            <w:r>
              <w:rPr>
                <w:rFonts w:ascii="Arial" w:cs="Arial" w:eastAsia="Arial" w:hAnsi="Arial"/>
                <w:sz w:val="14"/>
                <w:szCs w:val="14"/>
                <w:b w:val="1"/>
                <w:bCs w:val="1"/>
                <w:color w:val="auto"/>
                <w:w w:val="98"/>
              </w:rPr>
              <w:t>Equity</w:t>
            </w:r>
          </w:p>
        </w:tc>
      </w:tr>
      <w:tr>
        <w:trPr>
          <w:trHeight w:val="162"/>
        </w:trPr>
        <w:tc>
          <w:tcPr>
            <w:tcW w:w="3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70"/>
              <w:spacing w:after="0"/>
              <w:rPr>
                <w:sz w:val="20"/>
                <w:szCs w:val="20"/>
                <w:color w:val="auto"/>
              </w:rPr>
            </w:pPr>
            <w:r>
              <w:rPr>
                <w:rFonts w:ascii="Arial" w:cs="Arial" w:eastAsia="Arial" w:hAnsi="Arial"/>
                <w:sz w:val="14"/>
                <w:szCs w:val="14"/>
                <w:b w:val="1"/>
                <w:bCs w:val="1"/>
                <w:color w:val="auto"/>
              </w:rPr>
              <w:t>Incentive</w:t>
            </w:r>
          </w:p>
        </w:tc>
      </w:tr>
      <w:tr>
        <w:trPr>
          <w:trHeight w:val="162"/>
        </w:trPr>
        <w:tc>
          <w:tcPr>
            <w:tcW w:w="3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70"/>
              <w:spacing w:after="0"/>
              <w:rPr>
                <w:sz w:val="20"/>
                <w:szCs w:val="20"/>
                <w:color w:val="auto"/>
              </w:rPr>
            </w:pPr>
            <w:r>
              <w:rPr>
                <w:rFonts w:ascii="Arial" w:cs="Arial" w:eastAsia="Arial" w:hAnsi="Arial"/>
                <w:sz w:val="14"/>
                <w:szCs w:val="14"/>
                <w:b w:val="1"/>
                <w:bCs w:val="1"/>
                <w:color w:val="auto"/>
              </w:rPr>
              <w:t>Plan</w:t>
            </w:r>
          </w:p>
        </w:tc>
      </w:tr>
      <w:tr>
        <w:trPr>
          <w:trHeight w:val="162"/>
        </w:trPr>
        <w:tc>
          <w:tcPr>
            <w:tcW w:w="3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70"/>
              <w:spacing w:after="0"/>
              <w:rPr>
                <w:sz w:val="20"/>
                <w:szCs w:val="20"/>
                <w:color w:val="auto"/>
              </w:rPr>
            </w:pPr>
            <w:r>
              <w:rPr>
                <w:rFonts w:ascii="Arial" w:cs="Arial" w:eastAsia="Arial" w:hAnsi="Arial"/>
                <w:sz w:val="14"/>
                <w:szCs w:val="14"/>
                <w:b w:val="1"/>
                <w:bCs w:val="1"/>
                <w:color w:val="auto"/>
              </w:rPr>
              <w:t>Awards:</w:t>
            </w:r>
          </w:p>
        </w:tc>
      </w:tr>
      <w:tr>
        <w:trPr>
          <w:trHeight w:val="162"/>
        </w:trPr>
        <w:tc>
          <w:tcPr>
            <w:tcW w:w="3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Equity</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70"/>
              <w:spacing w:after="0"/>
              <w:rPr>
                <w:sz w:val="20"/>
                <w:szCs w:val="20"/>
                <w:color w:val="auto"/>
              </w:rPr>
            </w:pPr>
            <w:r>
              <w:rPr>
                <w:rFonts w:ascii="Arial" w:cs="Arial" w:eastAsia="Arial" w:hAnsi="Arial"/>
                <w:sz w:val="14"/>
                <w:szCs w:val="14"/>
                <w:b w:val="1"/>
                <w:bCs w:val="1"/>
                <w:color w:val="auto"/>
              </w:rPr>
              <w:t>Market or</w:t>
            </w:r>
          </w:p>
        </w:tc>
      </w:tr>
      <w:tr>
        <w:trPr>
          <w:trHeight w:val="162"/>
        </w:trPr>
        <w:tc>
          <w:tcPr>
            <w:tcW w:w="3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Incentive Plan</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70"/>
              <w:spacing w:after="0"/>
              <w:rPr>
                <w:sz w:val="20"/>
                <w:szCs w:val="20"/>
                <w:color w:val="auto"/>
              </w:rPr>
            </w:pPr>
            <w:r>
              <w:rPr>
                <w:rFonts w:ascii="Arial" w:cs="Arial" w:eastAsia="Arial" w:hAnsi="Arial"/>
                <w:sz w:val="14"/>
                <w:szCs w:val="14"/>
                <w:b w:val="1"/>
                <w:bCs w:val="1"/>
                <w:color w:val="auto"/>
                <w:w w:val="98"/>
              </w:rPr>
              <w:t>Payout</w:t>
            </w:r>
          </w:p>
        </w:tc>
      </w:tr>
      <w:tr>
        <w:trPr>
          <w:trHeight w:val="162"/>
        </w:trPr>
        <w:tc>
          <w:tcPr>
            <w:tcW w:w="3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Awards:</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70"/>
              <w:spacing w:after="0"/>
              <w:rPr>
                <w:sz w:val="20"/>
                <w:szCs w:val="20"/>
                <w:color w:val="auto"/>
              </w:rPr>
            </w:pPr>
            <w:r>
              <w:rPr>
                <w:rFonts w:ascii="Arial" w:cs="Arial" w:eastAsia="Arial" w:hAnsi="Arial"/>
                <w:sz w:val="14"/>
                <w:szCs w:val="14"/>
                <w:b w:val="1"/>
                <w:bCs w:val="1"/>
                <w:color w:val="auto"/>
                <w:w w:val="99"/>
              </w:rPr>
              <w:t>Value of</w:t>
            </w:r>
          </w:p>
        </w:tc>
      </w:tr>
      <w:tr>
        <w:trPr>
          <w:trHeight w:val="162"/>
        </w:trPr>
        <w:tc>
          <w:tcPr>
            <w:tcW w:w="3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Market</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70"/>
              <w:spacing w:after="0"/>
              <w:rPr>
                <w:sz w:val="20"/>
                <w:szCs w:val="20"/>
                <w:color w:val="auto"/>
              </w:rPr>
            </w:pPr>
            <w:r>
              <w:rPr>
                <w:rFonts w:ascii="Arial" w:cs="Arial" w:eastAsia="Arial" w:hAnsi="Arial"/>
                <w:sz w:val="14"/>
                <w:szCs w:val="14"/>
                <w:b w:val="1"/>
                <w:bCs w:val="1"/>
                <w:color w:val="auto"/>
              </w:rPr>
              <w:t>Unearned</w:t>
            </w:r>
          </w:p>
        </w:tc>
      </w:tr>
      <w:tr>
        <w:trPr>
          <w:trHeight w:val="162"/>
        </w:trPr>
        <w:tc>
          <w:tcPr>
            <w:tcW w:w="3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Shares or</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Value of</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Unearned</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70"/>
              <w:spacing w:after="0"/>
              <w:rPr>
                <w:sz w:val="20"/>
                <w:szCs w:val="20"/>
                <w:color w:val="auto"/>
              </w:rPr>
            </w:pPr>
            <w:r>
              <w:rPr>
                <w:rFonts w:ascii="Arial" w:cs="Arial" w:eastAsia="Arial" w:hAnsi="Arial"/>
                <w:sz w:val="14"/>
                <w:szCs w:val="14"/>
                <w:b w:val="1"/>
                <w:bCs w:val="1"/>
                <w:color w:val="auto"/>
                <w:w w:val="98"/>
              </w:rPr>
              <w:t>Shares,</w:t>
            </w:r>
          </w:p>
        </w:tc>
      </w:tr>
      <w:tr>
        <w:trPr>
          <w:trHeight w:val="162"/>
        </w:trPr>
        <w:tc>
          <w:tcPr>
            <w:tcW w:w="3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9"/>
              </w:rPr>
              <w:t>Units of</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Shares or</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Shares, Units</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70"/>
              <w:spacing w:after="0"/>
              <w:rPr>
                <w:sz w:val="20"/>
                <w:szCs w:val="20"/>
                <w:color w:val="auto"/>
              </w:rPr>
            </w:pPr>
            <w:r>
              <w:rPr>
                <w:rFonts w:ascii="Arial" w:cs="Arial" w:eastAsia="Arial" w:hAnsi="Arial"/>
                <w:sz w:val="14"/>
                <w:szCs w:val="14"/>
                <w:b w:val="1"/>
                <w:bCs w:val="1"/>
                <w:color w:val="auto"/>
              </w:rPr>
              <w:t>Units or</w:t>
            </w:r>
          </w:p>
        </w:tc>
      </w:tr>
      <w:tr>
        <w:trPr>
          <w:trHeight w:val="162"/>
        </w:trPr>
        <w:tc>
          <w:tcPr>
            <w:tcW w:w="3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Stock That</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Units of</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or Other</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3"/>
          </w:tcPr>
          <w:p>
            <w:pPr>
              <w:jc w:val="center"/>
              <w:spacing w:after="0"/>
              <w:rPr>
                <w:sz w:val="20"/>
                <w:szCs w:val="20"/>
                <w:color w:val="auto"/>
              </w:rPr>
            </w:pPr>
            <w:r>
              <w:rPr>
                <w:rFonts w:ascii="Arial" w:cs="Arial" w:eastAsia="Arial" w:hAnsi="Arial"/>
                <w:sz w:val="14"/>
                <w:szCs w:val="14"/>
                <w:b w:val="1"/>
                <w:bCs w:val="1"/>
                <w:color w:val="auto"/>
              </w:rPr>
              <w:t>Other Rights</w:t>
            </w:r>
          </w:p>
        </w:tc>
      </w:tr>
      <w:tr>
        <w:trPr>
          <w:trHeight w:val="162"/>
        </w:trPr>
        <w:tc>
          <w:tcPr>
            <w:tcW w:w="3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Have</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3"/>
          </w:tcPr>
          <w:p>
            <w:pPr>
              <w:ind w:left="40"/>
              <w:spacing w:after="0"/>
              <w:rPr>
                <w:sz w:val="20"/>
                <w:szCs w:val="20"/>
                <w:color w:val="auto"/>
              </w:rPr>
            </w:pPr>
            <w:r>
              <w:rPr>
                <w:rFonts w:ascii="Arial" w:cs="Arial" w:eastAsia="Arial" w:hAnsi="Arial"/>
                <w:sz w:val="14"/>
                <w:szCs w:val="14"/>
                <w:b w:val="1"/>
                <w:bCs w:val="1"/>
                <w:color w:val="auto"/>
              </w:rPr>
              <w:t>Stock That</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Rights That</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70"/>
              <w:spacing w:after="0"/>
              <w:rPr>
                <w:sz w:val="20"/>
                <w:szCs w:val="20"/>
                <w:color w:val="auto"/>
              </w:rPr>
            </w:pPr>
            <w:r>
              <w:rPr>
                <w:rFonts w:ascii="Arial" w:cs="Arial" w:eastAsia="Arial" w:hAnsi="Arial"/>
                <w:sz w:val="14"/>
                <w:szCs w:val="14"/>
                <w:b w:val="1"/>
                <w:bCs w:val="1"/>
                <w:color w:val="auto"/>
              </w:rPr>
              <w:t>That Have</w:t>
            </w:r>
          </w:p>
        </w:tc>
      </w:tr>
      <w:tr>
        <w:trPr>
          <w:trHeight w:val="162"/>
        </w:trPr>
        <w:tc>
          <w:tcPr>
            <w:tcW w:w="3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Not Vested</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Have Not</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Have Not</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3"/>
          </w:tcPr>
          <w:p>
            <w:pPr>
              <w:jc w:val="center"/>
              <w:spacing w:after="0"/>
              <w:rPr>
                <w:sz w:val="20"/>
                <w:szCs w:val="20"/>
                <w:color w:val="auto"/>
              </w:rPr>
            </w:pPr>
            <w:r>
              <w:rPr>
                <w:rFonts w:ascii="Arial" w:cs="Arial" w:eastAsia="Arial" w:hAnsi="Arial"/>
                <w:sz w:val="14"/>
                <w:szCs w:val="14"/>
                <w:b w:val="1"/>
                <w:bCs w:val="1"/>
                <w:color w:val="auto"/>
              </w:rPr>
              <w:t>Not Vested</w:t>
            </w:r>
          </w:p>
        </w:tc>
      </w:tr>
      <w:tr>
        <w:trPr>
          <w:trHeight w:val="198"/>
        </w:trPr>
        <w:tc>
          <w:tcPr>
            <w:tcW w:w="3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20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jc w:val="center"/>
              <w:spacing w:after="0" w:line="199" w:lineRule="exact"/>
              <w:rPr>
                <w:sz w:val="20"/>
                <w:szCs w:val="20"/>
                <w:color w:val="auto"/>
              </w:rPr>
            </w:pPr>
            <w:r>
              <w:rPr>
                <w:rFonts w:ascii="Arial" w:cs="Arial" w:eastAsia="Arial" w:hAnsi="Arial"/>
                <w:sz w:val="22"/>
                <w:szCs w:val="22"/>
                <w:b w:val="1"/>
                <w:bCs w:val="1"/>
                <w:color w:val="auto"/>
                <w:vertAlign w:val="subscript"/>
              </w:rPr>
              <w:t>(#)</w:t>
            </w:r>
            <w:r>
              <w:rPr>
                <w:rFonts w:ascii="Arial" w:cs="Arial" w:eastAsia="Arial" w:hAnsi="Arial"/>
                <w:sz w:val="8"/>
                <w:szCs w:val="8"/>
                <w:b w:val="1"/>
                <w:bCs w:val="1"/>
                <w:color w:val="auto"/>
              </w:rPr>
              <w:t>(1)</w:t>
            </w:r>
          </w:p>
        </w:tc>
        <w:tc>
          <w:tcPr>
            <w:tcW w:w="40" w:type="dxa"/>
            <w:vAlign w:val="bottom"/>
            <w:tcBorders>
              <w:bottom w:val="single" w:sz="8" w:color="auto"/>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6"/>
              </w:rPr>
              <w:t>Vested ($)</w:t>
            </w:r>
            <w:r>
              <w:rPr>
                <w:rFonts w:ascii="Arial" w:cs="Arial" w:eastAsia="Arial" w:hAnsi="Arial"/>
                <w:sz w:val="17"/>
                <w:szCs w:val="17"/>
                <w:b w:val="1"/>
                <w:bCs w:val="1"/>
                <w:color w:val="auto"/>
                <w:w w:val="96"/>
                <w:vertAlign w:val="superscript"/>
              </w:rPr>
              <w:t>(2)</w:t>
            </w:r>
          </w:p>
        </w:tc>
        <w:tc>
          <w:tcPr>
            <w:tcW w:w="22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Vested (#)</w:t>
            </w:r>
            <w:r>
              <w:rPr>
                <w:rFonts w:ascii="Arial" w:cs="Arial" w:eastAsia="Arial" w:hAnsi="Arial"/>
                <w:sz w:val="17"/>
                <w:szCs w:val="17"/>
                <w:b w:val="1"/>
                <w:bCs w:val="1"/>
                <w:color w:val="auto"/>
                <w:w w:val="96"/>
                <w:vertAlign w:val="superscript"/>
              </w:rPr>
              <w:t>(3)</w:t>
            </w:r>
          </w:p>
        </w:tc>
        <w:tc>
          <w:tcPr>
            <w:tcW w:w="40" w:type="dxa"/>
            <w:vAlign w:val="bottom"/>
            <w:tcBorders>
              <w:bottom w:val="single" w:sz="8" w:color="auto"/>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8"/>
              <w:spacing w:after="0" w:line="199" w:lineRule="exact"/>
              <w:rPr>
                <w:sz w:val="20"/>
                <w:szCs w:val="20"/>
                <w:color w:val="auto"/>
              </w:rPr>
            </w:pPr>
            <w:r>
              <w:rPr>
                <w:rFonts w:ascii="Arial" w:cs="Arial" w:eastAsia="Arial" w:hAnsi="Arial"/>
                <w:sz w:val="22"/>
                <w:szCs w:val="22"/>
                <w:b w:val="1"/>
                <w:bCs w:val="1"/>
                <w:color w:val="auto"/>
                <w:w w:val="93"/>
                <w:vertAlign w:val="subscript"/>
              </w:rPr>
              <w:t>($)</w:t>
            </w:r>
            <w:r>
              <w:rPr>
                <w:rFonts w:ascii="Arial" w:cs="Arial" w:eastAsia="Arial" w:hAnsi="Arial"/>
                <w:sz w:val="8"/>
                <w:szCs w:val="8"/>
                <w:b w:val="1"/>
                <w:bCs w:val="1"/>
                <w:color w:val="auto"/>
                <w:w w:val="93"/>
              </w:rPr>
              <w:t>(2)</w:t>
            </w:r>
          </w:p>
        </w:tc>
        <w:tc>
          <w:tcPr>
            <w:tcW w:w="40" w:type="dxa"/>
            <w:vAlign w:val="bottom"/>
          </w:tcPr>
          <w:p>
            <w:pPr>
              <w:spacing w:after="0"/>
              <w:rPr>
                <w:sz w:val="17"/>
                <w:szCs w:val="17"/>
                <w:color w:val="auto"/>
              </w:rPr>
            </w:pPr>
          </w:p>
        </w:tc>
      </w:tr>
      <w:tr>
        <w:trPr>
          <w:trHeight w:val="250"/>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P. Albright</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​62,410</w:t>
            </w:r>
          </w:p>
        </w:tc>
        <w:tc>
          <w:tcPr>
            <w:tcW w:w="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​1,148,968​</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​205,527</w:t>
            </w:r>
          </w:p>
        </w:tc>
        <w:tc>
          <w:tcPr>
            <w:tcW w:w="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​3,783,752</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4000" w:type="dxa"/>
            <w:vAlign w:val="bottom"/>
            <w:gridSpan w:val="2"/>
          </w:tcPr>
          <w:p>
            <w:pPr>
              <w:spacing w:after="0"/>
              <w:rPr>
                <w:sz w:val="20"/>
                <w:szCs w:val="20"/>
                <w:color w:val="auto"/>
              </w:rPr>
            </w:pPr>
            <w:r>
              <w:rPr>
                <w:rFonts w:ascii="Arial" w:cs="Arial" w:eastAsia="Arial" w:hAnsi="Arial"/>
                <w:sz w:val="18"/>
                <w:szCs w:val="18"/>
                <w:color w:val="auto"/>
              </w:rPr>
              <w:t>Steven R. Greathouse</w:t>
            </w:r>
          </w:p>
        </w:tc>
        <w:tc>
          <w:tcPr>
            <w:tcW w:w="760" w:type="dxa"/>
            <w:vAlign w:val="bottom"/>
          </w:tcPr>
          <w:p>
            <w:pPr>
              <w:jc w:val="center"/>
              <w:spacing w:after="0"/>
              <w:rPr>
                <w:sz w:val="20"/>
                <w:szCs w:val="20"/>
                <w:color w:val="auto"/>
              </w:rPr>
            </w:pPr>
            <w:r>
              <w:rPr>
                <w:rFonts w:ascii="Arial" w:cs="Arial" w:eastAsia="Arial" w:hAnsi="Arial"/>
                <w:sz w:val="18"/>
                <w:szCs w:val="18"/>
                <w:color w:val="auto"/>
              </w:rPr>
              <w:t>​30,001</w:t>
            </w:r>
          </w:p>
        </w:tc>
        <w:tc>
          <w:tcPr>
            <w:tcW w:w="2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8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552,318​</w:t>
            </w:r>
          </w:p>
        </w:tc>
        <w:tc>
          <w:tcPr>
            <w:tcW w:w="980" w:type="dxa"/>
            <w:vAlign w:val="bottom"/>
          </w:tcPr>
          <w:p>
            <w:pPr>
              <w:jc w:val="center"/>
              <w:spacing w:after="0"/>
              <w:rPr>
                <w:sz w:val="20"/>
                <w:szCs w:val="20"/>
                <w:color w:val="auto"/>
              </w:rPr>
            </w:pPr>
            <w:r>
              <w:rPr>
                <w:rFonts w:ascii="Arial" w:cs="Arial" w:eastAsia="Arial" w:hAnsi="Arial"/>
                <w:sz w:val="18"/>
                <w:szCs w:val="18"/>
                <w:color w:val="auto"/>
              </w:rPr>
              <w:t>​ 77,447</w:t>
            </w:r>
          </w:p>
        </w:tc>
        <w:tc>
          <w:tcPr>
            <w:tcW w:w="2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​1,425,790 ​</w:t>
            </w:r>
          </w:p>
        </w:tc>
      </w:tr>
      <w:tr>
        <w:trPr>
          <w:trHeight w:val="257"/>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Philip R. Mays</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​12,841</w:t>
            </w:r>
          </w:p>
        </w:tc>
        <w:tc>
          <w:tcPr>
            <w:tcW w:w="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236,403​</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 22,974</w:t>
            </w:r>
          </w:p>
        </w:tc>
        <w:tc>
          <w:tcPr>
            <w:tcW w:w="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422,951</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4000" w:type="dxa"/>
            <w:vAlign w:val="bottom"/>
            <w:gridSpan w:val="2"/>
          </w:tcPr>
          <w:p>
            <w:pPr>
              <w:spacing w:after="0"/>
              <w:rPr>
                <w:sz w:val="20"/>
                <w:szCs w:val="20"/>
                <w:color w:val="auto"/>
              </w:rPr>
            </w:pPr>
            <w:r>
              <w:rPr>
                <w:rFonts w:ascii="Arial" w:cs="Arial" w:eastAsia="Arial" w:hAnsi="Arial"/>
                <w:sz w:val="18"/>
                <w:szCs w:val="18"/>
                <w:color w:val="auto"/>
              </w:rPr>
              <w:t>Daniel E. Smith</w:t>
            </w:r>
          </w:p>
        </w:tc>
        <w:tc>
          <w:tcPr>
            <w:tcW w:w="760" w:type="dxa"/>
            <w:vAlign w:val="bottom"/>
          </w:tcPr>
          <w:p>
            <w:pPr>
              <w:jc w:val="center"/>
              <w:spacing w:after="0"/>
              <w:rPr>
                <w:sz w:val="20"/>
                <w:szCs w:val="20"/>
                <w:color w:val="auto"/>
              </w:rPr>
            </w:pPr>
            <w:r>
              <w:rPr>
                <w:rFonts w:ascii="Arial" w:cs="Arial" w:eastAsia="Arial" w:hAnsi="Arial"/>
                <w:sz w:val="18"/>
                <w:szCs w:val="18"/>
                <w:color w:val="auto"/>
              </w:rPr>
              <w:t>​22,103</w:t>
            </w:r>
          </w:p>
        </w:tc>
        <w:tc>
          <w:tcPr>
            <w:tcW w:w="2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8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406,916​</w:t>
            </w:r>
          </w:p>
        </w:tc>
        <w:tc>
          <w:tcPr>
            <w:tcW w:w="980" w:type="dxa"/>
            <w:vAlign w:val="bottom"/>
          </w:tcPr>
          <w:p>
            <w:pPr>
              <w:jc w:val="center"/>
              <w:spacing w:after="0"/>
              <w:rPr>
                <w:sz w:val="20"/>
                <w:szCs w:val="20"/>
                <w:color w:val="auto"/>
              </w:rPr>
            </w:pPr>
            <w:r>
              <w:rPr>
                <w:rFonts w:ascii="Arial" w:cs="Arial" w:eastAsia="Arial" w:hAnsi="Arial"/>
                <w:sz w:val="18"/>
                <w:szCs w:val="18"/>
                <w:color w:val="auto"/>
              </w:rPr>
              <w:t>​ 55,040</w:t>
            </w:r>
          </w:p>
        </w:tc>
        <w:tc>
          <w:tcPr>
            <w:tcW w:w="2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​1,013,277 ​</w:t>
            </w:r>
          </w:p>
        </w:tc>
      </w:tr>
      <w:tr>
        <w:trPr>
          <w:trHeight w:val="270"/>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Lisa M. Vorakoun</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​15,798</w:t>
            </w:r>
          </w:p>
        </w:tc>
        <w:tc>
          <w:tcPr>
            <w:tcW w:w="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290,841​</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 33,344</w:t>
            </w:r>
          </w:p>
        </w:tc>
        <w:tc>
          <w:tcPr>
            <w:tcW w:w="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613,854</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5292090</wp:posOffset>
            </wp:positionH>
            <wp:positionV relativeFrom="paragraph">
              <wp:posOffset>-830580</wp:posOffset>
            </wp:positionV>
            <wp:extent cx="13716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4511675</wp:posOffset>
            </wp:positionH>
            <wp:positionV relativeFrom="paragraph">
              <wp:posOffset>-830580</wp:posOffset>
            </wp:positionV>
            <wp:extent cx="13716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3843020</wp:posOffset>
            </wp:positionH>
            <wp:positionV relativeFrom="paragraph">
              <wp:posOffset>-830580</wp:posOffset>
            </wp:positionV>
            <wp:extent cx="13716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3208655</wp:posOffset>
            </wp:positionH>
            <wp:positionV relativeFrom="paragraph">
              <wp:posOffset>-830580</wp:posOffset>
            </wp:positionV>
            <wp:extent cx="13716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145415</wp:posOffset>
            </wp:positionV>
            <wp:extent cx="123444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62" w:lineRule="exact"/>
        <w:rPr>
          <w:sz w:val="20"/>
          <w:szCs w:val="20"/>
          <w:color w:val="auto"/>
        </w:rPr>
      </w:pPr>
    </w:p>
    <w:p>
      <w:pPr>
        <w:jc w:val="both"/>
        <w:ind w:left="1620" w:right="419" w:hanging="360"/>
        <w:spacing w:after="0" w:line="275" w:lineRule="auto"/>
        <w:tabs>
          <w:tab w:leader="none" w:pos="16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This column includes all outstanding time-based restricted stock awards held by our NEOs as of December 31, 2025, including the following: (i) awards to Ms. Vorakoun and to Messrs. Albright, Greathouse, and Smith in 2023 for their 2022 performance and in 2024 for their 2023 performance; and (ii) awards to Ms. Vorakoun and to Messrs. Albright, Greathouse, Mays and Smith in 2025 for their 2024 performance. Each award of time-based restricted stock vests over a three-year period, provided the recipient remains an employee of the Company through the applicable vesting date. See the section below titled “Potential Payments Upon Termination or Change in Control” for a description of potential acceleration and forfeiture provisions of such awards.</w:t>
      </w:r>
    </w:p>
    <w:p>
      <w:pPr>
        <w:spacing w:after="0" w:line="45" w:lineRule="exact"/>
        <w:rPr>
          <w:rFonts w:ascii="Arial" w:cs="Arial" w:eastAsia="Arial" w:hAnsi="Arial"/>
          <w:sz w:val="14"/>
          <w:szCs w:val="14"/>
          <w:color w:val="auto"/>
        </w:rPr>
      </w:pPr>
    </w:p>
    <w:p>
      <w:pPr>
        <w:jc w:val="both"/>
        <w:ind w:left="1620" w:right="419" w:hanging="360"/>
        <w:spacing w:after="0" w:line="282" w:lineRule="auto"/>
        <w:tabs>
          <w:tab w:leader="none" w:pos="16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amounts in these columns represent the market value of the common stock underlying the time-based restricted stock awards and performance-based awards, as applicable, held by the NEOs as of December 31, 2025, which was computed based on the closing price of our common stock on December 31, 2025 (the last trading day of 2025), which was $18.41, and with respect to performance shares, assuming vesting at the maximum (150%) level.</w:t>
      </w:r>
    </w:p>
    <w:p>
      <w:pPr>
        <w:spacing w:after="0" w:line="26" w:lineRule="exact"/>
        <w:rPr>
          <w:rFonts w:ascii="Arial" w:cs="Arial" w:eastAsia="Arial" w:hAnsi="Arial"/>
          <w:sz w:val="14"/>
          <w:szCs w:val="14"/>
          <w:color w:val="auto"/>
        </w:rPr>
      </w:pPr>
    </w:p>
    <w:p>
      <w:pPr>
        <w:ind w:left="1620" w:hanging="360"/>
        <w:spacing w:after="0"/>
        <w:tabs>
          <w:tab w:leader="none" w:pos="16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This column includes all outstanding performance-based awards granted to our NEOs, which vest as set forth in footnote</w:t>
      </w:r>
    </w:p>
    <w:p>
      <w:pPr>
        <w:spacing w:after="0" w:line="29" w:lineRule="exact"/>
        <w:rPr>
          <w:rFonts w:ascii="Arial" w:cs="Arial" w:eastAsia="Arial" w:hAnsi="Arial"/>
          <w:sz w:val="14"/>
          <w:szCs w:val="14"/>
          <w:color w:val="auto"/>
        </w:rPr>
      </w:pPr>
    </w:p>
    <w:p>
      <w:pPr>
        <w:jc w:val="both"/>
        <w:ind w:left="1620" w:right="419"/>
        <w:spacing w:after="0" w:line="272" w:lineRule="auto"/>
        <w:rPr>
          <w:rFonts w:ascii="Arial" w:cs="Arial" w:eastAsia="Arial" w:hAnsi="Arial"/>
          <w:sz w:val="14"/>
          <w:szCs w:val="14"/>
          <w:color w:val="auto"/>
        </w:rPr>
      </w:pPr>
      <w:r>
        <w:rPr>
          <w:rFonts w:ascii="Arial" w:cs="Arial" w:eastAsia="Arial" w:hAnsi="Arial"/>
          <w:sz w:val="14"/>
          <w:szCs w:val="14"/>
          <w:color w:val="auto"/>
        </w:rPr>
        <w:t>(4) below, including performance shares awarded to Ms. Vorakoun and to Messrs. Albright, Greathouse, and Smith in 2023 for their 2022 performance, in 2024 for their 2023 performance, and to Ms. Vorakoun and to Messrs. Albright, Greathouse, Mays, and Smith in 2025 for their 2024 performance. The performance share awards entitle the recipients to receive, at the conclusion of a three-year performance period, shares of common stock of the Company, the number of such shares to be between 0% and 150% of the number of performance shares awarded, based on the Company’s TSR over the performance period as compared to the TSR of a certain peer group of companies. See Note 20 (Stock-Based Compensation) in the Notes to Consolidated Financial Statements included in our 2025 Annual Report. See the section below titled “Potential Payments Upon Termination or Change in Control” for a description of potential acceleration and forfeiture provisions of such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262255</wp:posOffset>
            </wp:positionV>
            <wp:extent cx="68319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0" w:name="page51"/>
    <w:bookmarkEnd w:id="5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620" w:right="419" w:hanging="360"/>
        <w:spacing w:after="0" w:line="325" w:lineRule="auto"/>
        <w:tabs>
          <w:tab w:leader="none" w:pos="16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following sub-table reflects the regularly scheduled vesting date for each award that is disclosed as outstanding within the main table above: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0" w:lineRule="exact"/>
        <w:rPr>
          <w:sz w:val="20"/>
          <w:szCs w:val="20"/>
          <w:color w:val="auto"/>
        </w:rPr>
      </w:pPr>
    </w:p>
    <w:p>
      <w:pPr>
        <w:ind w:left="1620"/>
        <w:spacing w:after="0"/>
        <w:rPr>
          <w:sz w:val="20"/>
          <w:szCs w:val="20"/>
          <w:color w:val="auto"/>
        </w:rPr>
      </w:pPr>
      <w:r>
        <w:rPr>
          <w:rFonts w:ascii="Arial" w:cs="Arial" w:eastAsia="Arial" w:hAnsi="Arial"/>
          <w:sz w:val="14"/>
          <w:szCs w:val="14"/>
          <w:b w:val="1"/>
          <w:bCs w:val="1"/>
          <w:color w:val="auto"/>
        </w:rPr>
        <w:t>Name</w:t>
      </w:r>
    </w:p>
    <w:p>
      <w:pPr>
        <w:spacing w:after="0" w:line="8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John P. Albright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Steven R. Greathouse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Philip R. Mays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Daniel E. Smith</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9"/>
              </w:rPr>
              <w:t>Number of</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Vesting Date or Last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3"/>
          </w:tcPr>
          <w:p>
            <w:pPr>
              <w:jc w:val="center"/>
              <w:spacing w:after="0"/>
              <w:rPr>
                <w:sz w:val="20"/>
                <w:szCs w:val="20"/>
                <w:color w:val="auto"/>
              </w:rPr>
            </w:pPr>
            <w:r>
              <w:rPr>
                <w:rFonts w:ascii="Arial" w:cs="Arial" w:eastAsia="Arial" w:hAnsi="Arial"/>
                <w:sz w:val="14"/>
                <w:szCs w:val="14"/>
                <w:b w:val="1"/>
                <w:bCs w:val="1"/>
                <w:color w:val="auto"/>
              </w:rPr>
              <w:t>Time-Based</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Date of</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3"/>
          </w:tcPr>
          <w:p>
            <w:pPr>
              <w:jc w:val="center"/>
              <w:spacing w:after="0"/>
              <w:rPr>
                <w:sz w:val="20"/>
                <w:szCs w:val="20"/>
                <w:color w:val="auto"/>
              </w:rPr>
            </w:pPr>
            <w:r>
              <w:rPr>
                <w:rFonts w:ascii="Arial" w:cs="Arial" w:eastAsia="Arial" w:hAnsi="Arial"/>
                <w:sz w:val="14"/>
                <w:szCs w:val="14"/>
                <w:b w:val="1"/>
                <w:bCs w:val="1"/>
                <w:color w:val="auto"/>
              </w:rPr>
              <w:t>Restricted</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 ​</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Performance Period</w:t>
            </w:r>
          </w:p>
        </w:tc>
        <w:tc>
          <w:tcPr>
            <w:tcW w:w="1420" w:type="dxa"/>
            <w:vAlign w:val="bottom"/>
            <w:gridSpan w:val="7"/>
          </w:tcPr>
          <w:p>
            <w:pPr>
              <w:ind w:left="40"/>
              <w:spacing w:after="0" w:line="180" w:lineRule="exact"/>
              <w:rPr>
                <w:sz w:val="20"/>
                <w:szCs w:val="20"/>
                <w:color w:val="auto"/>
              </w:rPr>
            </w:pPr>
            <w:r>
              <w:rPr>
                <w:rFonts w:ascii="Arial" w:cs="Arial" w:eastAsia="Arial" w:hAnsi="Arial"/>
                <w:sz w:val="20"/>
                <w:szCs w:val="20"/>
                <w:b w:val="1"/>
                <w:bCs w:val="1"/>
                <w:color w:val="auto"/>
                <w:vertAlign w:val="subscript"/>
              </w:rPr>
              <w:t>​ ​</w:t>
            </w:r>
            <w:r>
              <w:rPr>
                <w:rFonts w:ascii="Arial" w:cs="Arial" w:eastAsia="Arial" w:hAnsi="Arial"/>
                <w:sz w:val="12"/>
                <w:szCs w:val="12"/>
                <w:b w:val="1"/>
                <w:bCs w:val="1"/>
                <w:color w:val="auto"/>
              </w:rPr>
              <w:t xml:space="preserve"> Shares to Vest </w:t>
            </w:r>
            <w:r>
              <w:rPr>
                <w:rFonts w:ascii="Arial" w:cs="Arial" w:eastAsia="Arial" w:hAnsi="Arial"/>
                <w:sz w:val="20"/>
                <w:szCs w:val="20"/>
                <w:b w:val="1"/>
                <w:bCs w:val="1"/>
                <w:color w:val="auto"/>
                <w:vertAlign w:val="subscript"/>
              </w:rPr>
              <w:t>​ ​</w:t>
            </w:r>
          </w:p>
        </w:tc>
        <w:tc>
          <w:tcPr>
            <w:tcW w:w="0" w:type="dxa"/>
            <w:vAlign w:val="bottom"/>
          </w:tcPr>
          <w:p>
            <w:pPr>
              <w:spacing w:after="0"/>
              <w:rPr>
                <w:sz w:val="1"/>
                <w:szCs w:val="1"/>
                <w:color w:val="auto"/>
              </w:rPr>
            </w:pPr>
          </w:p>
        </w:tc>
      </w:tr>
      <w:tr>
        <w:trPr>
          <w:trHeight w:val="265"/>
        </w:trPr>
        <w:tc>
          <w:tcPr>
            <w:tcW w:w="180" w:type="dxa"/>
            <w:vAlign w:val="bottom"/>
          </w:tcPr>
          <w:p>
            <w:pPr>
              <w:jc w:val="right"/>
              <w:spacing w:after="0"/>
              <w:rPr>
                <w:sz w:val="20"/>
                <w:szCs w:val="20"/>
                <w:color w:val="auto"/>
              </w:rPr>
            </w:pPr>
            <w:r>
              <w:rPr>
                <w:rFonts w:ascii="Arial" w:cs="Arial" w:eastAsia="Arial" w:hAnsi="Arial"/>
                <w:sz w:val="18"/>
                <w:szCs w:val="18"/>
                <w:color w:val="auto"/>
              </w:rPr>
              <w:t>​ ​</w:t>
            </w:r>
          </w:p>
        </w:tc>
        <w:tc>
          <w:tcPr>
            <w:tcW w:w="1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December 31, 2025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440" w:type="dxa"/>
            <w:vAlign w:val="bottom"/>
            <w:tcBorders>
              <w:top w:val="single" w:sz="8" w:color="auto"/>
            </w:tcBorders>
            <w:gridSpan w:val="2"/>
          </w:tcPr>
          <w:p>
            <w:pPr>
              <w:jc w:val="right"/>
              <w:ind w:right="78"/>
              <w:spacing w:after="0" w:line="265"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bscript"/>
              </w:rPr>
              <w:t>​</w:t>
            </w:r>
          </w:p>
        </w:tc>
        <w:tc>
          <w:tcPr>
            <w:tcW w:w="5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auto"/>
            </w:tcBorders>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32"/>
        </w:trPr>
        <w:tc>
          <w:tcPr>
            <w:tcW w:w="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spacing w:after="0"/>
              <w:rPr>
                <w:sz w:val="2"/>
                <w:szCs w:val="2"/>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 ​</w:t>
            </w:r>
          </w:p>
        </w:tc>
        <w:tc>
          <w:tcPr>
            <w:tcW w:w="960" w:type="dxa"/>
            <w:vAlign w:val="bottom"/>
            <w:gridSpan w:val="3"/>
            <w:vMerge w:val="restart"/>
          </w:tcPr>
          <w:p>
            <w:pPr>
              <w:jc w:val="right"/>
              <w:ind w:right="90"/>
              <w:spacing w:after="0" w:line="269" w:lineRule="exact"/>
              <w:rPr>
                <w:sz w:val="20"/>
                <w:szCs w:val="20"/>
                <w:color w:val="auto"/>
              </w:rPr>
            </w:pPr>
            <w:r>
              <w:rPr>
                <w:rFonts w:ascii="Arial" w:cs="Arial" w:eastAsia="Arial" w:hAnsi="Arial"/>
                <w:sz w:val="31"/>
                <w:szCs w:val="31"/>
                <w:color w:val="auto"/>
                <w:vertAlign w:val="superscript"/>
              </w:rPr>
              <w:t>​</w:t>
            </w:r>
            <w:r>
              <w:rPr>
                <w:rFonts w:ascii="Arial" w:cs="Arial" w:eastAsia="Arial" w:hAnsi="Arial"/>
                <w:sz w:val="17"/>
                <w:szCs w:val="17"/>
                <w:color w:val="auto"/>
              </w:rPr>
              <w:t>​29,803</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line="20" w:lineRule="exact"/>
              <w:rPr>
                <w:sz w:val="1"/>
                <w:szCs w:val="1"/>
                <w:color w:val="auto"/>
              </w:rPr>
            </w:pPr>
          </w:p>
        </w:tc>
      </w:tr>
      <w:tr>
        <w:trPr>
          <w:trHeight w:val="238"/>
        </w:trPr>
        <w:tc>
          <w:tcPr>
            <w:tcW w:w="180" w:type="dxa"/>
            <w:vAlign w:val="bottom"/>
            <w:vMerge w:val="continue"/>
          </w:tcPr>
          <w:p>
            <w:pPr>
              <w:spacing w:after="0"/>
              <w:rPr>
                <w:sz w:val="20"/>
                <w:szCs w:val="20"/>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January 28, 2026</w:t>
            </w:r>
          </w:p>
        </w:tc>
        <w:tc>
          <w:tcPr>
            <w:tcW w:w="200" w:type="dxa"/>
            <w:vAlign w:val="bottom"/>
            <w:gridSpan w:val="2"/>
            <w:vMerge w:val="continue"/>
          </w:tcPr>
          <w:p>
            <w:pPr>
              <w:spacing w:after="0"/>
              <w:rPr>
                <w:sz w:val="20"/>
                <w:szCs w:val="20"/>
                <w:color w:val="auto"/>
              </w:rPr>
            </w:pPr>
          </w:p>
        </w:tc>
        <w:tc>
          <w:tcPr>
            <w:tcW w:w="960" w:type="dxa"/>
            <w:vAlign w:val="bottom"/>
            <w:gridSpan w:val="3"/>
            <w:vMerge w:val="continue"/>
          </w:tcPr>
          <w:p>
            <w:pPr>
              <w:spacing w:after="0"/>
              <w:rPr>
                <w:sz w:val="20"/>
                <w:szCs w:val="20"/>
                <w:color w:val="auto"/>
              </w:rPr>
            </w:pPr>
          </w:p>
        </w:tc>
        <w:tc>
          <w:tcPr>
            <w:tcW w:w="2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vMerge w:val="restart"/>
          </w:tcPr>
          <w:p>
            <w:pPr>
              <w:jc w:val="right"/>
              <w:ind w:right="78"/>
              <w:spacing w:after="0" w:line="269" w:lineRule="exact"/>
              <w:rPr>
                <w:sz w:val="20"/>
                <w:szCs w:val="20"/>
                <w:color w:val="auto"/>
              </w:rPr>
            </w:pPr>
            <w:r>
              <w:rPr>
                <w:rFonts w:ascii="Arial" w:cs="Arial" w:eastAsia="Arial" w:hAnsi="Arial"/>
                <w:sz w:val="17"/>
                <w:szCs w:val="17"/>
                <w:color w:val="auto"/>
              </w:rPr>
              <w:t>​</w:t>
            </w:r>
            <w:r>
              <w:rPr>
                <w:rFonts w:ascii="Arial" w:cs="Arial" w:eastAsia="Arial" w:hAnsi="Arial"/>
                <w:sz w:val="31"/>
                <w:szCs w:val="31"/>
                <w:color w:val="auto"/>
                <w:vertAlign w:val="subscript"/>
              </w:rPr>
              <w:t>​</w:t>
            </w:r>
          </w:p>
        </w:tc>
        <w:tc>
          <w:tcPr>
            <w:tcW w:w="520" w:type="dxa"/>
            <w:vAlign w:val="bottom"/>
          </w:tcPr>
          <w:p>
            <w:pPr>
              <w:spacing w:after="0"/>
              <w:rPr>
                <w:sz w:val="2"/>
                <w:szCs w:val="2"/>
                <w:color w:val="auto"/>
              </w:rPr>
            </w:pP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line="20" w:lineRule="exact"/>
              <w:rPr>
                <w:sz w:val="1"/>
                <w:szCs w:val="1"/>
                <w:color w:val="auto"/>
              </w:rPr>
            </w:pPr>
          </w:p>
        </w:tc>
      </w:tr>
      <w:tr>
        <w:trPr>
          <w:trHeight w:val="238"/>
        </w:trPr>
        <w:tc>
          <w:tcPr>
            <w:tcW w:w="180" w:type="dxa"/>
            <w:vAlign w:val="bottom"/>
            <w:vMerge w:val="continue"/>
          </w:tcPr>
          <w:p>
            <w:pPr>
              <w:spacing w:after="0"/>
              <w:rPr>
                <w:sz w:val="20"/>
                <w:szCs w:val="20"/>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December 31, 2026</w:t>
            </w:r>
          </w:p>
        </w:tc>
        <w:tc>
          <w:tcPr>
            <w:tcW w:w="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vMerge w:val="continue"/>
          </w:tcPr>
          <w:p>
            <w:pPr>
              <w:spacing w:after="0"/>
              <w:rPr>
                <w:sz w:val="20"/>
                <w:szCs w:val="20"/>
                <w:color w:val="auto"/>
              </w:rPr>
            </w:pPr>
          </w:p>
        </w:tc>
        <w:tc>
          <w:tcPr>
            <w:tcW w:w="440" w:type="dxa"/>
            <w:vAlign w:val="bottom"/>
            <w:gridSpan w:val="2"/>
            <w:vMerge w:val="continue"/>
          </w:tcPr>
          <w:p>
            <w:pPr>
              <w:spacing w:after="0"/>
              <w:rPr>
                <w:sz w:val="20"/>
                <w:szCs w:val="20"/>
                <w:color w:val="auto"/>
              </w:rPr>
            </w:pPr>
          </w:p>
        </w:tc>
        <w:tc>
          <w:tcPr>
            <w:tcW w:w="5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spacing w:after="0"/>
              <w:rPr>
                <w:sz w:val="2"/>
                <w:szCs w:val="2"/>
                <w:color w:val="auto"/>
              </w:rPr>
            </w:pPr>
          </w:p>
        </w:tc>
        <w:tc>
          <w:tcPr>
            <w:tcW w:w="10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
                <w:szCs w:val="2"/>
                <w:color w:val="auto"/>
              </w:rPr>
            </w:pPr>
          </w:p>
        </w:tc>
        <w:tc>
          <w:tcPr>
            <w:tcW w:w="960" w:type="dxa"/>
            <w:vAlign w:val="bottom"/>
            <w:gridSpan w:val="3"/>
            <w:vMerge w:val="restart"/>
          </w:tcPr>
          <w:p>
            <w:pPr>
              <w:jc w:val="right"/>
              <w:ind w:right="90"/>
              <w:spacing w:after="0" w:line="269" w:lineRule="exact"/>
              <w:rPr>
                <w:sz w:val="20"/>
                <w:szCs w:val="20"/>
                <w:color w:val="auto"/>
              </w:rPr>
            </w:pPr>
            <w:r>
              <w:rPr>
                <w:rFonts w:ascii="Arial" w:cs="Arial" w:eastAsia="Arial" w:hAnsi="Arial"/>
                <w:sz w:val="31"/>
                <w:szCs w:val="31"/>
                <w:color w:val="auto"/>
                <w:vertAlign w:val="superscript"/>
              </w:rPr>
              <w:t>​</w:t>
            </w:r>
            <w:r>
              <w:rPr>
                <w:rFonts w:ascii="Arial" w:cs="Arial" w:eastAsia="Arial" w:hAnsi="Arial"/>
                <w:sz w:val="17"/>
                <w:szCs w:val="17"/>
                <w:color w:val="auto"/>
              </w:rPr>
              <w:t>​21,224</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line="20" w:lineRule="exact"/>
              <w:rPr>
                <w:sz w:val="1"/>
                <w:szCs w:val="1"/>
                <w:color w:val="auto"/>
              </w:rPr>
            </w:pPr>
          </w:p>
        </w:tc>
      </w:tr>
      <w:tr>
        <w:trPr>
          <w:trHeight w:val="238"/>
        </w:trPr>
        <w:tc>
          <w:tcPr>
            <w:tcW w:w="180" w:type="dxa"/>
            <w:vAlign w:val="bottom"/>
            <w:vMerge w:val="continue"/>
          </w:tcPr>
          <w:p>
            <w:pPr>
              <w:spacing w:after="0"/>
              <w:rPr>
                <w:sz w:val="20"/>
                <w:szCs w:val="20"/>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January 28, 2027</w:t>
            </w:r>
          </w:p>
        </w:tc>
        <w:tc>
          <w:tcPr>
            <w:tcW w:w="1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3"/>
            <w:vMerge w:val="continue"/>
          </w:tcPr>
          <w:p>
            <w:pPr>
              <w:spacing w:after="0"/>
              <w:rPr>
                <w:sz w:val="20"/>
                <w:szCs w:val="20"/>
                <w:color w:val="auto"/>
              </w:rPr>
            </w:pPr>
          </w:p>
        </w:tc>
        <w:tc>
          <w:tcPr>
            <w:tcW w:w="2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5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8"/>
              </w:rPr>
              <w:t>December 31, 2027</w:t>
            </w:r>
          </w:p>
        </w:tc>
        <w:tc>
          <w:tcPr>
            <w:tcW w:w="10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
                <w:szCs w:val="2"/>
                <w:color w:val="auto"/>
              </w:rPr>
            </w:pPr>
          </w:p>
        </w:tc>
        <w:tc>
          <w:tcPr>
            <w:tcW w:w="200" w:type="dxa"/>
            <w:vAlign w:val="bottom"/>
            <w:vMerge w:val="restart"/>
          </w:tcPr>
          <w:p>
            <w:pPr>
              <w:jc w:val="right"/>
              <w:ind w:right="78"/>
              <w:spacing w:after="0" w:line="269" w:lineRule="exact"/>
              <w:rPr>
                <w:sz w:val="20"/>
                <w:szCs w:val="20"/>
                <w:color w:val="auto"/>
              </w:rPr>
            </w:pPr>
            <w:r>
              <w:rPr>
                <w:rFonts w:ascii="Arial" w:cs="Arial" w:eastAsia="Arial" w:hAnsi="Arial"/>
                <w:sz w:val="17"/>
                <w:szCs w:val="17"/>
                <w:color w:val="auto"/>
              </w:rPr>
              <w:t>​</w:t>
            </w:r>
            <w:r>
              <w:rPr>
                <w:rFonts w:ascii="Arial" w:cs="Arial" w:eastAsia="Arial" w:hAnsi="Arial"/>
                <w:sz w:val="31"/>
                <w:szCs w:val="31"/>
                <w:color w:val="auto"/>
                <w:vertAlign w:val="subscript"/>
              </w:rPr>
              <w:t>​</w:t>
            </w:r>
          </w:p>
        </w:tc>
        <w:tc>
          <w:tcPr>
            <w:tcW w:w="520" w:type="dxa"/>
            <w:vAlign w:val="bottom"/>
            <w:vMerge w:val="restart"/>
          </w:tcPr>
          <w:p>
            <w:pPr>
              <w:jc w:val="right"/>
              <w:ind w:right="90"/>
              <w:spacing w:after="0"/>
              <w:rPr>
                <w:sz w:val="20"/>
                <w:szCs w:val="20"/>
                <w:color w:val="auto"/>
              </w:rPr>
            </w:pPr>
            <w:r>
              <w:rPr>
                <w:rFonts w:ascii="Arial" w:cs="Arial" w:eastAsia="Arial" w:hAnsi="Arial"/>
                <w:sz w:val="18"/>
                <w:szCs w:val="18"/>
                <w:color w:val="auto"/>
              </w:rPr>
              <w:t>—</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line="20" w:lineRule="exact"/>
              <w:rPr>
                <w:sz w:val="1"/>
                <w:szCs w:val="1"/>
                <w:color w:val="auto"/>
              </w:rPr>
            </w:pPr>
          </w:p>
        </w:tc>
      </w:tr>
      <w:tr>
        <w:trPr>
          <w:trHeight w:val="238"/>
        </w:trPr>
        <w:tc>
          <w:tcPr>
            <w:tcW w:w="180" w:type="dxa"/>
            <w:vAlign w:val="bottom"/>
            <w:vMerge w:val="continue"/>
          </w:tcPr>
          <w:p>
            <w:pPr>
              <w:spacing w:after="0"/>
              <w:rPr>
                <w:sz w:val="20"/>
                <w:szCs w:val="20"/>
                <w:color w:val="auto"/>
              </w:rPr>
            </w:pPr>
          </w:p>
        </w:tc>
        <w:tc>
          <w:tcPr>
            <w:tcW w:w="1580" w:type="dxa"/>
            <w:vAlign w:val="bottom"/>
            <w:vMerge w:val="continue"/>
            <w:shd w:val="clear" w:color="auto" w:fill="CCEEFF"/>
          </w:tcPr>
          <w:p>
            <w:pPr>
              <w:spacing w:after="0"/>
              <w:rPr>
                <w:sz w:val="20"/>
                <w:szCs w:val="20"/>
                <w:color w:val="auto"/>
              </w:rPr>
            </w:pPr>
          </w:p>
        </w:tc>
        <w:tc>
          <w:tcPr>
            <w:tcW w:w="100" w:type="dxa"/>
            <w:vAlign w:val="bottom"/>
            <w:vMerge w:val="continue"/>
            <w:shd w:val="clear" w:color="auto" w:fill="CCEEFF"/>
          </w:tcPr>
          <w:p>
            <w:pPr>
              <w:spacing w:after="0"/>
              <w:rPr>
                <w:sz w:val="20"/>
                <w:szCs w:val="20"/>
                <w:color w:val="auto"/>
              </w:rPr>
            </w:pPr>
          </w:p>
        </w:tc>
        <w:tc>
          <w:tcPr>
            <w:tcW w:w="100" w:type="dxa"/>
            <w:vAlign w:val="bottom"/>
            <w:vMerge w:val="continue"/>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0" w:type="dxa"/>
            <w:vAlign w:val="bottom"/>
            <w:vMerge w:val="continue"/>
          </w:tcPr>
          <w:p>
            <w:pPr>
              <w:spacing w:after="0"/>
              <w:rPr>
                <w:sz w:val="20"/>
                <w:szCs w:val="20"/>
                <w:color w:val="auto"/>
              </w:rPr>
            </w:pPr>
          </w:p>
        </w:tc>
        <w:tc>
          <w:tcPr>
            <w:tcW w:w="520" w:type="dxa"/>
            <w:vAlign w:val="bottom"/>
            <w:vMerge w:val="continue"/>
          </w:tcPr>
          <w:p>
            <w:pPr>
              <w:spacing w:after="0"/>
              <w:rPr>
                <w:sz w:val="20"/>
                <w:szCs w:val="20"/>
                <w:color w:val="auto"/>
              </w:rPr>
            </w:pPr>
          </w:p>
        </w:tc>
        <w:tc>
          <w:tcPr>
            <w:tcW w:w="2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82"/>
        </w:trPr>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7"/>
              </w:rPr>
              <w:t>January 28, 2028</w:t>
            </w:r>
          </w:p>
        </w:tc>
        <w:tc>
          <w:tcPr>
            <w:tcW w:w="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4"/>
                <w:szCs w:val="24"/>
                <w:color w:val="auto"/>
              </w:rPr>
            </w:pPr>
          </w:p>
        </w:tc>
        <w:tc>
          <w:tcPr>
            <w:tcW w:w="720" w:type="dxa"/>
            <w:vAlign w:val="bottom"/>
            <w:gridSpan w:val="2"/>
          </w:tcPr>
          <w:p>
            <w:pPr>
              <w:jc w:val="right"/>
              <w:ind w:right="90"/>
              <w:spacing w:after="0" w:line="269" w:lineRule="exact"/>
              <w:rPr>
                <w:sz w:val="20"/>
                <w:szCs w:val="20"/>
                <w:color w:val="auto"/>
              </w:rPr>
            </w:pPr>
            <w:r>
              <w:rPr>
                <w:rFonts w:ascii="Arial" w:cs="Arial" w:eastAsia="Arial" w:hAnsi="Arial"/>
                <w:sz w:val="31"/>
                <w:szCs w:val="31"/>
                <w:color w:val="auto"/>
                <w:w w:val="99"/>
                <w:vertAlign w:val="superscript"/>
              </w:rPr>
              <w:t>​</w:t>
            </w:r>
            <w:r>
              <w:rPr>
                <w:rFonts w:ascii="Arial" w:cs="Arial" w:eastAsia="Arial" w:hAnsi="Arial"/>
                <w:sz w:val="17"/>
                <w:szCs w:val="17"/>
                <w:color w:val="auto"/>
                <w:w w:val="99"/>
              </w:rPr>
              <w:t>​11,383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65"/>
        </w:trPr>
        <w:tc>
          <w:tcPr>
            <w:tcW w:w="180" w:type="dxa"/>
            <w:vAlign w:val="bottom"/>
          </w:tcPr>
          <w:p>
            <w:pPr>
              <w:jc w:val="right"/>
              <w:spacing w:after="0"/>
              <w:rPr>
                <w:sz w:val="20"/>
                <w:szCs w:val="20"/>
                <w:color w:val="auto"/>
              </w:rPr>
            </w:pPr>
            <w:r>
              <w:rPr>
                <w:rFonts w:ascii="Arial" w:cs="Arial" w:eastAsia="Arial" w:hAnsi="Arial"/>
                <w:sz w:val="18"/>
                <w:szCs w:val="18"/>
                <w:color w:val="auto"/>
              </w:rPr>
              <w:t>​ ​</w:t>
            </w:r>
          </w:p>
        </w:tc>
        <w:tc>
          <w:tcPr>
            <w:tcW w:w="1580" w:type="dxa"/>
            <w:vAlign w:val="bottom"/>
          </w:tcPr>
          <w:p>
            <w:pPr>
              <w:jc w:val="center"/>
              <w:spacing w:after="0"/>
              <w:rPr>
                <w:sz w:val="20"/>
                <w:szCs w:val="20"/>
                <w:color w:val="auto"/>
              </w:rPr>
            </w:pPr>
            <w:r>
              <w:rPr>
                <w:rFonts w:ascii="Arial" w:cs="Arial" w:eastAsia="Arial" w:hAnsi="Arial"/>
                <w:sz w:val="18"/>
                <w:szCs w:val="18"/>
                <w:color w:val="auto"/>
                <w:w w:val="98"/>
              </w:rPr>
              <w:t>December 31, 2025</w:t>
            </w:r>
          </w:p>
        </w:tc>
        <w:tc>
          <w:tcPr>
            <w:tcW w:w="100" w:type="dxa"/>
            <w:vAlign w:val="bottom"/>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200" w:type="dxa"/>
            <w:vAlign w:val="bottom"/>
          </w:tcPr>
          <w:p>
            <w:pPr>
              <w:jc w:val="right"/>
              <w:ind w:right="78"/>
              <w:spacing w:after="0" w:line="265"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bscript"/>
              </w:rPr>
              <w:t>​</w:t>
            </w:r>
          </w:p>
        </w:tc>
        <w:tc>
          <w:tcPr>
            <w:tcW w:w="5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0"/>
        </w:trPr>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center"/>
              <w:spacing w:after="0"/>
              <w:rPr>
                <w:sz w:val="20"/>
                <w:szCs w:val="20"/>
                <w:color w:val="auto"/>
              </w:rPr>
            </w:pPr>
            <w:r>
              <w:rPr>
                <w:rFonts w:ascii="Arial" w:cs="Arial" w:eastAsia="Arial" w:hAnsi="Arial"/>
                <w:sz w:val="18"/>
                <w:szCs w:val="18"/>
                <w:color w:val="auto"/>
                <w:w w:val="97"/>
              </w:rPr>
              <w:t>January 28, 2026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960" w:type="dxa"/>
            <w:vAlign w:val="bottom"/>
            <w:gridSpan w:val="3"/>
          </w:tcPr>
          <w:p>
            <w:pPr>
              <w:jc w:val="right"/>
              <w:ind w:right="90"/>
              <w:spacing w:after="0" w:line="269" w:lineRule="exact"/>
              <w:rPr>
                <w:sz w:val="20"/>
                <w:szCs w:val="20"/>
                <w:color w:val="auto"/>
              </w:rPr>
            </w:pPr>
            <w:r>
              <w:rPr>
                <w:rFonts w:ascii="Arial" w:cs="Arial" w:eastAsia="Arial" w:hAnsi="Arial"/>
                <w:sz w:val="31"/>
                <w:szCs w:val="31"/>
                <w:color w:val="auto"/>
                <w:vertAlign w:val="superscript"/>
              </w:rPr>
              <w:t>​</w:t>
            </w:r>
            <w:r>
              <w:rPr>
                <w:rFonts w:ascii="Arial" w:cs="Arial" w:eastAsia="Arial" w:hAnsi="Arial"/>
                <w:sz w:val="17"/>
                <w:szCs w:val="17"/>
                <w:color w:val="auto"/>
              </w:rPr>
              <w:t>​14,430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0"/>
        </w:trPr>
        <w:tc>
          <w:tcPr>
            <w:tcW w:w="1760" w:type="dxa"/>
            <w:vAlign w:val="bottom"/>
            <w:gridSpan w:val="2"/>
          </w:tcPr>
          <w:p>
            <w:pPr>
              <w:ind w:left="120"/>
              <w:spacing w:after="0" w:line="269" w:lineRule="exact"/>
              <w:rPr>
                <w:sz w:val="20"/>
                <w:szCs w:val="20"/>
                <w:color w:val="auto"/>
              </w:rPr>
            </w:pPr>
            <w:r>
              <w:rPr>
                <w:rFonts w:ascii="Arial" w:cs="Arial" w:eastAsia="Arial" w:hAnsi="Arial"/>
                <w:sz w:val="31"/>
                <w:szCs w:val="31"/>
                <w:color w:val="auto"/>
                <w:vertAlign w:val="superscript"/>
              </w:rPr>
              <w:t>​</w:t>
            </w:r>
            <w:r>
              <w:rPr>
                <w:rFonts w:ascii="Arial" w:cs="Arial" w:eastAsia="Arial" w:hAnsi="Arial"/>
                <w:sz w:val="17"/>
                <w:szCs w:val="17"/>
                <w:color w:val="auto"/>
              </w:rPr>
              <w:t>December 31, 2026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440" w:type="dxa"/>
            <w:vAlign w:val="bottom"/>
            <w:gridSpan w:val="2"/>
          </w:tcPr>
          <w:p>
            <w:pPr>
              <w:jc w:val="right"/>
              <w:ind w:right="78"/>
              <w:spacing w:after="0" w:line="269" w:lineRule="exact"/>
              <w:rPr>
                <w:sz w:val="20"/>
                <w:szCs w:val="20"/>
                <w:color w:val="auto"/>
              </w:rPr>
            </w:pPr>
            <w:r>
              <w:rPr>
                <w:rFonts w:ascii="Arial" w:cs="Arial" w:eastAsia="Arial" w:hAnsi="Arial"/>
                <w:sz w:val="31"/>
                <w:szCs w:val="31"/>
                <w:color w:val="auto"/>
                <w:vertAlign w:val="superscript"/>
              </w:rPr>
              <w:t>​</w:t>
            </w:r>
            <w:r>
              <w:rPr>
                <w:rFonts w:ascii="Arial" w:cs="Arial" w:eastAsia="Arial" w:hAnsi="Arial"/>
                <w:sz w:val="17"/>
                <w:szCs w:val="17"/>
                <w:color w:val="auto"/>
              </w:rPr>
              <w:t>​</w:t>
            </w:r>
          </w:p>
        </w:tc>
        <w:tc>
          <w:tcPr>
            <w:tcW w:w="5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0"/>
        </w:trPr>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center"/>
              <w:spacing w:after="0"/>
              <w:rPr>
                <w:sz w:val="20"/>
                <w:szCs w:val="20"/>
                <w:color w:val="auto"/>
              </w:rPr>
            </w:pPr>
            <w:r>
              <w:rPr>
                <w:rFonts w:ascii="Arial" w:cs="Arial" w:eastAsia="Arial" w:hAnsi="Arial"/>
                <w:sz w:val="18"/>
                <w:szCs w:val="18"/>
                <w:color w:val="auto"/>
                <w:w w:val="97"/>
              </w:rPr>
              <w:t>January 28, 2027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960" w:type="dxa"/>
            <w:vAlign w:val="bottom"/>
            <w:gridSpan w:val="3"/>
          </w:tcPr>
          <w:p>
            <w:pPr>
              <w:jc w:val="right"/>
              <w:ind w:right="90"/>
              <w:spacing w:after="0" w:line="269" w:lineRule="exact"/>
              <w:rPr>
                <w:sz w:val="20"/>
                <w:szCs w:val="20"/>
                <w:color w:val="auto"/>
              </w:rPr>
            </w:pPr>
            <w:r>
              <w:rPr>
                <w:rFonts w:ascii="Arial" w:cs="Arial" w:eastAsia="Arial" w:hAnsi="Arial"/>
                <w:sz w:val="31"/>
                <w:szCs w:val="31"/>
                <w:color w:val="auto"/>
                <w:vertAlign w:val="superscript"/>
              </w:rPr>
              <w:t>​</w:t>
            </w:r>
            <w:r>
              <w:rPr>
                <w:rFonts w:ascii="Arial" w:cs="Arial" w:eastAsia="Arial" w:hAnsi="Arial"/>
                <w:sz w:val="17"/>
                <w:szCs w:val="17"/>
                <w:color w:val="auto"/>
              </w:rPr>
              <w:t>​10,207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0"/>
        </w:trPr>
        <w:tc>
          <w:tcPr>
            <w:tcW w:w="1760" w:type="dxa"/>
            <w:vAlign w:val="bottom"/>
            <w:gridSpan w:val="2"/>
          </w:tcPr>
          <w:p>
            <w:pPr>
              <w:ind w:left="120"/>
              <w:spacing w:after="0" w:line="269" w:lineRule="exact"/>
              <w:rPr>
                <w:sz w:val="20"/>
                <w:szCs w:val="20"/>
                <w:color w:val="auto"/>
              </w:rPr>
            </w:pPr>
            <w:r>
              <w:rPr>
                <w:rFonts w:ascii="Arial" w:cs="Arial" w:eastAsia="Arial" w:hAnsi="Arial"/>
                <w:sz w:val="31"/>
                <w:szCs w:val="31"/>
                <w:color w:val="auto"/>
                <w:vertAlign w:val="superscript"/>
              </w:rPr>
              <w:t>​</w:t>
            </w:r>
            <w:r>
              <w:rPr>
                <w:rFonts w:ascii="Arial" w:cs="Arial" w:eastAsia="Arial" w:hAnsi="Arial"/>
                <w:sz w:val="17"/>
                <w:szCs w:val="17"/>
                <w:color w:val="auto"/>
              </w:rPr>
              <w:t>December 31, 2027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440" w:type="dxa"/>
            <w:vAlign w:val="bottom"/>
            <w:gridSpan w:val="2"/>
          </w:tcPr>
          <w:p>
            <w:pPr>
              <w:jc w:val="right"/>
              <w:ind w:right="78"/>
              <w:spacing w:after="0" w:line="269" w:lineRule="exact"/>
              <w:rPr>
                <w:sz w:val="20"/>
                <w:szCs w:val="20"/>
                <w:color w:val="auto"/>
              </w:rPr>
            </w:pPr>
            <w:r>
              <w:rPr>
                <w:rFonts w:ascii="Arial" w:cs="Arial" w:eastAsia="Arial" w:hAnsi="Arial"/>
                <w:sz w:val="31"/>
                <w:szCs w:val="31"/>
                <w:color w:val="auto"/>
                <w:vertAlign w:val="superscript"/>
              </w:rPr>
              <w:t>​</w:t>
            </w:r>
            <w:r>
              <w:rPr>
                <w:rFonts w:ascii="Arial" w:cs="Arial" w:eastAsia="Arial" w:hAnsi="Arial"/>
                <w:sz w:val="17"/>
                <w:szCs w:val="17"/>
                <w:color w:val="auto"/>
              </w:rPr>
              <w:t>​</w:t>
            </w:r>
          </w:p>
        </w:tc>
        <w:tc>
          <w:tcPr>
            <w:tcW w:w="5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0"/>
        </w:trPr>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center"/>
              <w:spacing w:after="0"/>
              <w:rPr>
                <w:sz w:val="20"/>
                <w:szCs w:val="20"/>
                <w:color w:val="auto"/>
              </w:rPr>
            </w:pPr>
            <w:r>
              <w:rPr>
                <w:rFonts w:ascii="Arial" w:cs="Arial" w:eastAsia="Arial" w:hAnsi="Arial"/>
                <w:sz w:val="18"/>
                <w:szCs w:val="18"/>
                <w:color w:val="auto"/>
                <w:w w:val="97"/>
              </w:rPr>
              <w:t>January 28, 2028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960" w:type="dxa"/>
            <w:vAlign w:val="bottom"/>
            <w:gridSpan w:val="3"/>
          </w:tcPr>
          <w:p>
            <w:pPr>
              <w:jc w:val="right"/>
              <w:ind w:right="90"/>
              <w:spacing w:after="0" w:line="269" w:lineRule="exact"/>
              <w:rPr>
                <w:sz w:val="20"/>
                <w:szCs w:val="20"/>
                <w:color w:val="auto"/>
              </w:rPr>
            </w:pPr>
            <w:r>
              <w:rPr>
                <w:rFonts w:ascii="Arial" w:cs="Arial" w:eastAsia="Arial" w:hAnsi="Arial"/>
                <w:sz w:val="31"/>
                <w:szCs w:val="31"/>
                <w:color w:val="auto"/>
                <w:vertAlign w:val="superscript"/>
              </w:rPr>
              <w:t>​</w:t>
            </w:r>
            <w:r>
              <w:rPr>
                <w:rFonts w:ascii="Arial" w:cs="Arial" w:eastAsia="Arial" w:hAnsi="Arial"/>
                <w:sz w:val="17"/>
                <w:szCs w:val="17"/>
                <w:color w:val="auto"/>
              </w:rPr>
              <w:t>​ 5,363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97"/>
        </w:trPr>
        <w:tc>
          <w:tcPr>
            <w:tcW w:w="180" w:type="dxa"/>
            <w:vAlign w:val="bottom"/>
          </w:tcPr>
          <w:p>
            <w:pPr>
              <w:jc w:val="right"/>
              <w:spacing w:after="0"/>
              <w:rPr>
                <w:sz w:val="20"/>
                <w:szCs w:val="20"/>
                <w:color w:val="auto"/>
              </w:rPr>
            </w:pPr>
            <w:r>
              <w:rPr>
                <w:rFonts w:ascii="Arial" w:cs="Arial" w:eastAsia="Arial" w:hAnsi="Arial"/>
                <w:sz w:val="18"/>
                <w:szCs w:val="18"/>
                <w:color w:val="auto"/>
              </w:rPr>
              <w:t>​ ​</w:t>
            </w:r>
          </w:p>
        </w:tc>
        <w:tc>
          <w:tcPr>
            <w:tcW w:w="1580" w:type="dxa"/>
            <w:vAlign w:val="bottom"/>
          </w:tcPr>
          <w:p>
            <w:pPr>
              <w:jc w:val="center"/>
              <w:spacing w:after="0"/>
              <w:rPr>
                <w:sz w:val="20"/>
                <w:szCs w:val="20"/>
                <w:color w:val="auto"/>
              </w:rPr>
            </w:pPr>
            <w:r>
              <w:rPr>
                <w:rFonts w:ascii="Arial" w:cs="Arial" w:eastAsia="Arial" w:hAnsi="Arial"/>
                <w:sz w:val="18"/>
                <w:szCs w:val="18"/>
                <w:color w:val="auto"/>
                <w:w w:val="97"/>
              </w:rPr>
              <w:t>January 28, 2026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960" w:type="dxa"/>
            <w:vAlign w:val="bottom"/>
            <w:gridSpan w:val="3"/>
          </w:tcPr>
          <w:p>
            <w:pPr>
              <w:jc w:val="right"/>
              <w:ind w:right="90"/>
              <w:spacing w:after="0" w:line="297" w:lineRule="exact"/>
              <w:rPr>
                <w:sz w:val="20"/>
                <w:szCs w:val="20"/>
                <w:color w:val="auto"/>
              </w:rPr>
            </w:pPr>
            <w:r>
              <w:rPr>
                <w:rFonts w:ascii="Arial" w:cs="Arial" w:eastAsia="Arial" w:hAnsi="Arial"/>
                <w:sz w:val="34"/>
                <w:szCs w:val="34"/>
                <w:color w:val="auto"/>
                <w:vertAlign w:val="superscript"/>
              </w:rPr>
              <w:t>​</w:t>
            </w:r>
            <w:r>
              <w:rPr>
                <w:rFonts w:ascii="Arial" w:cs="Arial" w:eastAsia="Arial" w:hAnsi="Arial"/>
                <w:sz w:val="18"/>
                <w:szCs w:val="18"/>
                <w:color w:val="auto"/>
              </w:rPr>
              <w:t>​ 4,280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32"/>
        </w:trPr>
        <w:tc>
          <w:tcPr>
            <w:tcW w:w="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spacing w:after="0"/>
              <w:rPr>
                <w:sz w:val="2"/>
                <w:szCs w:val="2"/>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 ​</w:t>
            </w:r>
          </w:p>
        </w:tc>
        <w:tc>
          <w:tcPr>
            <w:tcW w:w="960" w:type="dxa"/>
            <w:vAlign w:val="bottom"/>
            <w:gridSpan w:val="3"/>
            <w:vMerge w:val="restart"/>
          </w:tcPr>
          <w:p>
            <w:pPr>
              <w:jc w:val="right"/>
              <w:ind w:right="90"/>
              <w:spacing w:after="0" w:line="269" w:lineRule="exact"/>
              <w:rPr>
                <w:sz w:val="20"/>
                <w:szCs w:val="20"/>
                <w:color w:val="auto"/>
              </w:rPr>
            </w:pPr>
            <w:r>
              <w:rPr>
                <w:rFonts w:ascii="Arial" w:cs="Arial" w:eastAsia="Arial" w:hAnsi="Arial"/>
                <w:sz w:val="31"/>
                <w:szCs w:val="31"/>
                <w:color w:val="auto"/>
                <w:vertAlign w:val="superscript"/>
              </w:rPr>
              <w:t>​</w:t>
            </w:r>
            <w:r>
              <w:rPr>
                <w:rFonts w:ascii="Arial" w:cs="Arial" w:eastAsia="Arial" w:hAnsi="Arial"/>
                <w:sz w:val="17"/>
                <w:szCs w:val="17"/>
                <w:color w:val="auto"/>
              </w:rPr>
              <w:t>​ 4,280</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line="20" w:lineRule="exact"/>
              <w:rPr>
                <w:sz w:val="1"/>
                <w:szCs w:val="1"/>
                <w:color w:val="auto"/>
              </w:rPr>
            </w:pPr>
          </w:p>
        </w:tc>
      </w:tr>
      <w:tr>
        <w:trPr>
          <w:trHeight w:val="238"/>
        </w:trPr>
        <w:tc>
          <w:tcPr>
            <w:tcW w:w="180" w:type="dxa"/>
            <w:vAlign w:val="bottom"/>
            <w:vMerge w:val="continue"/>
          </w:tcPr>
          <w:p>
            <w:pPr>
              <w:spacing w:after="0"/>
              <w:rPr>
                <w:sz w:val="20"/>
                <w:szCs w:val="20"/>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January 28, 2027</w:t>
            </w:r>
          </w:p>
        </w:tc>
        <w:tc>
          <w:tcPr>
            <w:tcW w:w="200" w:type="dxa"/>
            <w:vAlign w:val="bottom"/>
            <w:gridSpan w:val="2"/>
            <w:vMerge w:val="continue"/>
          </w:tcPr>
          <w:p>
            <w:pPr>
              <w:spacing w:after="0"/>
              <w:rPr>
                <w:sz w:val="20"/>
                <w:szCs w:val="20"/>
                <w:color w:val="auto"/>
              </w:rPr>
            </w:pPr>
          </w:p>
        </w:tc>
        <w:tc>
          <w:tcPr>
            <w:tcW w:w="960" w:type="dxa"/>
            <w:vAlign w:val="bottom"/>
            <w:gridSpan w:val="3"/>
            <w:vMerge w:val="continue"/>
          </w:tcPr>
          <w:p>
            <w:pPr>
              <w:spacing w:after="0"/>
              <w:rPr>
                <w:sz w:val="20"/>
                <w:szCs w:val="20"/>
                <w:color w:val="auto"/>
              </w:rPr>
            </w:pPr>
          </w:p>
        </w:tc>
        <w:tc>
          <w:tcPr>
            <w:tcW w:w="2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vMerge w:val="restart"/>
          </w:tcPr>
          <w:p>
            <w:pPr>
              <w:jc w:val="right"/>
              <w:ind w:right="78"/>
              <w:spacing w:after="0" w:line="269" w:lineRule="exact"/>
              <w:rPr>
                <w:sz w:val="20"/>
                <w:szCs w:val="20"/>
                <w:color w:val="auto"/>
              </w:rPr>
            </w:pPr>
            <w:r>
              <w:rPr>
                <w:rFonts w:ascii="Arial" w:cs="Arial" w:eastAsia="Arial" w:hAnsi="Arial"/>
                <w:sz w:val="31"/>
                <w:szCs w:val="31"/>
                <w:color w:val="auto"/>
                <w:vertAlign w:val="superscript"/>
              </w:rPr>
              <w:t>​</w:t>
            </w:r>
            <w:r>
              <w:rPr>
                <w:rFonts w:ascii="Arial" w:cs="Arial" w:eastAsia="Arial" w:hAnsi="Arial"/>
                <w:sz w:val="17"/>
                <w:szCs w:val="17"/>
                <w:color w:val="auto"/>
              </w:rPr>
              <w:t>​</w:t>
            </w:r>
          </w:p>
        </w:tc>
        <w:tc>
          <w:tcPr>
            <w:tcW w:w="520" w:type="dxa"/>
            <w:vAlign w:val="bottom"/>
          </w:tcPr>
          <w:p>
            <w:pPr>
              <w:spacing w:after="0"/>
              <w:rPr>
                <w:sz w:val="2"/>
                <w:szCs w:val="2"/>
                <w:color w:val="auto"/>
              </w:rPr>
            </w:pP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line="20" w:lineRule="exact"/>
              <w:rPr>
                <w:sz w:val="1"/>
                <w:szCs w:val="1"/>
                <w:color w:val="auto"/>
              </w:rPr>
            </w:pPr>
          </w:p>
        </w:tc>
      </w:tr>
      <w:tr>
        <w:trPr>
          <w:trHeight w:val="238"/>
        </w:trPr>
        <w:tc>
          <w:tcPr>
            <w:tcW w:w="180" w:type="dxa"/>
            <w:vAlign w:val="bottom"/>
            <w:vMerge w:val="continue"/>
          </w:tcPr>
          <w:p>
            <w:pPr>
              <w:spacing w:after="0"/>
              <w:rPr>
                <w:sz w:val="20"/>
                <w:szCs w:val="20"/>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December 31, 2027</w:t>
            </w:r>
          </w:p>
        </w:tc>
        <w:tc>
          <w:tcPr>
            <w:tcW w:w="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vMerge w:val="continue"/>
          </w:tcPr>
          <w:p>
            <w:pPr>
              <w:spacing w:after="0"/>
              <w:rPr>
                <w:sz w:val="20"/>
                <w:szCs w:val="20"/>
                <w:color w:val="auto"/>
              </w:rPr>
            </w:pPr>
          </w:p>
        </w:tc>
        <w:tc>
          <w:tcPr>
            <w:tcW w:w="440" w:type="dxa"/>
            <w:vAlign w:val="bottom"/>
            <w:gridSpan w:val="2"/>
            <w:vMerge w:val="continue"/>
          </w:tcPr>
          <w:p>
            <w:pPr>
              <w:spacing w:after="0"/>
              <w:rPr>
                <w:sz w:val="20"/>
                <w:szCs w:val="20"/>
                <w:color w:val="auto"/>
              </w:rPr>
            </w:pPr>
          </w:p>
        </w:tc>
        <w:tc>
          <w:tcPr>
            <w:tcW w:w="5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82"/>
        </w:trPr>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7"/>
              </w:rPr>
              <w:t>January 28, 2028</w:t>
            </w:r>
          </w:p>
        </w:tc>
        <w:tc>
          <w:tcPr>
            <w:tcW w:w="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90"/>
              <w:spacing w:after="0" w:line="269" w:lineRule="exact"/>
              <w:rPr>
                <w:sz w:val="20"/>
                <w:szCs w:val="20"/>
                <w:color w:val="auto"/>
              </w:rPr>
            </w:pPr>
            <w:r>
              <w:rPr>
                <w:rFonts w:ascii="Arial" w:cs="Arial" w:eastAsia="Arial" w:hAnsi="Arial"/>
                <w:sz w:val="31"/>
                <w:szCs w:val="31"/>
                <w:color w:val="auto"/>
                <w:vertAlign w:val="superscript"/>
              </w:rPr>
              <w:t>​</w:t>
            </w:r>
            <w:r>
              <w:rPr>
                <w:rFonts w:ascii="Arial" w:cs="Arial" w:eastAsia="Arial" w:hAnsi="Arial"/>
                <w:sz w:val="17"/>
                <w:szCs w:val="17"/>
                <w:color w:val="auto"/>
              </w:rPr>
              <w:t>​ 4,281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65"/>
        </w:trPr>
        <w:tc>
          <w:tcPr>
            <w:tcW w:w="180" w:type="dxa"/>
            <w:vAlign w:val="bottom"/>
          </w:tcPr>
          <w:p>
            <w:pPr>
              <w:jc w:val="right"/>
              <w:spacing w:after="0"/>
              <w:rPr>
                <w:sz w:val="20"/>
                <w:szCs w:val="20"/>
                <w:color w:val="auto"/>
              </w:rPr>
            </w:pPr>
            <w:r>
              <w:rPr>
                <w:rFonts w:ascii="Arial" w:cs="Arial" w:eastAsia="Arial" w:hAnsi="Arial"/>
                <w:sz w:val="18"/>
                <w:szCs w:val="18"/>
                <w:color w:val="auto"/>
              </w:rPr>
              <w:t>​ ​</w:t>
            </w:r>
          </w:p>
        </w:tc>
        <w:tc>
          <w:tcPr>
            <w:tcW w:w="1580" w:type="dxa"/>
            <w:vAlign w:val="bottom"/>
          </w:tcPr>
          <w:p>
            <w:pPr>
              <w:jc w:val="center"/>
              <w:spacing w:after="0"/>
              <w:rPr>
                <w:sz w:val="20"/>
                <w:szCs w:val="20"/>
                <w:color w:val="auto"/>
              </w:rPr>
            </w:pPr>
            <w:r>
              <w:rPr>
                <w:rFonts w:ascii="Arial" w:cs="Arial" w:eastAsia="Arial" w:hAnsi="Arial"/>
                <w:sz w:val="18"/>
                <w:szCs w:val="18"/>
                <w:color w:val="auto"/>
                <w:w w:val="98"/>
              </w:rPr>
              <w:t>December 31, 2025</w:t>
            </w:r>
          </w:p>
        </w:tc>
        <w:tc>
          <w:tcPr>
            <w:tcW w:w="100" w:type="dxa"/>
            <w:vAlign w:val="bottom"/>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78"/>
              <w:spacing w:after="0" w:line="265"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bscript"/>
              </w:rPr>
              <w:t>​</w:t>
            </w:r>
          </w:p>
        </w:tc>
        <w:tc>
          <w:tcPr>
            <w:tcW w:w="5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0"/>
        </w:trPr>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center"/>
              <w:spacing w:after="0"/>
              <w:rPr>
                <w:sz w:val="20"/>
                <w:szCs w:val="20"/>
                <w:color w:val="auto"/>
              </w:rPr>
            </w:pPr>
            <w:r>
              <w:rPr>
                <w:rFonts w:ascii="Arial" w:cs="Arial" w:eastAsia="Arial" w:hAnsi="Arial"/>
                <w:sz w:val="18"/>
                <w:szCs w:val="18"/>
                <w:color w:val="auto"/>
                <w:w w:val="97"/>
              </w:rPr>
              <w:t>January 28, 2026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960" w:type="dxa"/>
            <w:vAlign w:val="bottom"/>
            <w:gridSpan w:val="3"/>
          </w:tcPr>
          <w:p>
            <w:pPr>
              <w:jc w:val="right"/>
              <w:ind w:right="90"/>
              <w:spacing w:after="0" w:line="269" w:lineRule="exact"/>
              <w:rPr>
                <w:sz w:val="20"/>
                <w:szCs w:val="20"/>
                <w:color w:val="auto"/>
              </w:rPr>
            </w:pPr>
            <w:r>
              <w:rPr>
                <w:rFonts w:ascii="Arial" w:cs="Arial" w:eastAsia="Arial" w:hAnsi="Arial"/>
                <w:sz w:val="31"/>
                <w:szCs w:val="31"/>
                <w:color w:val="auto"/>
                <w:vertAlign w:val="superscript"/>
              </w:rPr>
              <w:t>​</w:t>
            </w:r>
            <w:r>
              <w:rPr>
                <w:rFonts w:ascii="Arial" w:cs="Arial" w:eastAsia="Arial" w:hAnsi="Arial"/>
                <w:sz w:val="17"/>
                <w:szCs w:val="17"/>
                <w:color w:val="auto"/>
              </w:rPr>
              <w:t>​11,559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0"/>
        </w:trPr>
        <w:tc>
          <w:tcPr>
            <w:tcW w:w="1760" w:type="dxa"/>
            <w:vAlign w:val="bottom"/>
            <w:gridSpan w:val="2"/>
          </w:tcPr>
          <w:p>
            <w:pPr>
              <w:ind w:left="120"/>
              <w:spacing w:after="0" w:line="269" w:lineRule="exact"/>
              <w:rPr>
                <w:sz w:val="20"/>
                <w:szCs w:val="20"/>
                <w:color w:val="auto"/>
              </w:rPr>
            </w:pPr>
            <w:r>
              <w:rPr>
                <w:rFonts w:ascii="Arial" w:cs="Arial" w:eastAsia="Arial" w:hAnsi="Arial"/>
                <w:sz w:val="31"/>
                <w:szCs w:val="31"/>
                <w:color w:val="auto"/>
                <w:vertAlign w:val="superscript"/>
              </w:rPr>
              <w:t>​</w:t>
            </w:r>
            <w:r>
              <w:rPr>
                <w:rFonts w:ascii="Arial" w:cs="Arial" w:eastAsia="Arial" w:hAnsi="Arial"/>
                <w:sz w:val="17"/>
                <w:szCs w:val="17"/>
                <w:color w:val="auto"/>
              </w:rPr>
              <w:t>December 31, 2026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440" w:type="dxa"/>
            <w:vAlign w:val="bottom"/>
            <w:gridSpan w:val="2"/>
          </w:tcPr>
          <w:p>
            <w:pPr>
              <w:jc w:val="right"/>
              <w:ind w:right="78"/>
              <w:spacing w:after="0" w:line="269" w:lineRule="exact"/>
              <w:rPr>
                <w:sz w:val="20"/>
                <w:szCs w:val="20"/>
                <w:color w:val="auto"/>
              </w:rPr>
            </w:pPr>
            <w:r>
              <w:rPr>
                <w:rFonts w:ascii="Arial" w:cs="Arial" w:eastAsia="Arial" w:hAnsi="Arial"/>
                <w:sz w:val="31"/>
                <w:szCs w:val="31"/>
                <w:color w:val="auto"/>
                <w:vertAlign w:val="superscript"/>
              </w:rPr>
              <w:t>​</w:t>
            </w:r>
            <w:r>
              <w:rPr>
                <w:rFonts w:ascii="Arial" w:cs="Arial" w:eastAsia="Arial" w:hAnsi="Arial"/>
                <w:sz w:val="17"/>
                <w:szCs w:val="17"/>
                <w:color w:val="auto"/>
              </w:rPr>
              <w:t>​</w:t>
            </w:r>
          </w:p>
        </w:tc>
        <w:tc>
          <w:tcPr>
            <w:tcW w:w="5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0"/>
        </w:trPr>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center"/>
              <w:spacing w:after="0"/>
              <w:rPr>
                <w:sz w:val="20"/>
                <w:szCs w:val="20"/>
                <w:color w:val="auto"/>
              </w:rPr>
            </w:pPr>
            <w:r>
              <w:rPr>
                <w:rFonts w:ascii="Arial" w:cs="Arial" w:eastAsia="Arial" w:hAnsi="Arial"/>
                <w:sz w:val="18"/>
                <w:szCs w:val="18"/>
                <w:color w:val="auto"/>
                <w:w w:val="97"/>
              </w:rPr>
              <w:t>January 28, 2027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960" w:type="dxa"/>
            <w:vAlign w:val="bottom"/>
            <w:gridSpan w:val="3"/>
          </w:tcPr>
          <w:p>
            <w:pPr>
              <w:jc w:val="right"/>
              <w:ind w:right="90"/>
              <w:spacing w:after="0" w:line="269" w:lineRule="exact"/>
              <w:rPr>
                <w:sz w:val="20"/>
                <w:szCs w:val="20"/>
                <w:color w:val="auto"/>
              </w:rPr>
            </w:pPr>
            <w:r>
              <w:rPr>
                <w:rFonts w:ascii="Arial" w:cs="Arial" w:eastAsia="Arial" w:hAnsi="Arial"/>
                <w:sz w:val="31"/>
                <w:szCs w:val="31"/>
                <w:color w:val="auto"/>
                <w:vertAlign w:val="superscript"/>
              </w:rPr>
              <w:t>​</w:t>
            </w:r>
            <w:r>
              <w:rPr>
                <w:rFonts w:ascii="Arial" w:cs="Arial" w:eastAsia="Arial" w:hAnsi="Arial"/>
                <w:sz w:val="17"/>
                <w:szCs w:val="17"/>
                <w:color w:val="auto"/>
              </w:rPr>
              <w:t>​ 7,088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0"/>
        </w:trPr>
        <w:tc>
          <w:tcPr>
            <w:tcW w:w="1760" w:type="dxa"/>
            <w:vAlign w:val="bottom"/>
            <w:gridSpan w:val="2"/>
          </w:tcPr>
          <w:p>
            <w:pPr>
              <w:ind w:left="120"/>
              <w:spacing w:after="0" w:line="269" w:lineRule="exact"/>
              <w:rPr>
                <w:sz w:val="20"/>
                <w:szCs w:val="20"/>
                <w:color w:val="auto"/>
              </w:rPr>
            </w:pPr>
            <w:r>
              <w:rPr>
                <w:rFonts w:ascii="Arial" w:cs="Arial" w:eastAsia="Arial" w:hAnsi="Arial"/>
                <w:sz w:val="31"/>
                <w:szCs w:val="31"/>
                <w:color w:val="auto"/>
                <w:vertAlign w:val="superscript"/>
              </w:rPr>
              <w:t>​</w:t>
            </w:r>
            <w:r>
              <w:rPr>
                <w:rFonts w:ascii="Arial" w:cs="Arial" w:eastAsia="Arial" w:hAnsi="Arial"/>
                <w:sz w:val="17"/>
                <w:szCs w:val="17"/>
                <w:color w:val="auto"/>
              </w:rPr>
              <w:t>December 31, 2027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440" w:type="dxa"/>
            <w:vAlign w:val="bottom"/>
            <w:gridSpan w:val="2"/>
          </w:tcPr>
          <w:p>
            <w:pPr>
              <w:jc w:val="right"/>
              <w:ind w:right="78"/>
              <w:spacing w:after="0" w:line="269" w:lineRule="exact"/>
              <w:rPr>
                <w:sz w:val="20"/>
                <w:szCs w:val="20"/>
                <w:color w:val="auto"/>
              </w:rPr>
            </w:pPr>
            <w:r>
              <w:rPr>
                <w:rFonts w:ascii="Arial" w:cs="Arial" w:eastAsia="Arial" w:hAnsi="Arial"/>
                <w:sz w:val="31"/>
                <w:szCs w:val="31"/>
                <w:color w:val="auto"/>
                <w:vertAlign w:val="superscript"/>
              </w:rPr>
              <w:t>​</w:t>
            </w:r>
            <w:r>
              <w:rPr>
                <w:rFonts w:ascii="Arial" w:cs="Arial" w:eastAsia="Arial" w:hAnsi="Arial"/>
                <w:sz w:val="17"/>
                <w:szCs w:val="17"/>
                <w:color w:val="auto"/>
              </w:rPr>
              <w:t>​</w:t>
            </w:r>
          </w:p>
        </w:tc>
        <w:tc>
          <w:tcPr>
            <w:tcW w:w="5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88"/>
        </w:trPr>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center"/>
              <w:spacing w:after="0"/>
              <w:rPr>
                <w:sz w:val="20"/>
                <w:szCs w:val="20"/>
                <w:color w:val="auto"/>
              </w:rPr>
            </w:pPr>
            <w:r>
              <w:rPr>
                <w:rFonts w:ascii="Arial" w:cs="Arial" w:eastAsia="Arial" w:hAnsi="Arial"/>
                <w:sz w:val="18"/>
                <w:szCs w:val="18"/>
                <w:color w:val="auto"/>
                <w:w w:val="97"/>
              </w:rPr>
              <w:t>January 28, 2028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960" w:type="dxa"/>
            <w:vAlign w:val="bottom"/>
            <w:gridSpan w:val="3"/>
          </w:tcPr>
          <w:p>
            <w:pPr>
              <w:jc w:val="right"/>
              <w:ind w:right="90"/>
              <w:spacing w:after="0" w:line="288" w:lineRule="exact"/>
              <w:rPr>
                <w:sz w:val="20"/>
                <w:szCs w:val="20"/>
                <w:color w:val="auto"/>
              </w:rPr>
            </w:pPr>
            <w:r>
              <w:rPr>
                <w:rFonts w:ascii="Arial" w:cs="Arial" w:eastAsia="Arial" w:hAnsi="Arial"/>
                <w:sz w:val="33"/>
                <w:szCs w:val="33"/>
                <w:color w:val="auto"/>
                <w:vertAlign w:val="superscript"/>
              </w:rPr>
              <w:t>​</w:t>
            </w:r>
            <w:r>
              <w:rPr>
                <w:rFonts w:ascii="Arial" w:cs="Arial" w:eastAsia="Arial" w:hAnsi="Arial"/>
                <w:sz w:val="17"/>
                <w:szCs w:val="17"/>
                <w:color w:val="auto"/>
              </w:rPr>
              <w:t>​ 3,456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-1622425</wp:posOffset>
            </wp:positionH>
            <wp:positionV relativeFrom="paragraph">
              <wp:posOffset>-1739265</wp:posOffset>
            </wp:positionV>
            <wp:extent cx="4749165" cy="7029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749165" cy="702945"/>
                    </a:xfrm>
                    <a:prstGeom prst="rect">
                      <a:avLst/>
                    </a:prstGeom>
                    <a:noFill/>
                  </pic:spPr>
                </pic:pic>
              </a:graphicData>
            </a:graphic>
          </wp:anchor>
        </w:drawing>
        <w:drawing>
          <wp:anchor simplePos="0" relativeHeight="251657728" behindDoc="1" locked="0" layoutInCell="0" allowOverlap="1">
            <wp:simplePos x="0" y="0"/>
            <wp:positionH relativeFrom="column">
              <wp:posOffset>-1622425</wp:posOffset>
            </wp:positionH>
            <wp:positionV relativeFrom="paragraph">
              <wp:posOffset>-3839210</wp:posOffset>
            </wp:positionV>
            <wp:extent cx="4749165" cy="1054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749165" cy="10541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Number of Performance-</w:t>
      </w:r>
    </w:p>
    <w:p>
      <w:pPr>
        <w:spacing w:after="0" w:line="15"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auto"/>
        </w:rPr>
        <w:t>Based Performance</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Shares to Vest</w:t>
      </w:r>
    </w:p>
    <w:p>
      <w:pPr>
        <w:ind w:left="560"/>
        <w:spacing w:after="0" w:line="190" w:lineRule="auto"/>
        <w:rPr>
          <w:sz w:val="20"/>
          <w:szCs w:val="20"/>
          <w:color w:val="auto"/>
        </w:rPr>
      </w:pPr>
      <w:r>
        <w:rPr>
          <w:rFonts w:ascii="Arial" w:cs="Arial" w:eastAsia="Arial" w:hAnsi="Arial"/>
          <w:sz w:val="35"/>
          <w:szCs w:val="35"/>
          <w:color w:val="auto"/>
          <w:vertAlign w:val="superscript"/>
        </w:rPr>
        <w:t>​</w:t>
      </w:r>
      <w:r>
        <w:rPr>
          <w:rFonts w:ascii="Arial" w:cs="Arial" w:eastAsia="Arial" w:hAnsi="Arial"/>
          <w:sz w:val="18"/>
          <w:szCs w:val="18"/>
          <w:color w:val="auto"/>
        </w:rPr>
        <w:t>​59,163</w:t>
      </w:r>
    </w:p>
    <w:p>
      <w:pPr>
        <w:ind w:left="560"/>
        <w:spacing w:after="0"/>
        <w:tabs>
          <w:tab w:leader="none" w:pos="920" w:val="left"/>
        </w:tabs>
        <w:rPr>
          <w:sz w:val="20"/>
          <w:szCs w:val="20"/>
          <w:color w:val="auto"/>
        </w:rPr>
      </w:pPr>
      <w:r>
        <w:rPr>
          <w:rFonts w:ascii="Arial" w:cs="Arial" w:eastAsia="Arial" w:hAnsi="Arial"/>
          <w:sz w:val="31"/>
          <w:szCs w:val="31"/>
          <w:color w:val="auto"/>
          <w:vertAlign w:val="superscript"/>
        </w:rPr>
        <w:t>​</w:t>
      </w:r>
      <w:r>
        <w:rPr>
          <w:rFonts w:ascii="Arial" w:cs="Arial" w:eastAsia="Arial" w:hAnsi="Arial"/>
          <w:sz w:val="17"/>
          <w:szCs w:val="17"/>
          <w:color w:val="auto"/>
        </w:rPr>
        <w:t>​</w:t>
      </w:r>
      <w:r>
        <w:rPr>
          <w:sz w:val="20"/>
          <w:szCs w:val="20"/>
          <w:color w:val="auto"/>
        </w:rPr>
        <w:tab/>
      </w:r>
      <w:r>
        <w:rPr>
          <w:rFonts w:ascii="Arial" w:cs="Arial" w:eastAsia="Arial" w:hAnsi="Arial"/>
          <w:sz w:val="18"/>
          <w:szCs w:val="18"/>
          <w:color w:val="auto"/>
        </w:rPr>
        <w:t>—</w:t>
      </w:r>
    </w:p>
    <w:p>
      <w:pPr>
        <w:ind w:left="560"/>
        <w:spacing w:after="0" w:line="182" w:lineRule="auto"/>
        <w:rPr>
          <w:sz w:val="20"/>
          <w:szCs w:val="20"/>
          <w:color w:val="auto"/>
        </w:rPr>
      </w:pPr>
      <w:r>
        <w:rPr>
          <w:rFonts w:ascii="Arial" w:cs="Arial" w:eastAsia="Arial" w:hAnsi="Arial"/>
          <w:sz w:val="31"/>
          <w:szCs w:val="31"/>
          <w:color w:val="auto"/>
          <w:vertAlign w:val="superscript"/>
        </w:rPr>
        <w:t>​</w:t>
      </w:r>
      <w:r>
        <w:rPr>
          <w:rFonts w:ascii="Arial" w:cs="Arial" w:eastAsia="Arial" w:hAnsi="Arial"/>
          <w:sz w:val="17"/>
          <w:szCs w:val="17"/>
          <w:color w:val="auto"/>
        </w:rPr>
        <w:t>​67,870</w:t>
      </w:r>
    </w:p>
    <w:p>
      <w:pPr>
        <w:ind w:left="560"/>
        <w:spacing w:after="0"/>
        <w:tabs>
          <w:tab w:leader="none" w:pos="920" w:val="left"/>
        </w:tabs>
        <w:rPr>
          <w:sz w:val="20"/>
          <w:szCs w:val="20"/>
          <w:color w:val="auto"/>
        </w:rPr>
      </w:pPr>
      <w:r>
        <w:rPr>
          <w:rFonts w:ascii="Arial" w:cs="Arial" w:eastAsia="Arial" w:hAnsi="Arial"/>
          <w:sz w:val="31"/>
          <w:szCs w:val="31"/>
          <w:color w:val="auto"/>
          <w:vertAlign w:val="superscript"/>
        </w:rPr>
        <w:t>​</w:t>
      </w:r>
      <w:r>
        <w:rPr>
          <w:rFonts w:ascii="Arial" w:cs="Arial" w:eastAsia="Arial" w:hAnsi="Arial"/>
          <w:sz w:val="17"/>
          <w:szCs w:val="17"/>
          <w:color w:val="auto"/>
        </w:rPr>
        <w:t>​</w:t>
      </w:r>
      <w:r>
        <w:rPr>
          <w:sz w:val="20"/>
          <w:szCs w:val="20"/>
          <w:color w:val="auto"/>
        </w:rPr>
        <w:tab/>
      </w:r>
      <w:r>
        <w:rPr>
          <w:rFonts w:ascii="Arial" w:cs="Arial" w:eastAsia="Arial" w:hAnsi="Arial"/>
          <w:sz w:val="18"/>
          <w:szCs w:val="18"/>
          <w:color w:val="auto"/>
        </w:rPr>
        <w:t>—</w:t>
      </w:r>
    </w:p>
    <w:p>
      <w:pPr>
        <w:ind w:left="560"/>
        <w:spacing w:after="0" w:line="182" w:lineRule="auto"/>
        <w:rPr>
          <w:sz w:val="20"/>
          <w:szCs w:val="20"/>
          <w:color w:val="auto"/>
        </w:rPr>
      </w:pPr>
      <w:r>
        <w:rPr>
          <w:rFonts w:ascii="Arial" w:cs="Arial" w:eastAsia="Arial" w:hAnsi="Arial"/>
          <w:sz w:val="31"/>
          <w:szCs w:val="31"/>
          <w:color w:val="auto"/>
          <w:vertAlign w:val="superscript"/>
        </w:rPr>
        <w:t>​</w:t>
      </w:r>
      <w:r>
        <w:rPr>
          <w:rFonts w:ascii="Arial" w:cs="Arial" w:eastAsia="Arial" w:hAnsi="Arial"/>
          <w:sz w:val="17"/>
          <w:szCs w:val="17"/>
          <w:color w:val="auto"/>
        </w:rPr>
        <w:t>​78,494</w:t>
      </w:r>
    </w:p>
    <w:p>
      <w:pPr>
        <w:ind w:left="560"/>
        <w:spacing w:after="0"/>
        <w:tabs>
          <w:tab w:leader="none" w:pos="920" w:val="left"/>
        </w:tabs>
        <w:rPr>
          <w:sz w:val="20"/>
          <w:szCs w:val="20"/>
          <w:color w:val="auto"/>
        </w:rPr>
      </w:pPr>
      <w:r>
        <w:rPr>
          <w:rFonts w:ascii="Arial" w:cs="Arial" w:eastAsia="Arial" w:hAnsi="Arial"/>
          <w:sz w:val="31"/>
          <w:szCs w:val="31"/>
          <w:color w:val="auto"/>
          <w:vertAlign w:val="superscript"/>
        </w:rPr>
        <w:t>​</w:t>
      </w:r>
      <w:r>
        <w:rPr>
          <w:rFonts w:ascii="Arial" w:cs="Arial" w:eastAsia="Arial" w:hAnsi="Arial"/>
          <w:sz w:val="17"/>
          <w:szCs w:val="17"/>
          <w:color w:val="auto"/>
        </w:rPr>
        <w:t>​</w:t>
      </w:r>
      <w:r>
        <w:rPr>
          <w:sz w:val="20"/>
          <w:szCs w:val="20"/>
          <w:color w:val="auto"/>
        </w:rPr>
        <w:tab/>
      </w:r>
      <w:r>
        <w:rPr>
          <w:rFonts w:ascii="Arial" w:cs="Arial" w:eastAsia="Arial" w:hAnsi="Arial"/>
          <w:sz w:val="18"/>
          <w:szCs w:val="18"/>
          <w:color w:val="auto"/>
        </w:rPr>
        <w:t>—</w:t>
      </w:r>
    </w:p>
    <w:p>
      <w:pPr>
        <w:ind w:left="560"/>
        <w:spacing w:after="0" w:line="182" w:lineRule="auto"/>
        <w:rPr>
          <w:sz w:val="20"/>
          <w:szCs w:val="20"/>
          <w:color w:val="auto"/>
        </w:rPr>
      </w:pPr>
      <w:r>
        <w:rPr>
          <w:rFonts w:ascii="Arial" w:cs="Arial" w:eastAsia="Arial" w:hAnsi="Arial"/>
          <w:sz w:val="34"/>
          <w:szCs w:val="34"/>
          <w:color w:val="auto"/>
          <w:vertAlign w:val="superscript"/>
        </w:rPr>
        <w:t>​</w:t>
      </w:r>
      <w:r>
        <w:rPr>
          <w:rFonts w:ascii="Arial" w:cs="Arial" w:eastAsia="Arial" w:hAnsi="Arial"/>
          <w:sz w:val="18"/>
          <w:szCs w:val="18"/>
          <w:color w:val="auto"/>
        </w:rPr>
        <w:t>​22,662</w:t>
      </w:r>
    </w:p>
    <w:p>
      <w:pPr>
        <w:ind w:left="560"/>
        <w:spacing w:after="0"/>
        <w:tabs>
          <w:tab w:leader="none" w:pos="920" w:val="left"/>
        </w:tabs>
        <w:rPr>
          <w:sz w:val="20"/>
          <w:szCs w:val="20"/>
          <w:color w:val="auto"/>
        </w:rPr>
      </w:pPr>
      <w:r>
        <w:rPr>
          <w:rFonts w:ascii="Arial" w:cs="Arial" w:eastAsia="Arial" w:hAnsi="Arial"/>
          <w:sz w:val="31"/>
          <w:szCs w:val="31"/>
          <w:color w:val="auto"/>
          <w:vertAlign w:val="superscript"/>
        </w:rPr>
        <w:t>​</w:t>
      </w:r>
      <w:r>
        <w:rPr>
          <w:rFonts w:ascii="Arial" w:cs="Arial" w:eastAsia="Arial" w:hAnsi="Arial"/>
          <w:sz w:val="17"/>
          <w:szCs w:val="17"/>
          <w:color w:val="auto"/>
        </w:rPr>
        <w:t>​</w:t>
      </w:r>
      <w:r>
        <w:rPr>
          <w:sz w:val="20"/>
          <w:szCs w:val="20"/>
          <w:color w:val="auto"/>
        </w:rPr>
        <w:tab/>
      </w:r>
      <w:r>
        <w:rPr>
          <w:rFonts w:ascii="Arial" w:cs="Arial" w:eastAsia="Arial" w:hAnsi="Arial"/>
          <w:sz w:val="18"/>
          <w:szCs w:val="18"/>
          <w:color w:val="auto"/>
        </w:rPr>
        <w:t>—</w:t>
      </w:r>
    </w:p>
    <w:p>
      <w:pPr>
        <w:ind w:left="560"/>
        <w:spacing w:after="0" w:line="182" w:lineRule="auto"/>
        <w:rPr>
          <w:sz w:val="20"/>
          <w:szCs w:val="20"/>
          <w:color w:val="auto"/>
        </w:rPr>
      </w:pPr>
      <w:r>
        <w:rPr>
          <w:rFonts w:ascii="Arial" w:cs="Arial" w:eastAsia="Arial" w:hAnsi="Arial"/>
          <w:sz w:val="31"/>
          <w:szCs w:val="31"/>
          <w:color w:val="auto"/>
          <w:vertAlign w:val="superscript"/>
        </w:rPr>
        <w:t>​</w:t>
      </w:r>
      <w:r>
        <w:rPr>
          <w:rFonts w:ascii="Arial" w:cs="Arial" w:eastAsia="Arial" w:hAnsi="Arial"/>
          <w:sz w:val="17"/>
          <w:szCs w:val="17"/>
          <w:color w:val="auto"/>
        </w:rPr>
        <w:t>​25,998</w:t>
      </w:r>
    </w:p>
    <w:p>
      <w:pPr>
        <w:ind w:left="560"/>
        <w:spacing w:after="0"/>
        <w:tabs>
          <w:tab w:leader="none" w:pos="920" w:val="left"/>
        </w:tabs>
        <w:rPr>
          <w:sz w:val="20"/>
          <w:szCs w:val="20"/>
          <w:color w:val="auto"/>
        </w:rPr>
      </w:pPr>
      <w:r>
        <w:rPr>
          <w:rFonts w:ascii="Arial" w:cs="Arial" w:eastAsia="Arial" w:hAnsi="Arial"/>
          <w:sz w:val="31"/>
          <w:szCs w:val="31"/>
          <w:color w:val="auto"/>
          <w:vertAlign w:val="superscript"/>
        </w:rPr>
        <w:t>​</w:t>
      </w:r>
      <w:r>
        <w:rPr>
          <w:rFonts w:ascii="Arial" w:cs="Arial" w:eastAsia="Arial" w:hAnsi="Arial"/>
          <w:sz w:val="17"/>
          <w:szCs w:val="17"/>
          <w:color w:val="auto"/>
        </w:rPr>
        <w:t>​</w:t>
      </w:r>
      <w:r>
        <w:rPr>
          <w:sz w:val="20"/>
          <w:szCs w:val="20"/>
          <w:color w:val="auto"/>
        </w:rPr>
        <w:tab/>
      </w:r>
      <w:r>
        <w:rPr>
          <w:rFonts w:ascii="Arial" w:cs="Arial" w:eastAsia="Arial" w:hAnsi="Arial"/>
          <w:sz w:val="18"/>
          <w:szCs w:val="18"/>
          <w:color w:val="auto"/>
        </w:rPr>
        <w:t>—</w:t>
      </w:r>
    </w:p>
    <w:p>
      <w:pPr>
        <w:ind w:left="560"/>
        <w:spacing w:after="0" w:line="181" w:lineRule="auto"/>
        <w:rPr>
          <w:sz w:val="20"/>
          <w:szCs w:val="20"/>
          <w:color w:val="auto"/>
        </w:rPr>
      </w:pPr>
      <w:r>
        <w:rPr>
          <w:rFonts w:ascii="Arial" w:cs="Arial" w:eastAsia="Arial" w:hAnsi="Arial"/>
          <w:sz w:val="31"/>
          <w:szCs w:val="31"/>
          <w:color w:val="auto"/>
          <w:vertAlign w:val="superscript"/>
        </w:rPr>
        <w:t>​</w:t>
      </w:r>
      <w:r>
        <w:rPr>
          <w:rFonts w:ascii="Arial" w:cs="Arial" w:eastAsia="Arial" w:hAnsi="Arial"/>
          <w:sz w:val="17"/>
          <w:szCs w:val="17"/>
          <w:color w:val="auto"/>
        </w:rPr>
        <w:t>​28,787</w:t>
      </w:r>
    </w:p>
    <w:p>
      <w:pPr>
        <w:ind w:left="560"/>
        <w:spacing w:after="0"/>
        <w:tabs>
          <w:tab w:leader="none" w:pos="920" w:val="left"/>
        </w:tabs>
        <w:rPr>
          <w:sz w:val="20"/>
          <w:szCs w:val="20"/>
          <w:color w:val="auto"/>
        </w:rPr>
      </w:pPr>
      <w:r>
        <w:rPr>
          <w:rFonts w:ascii="Arial" w:cs="Arial" w:eastAsia="Arial" w:hAnsi="Arial"/>
          <w:sz w:val="31"/>
          <w:szCs w:val="31"/>
          <w:color w:val="auto"/>
          <w:vertAlign w:val="superscript"/>
        </w:rPr>
        <w:t>​</w:t>
      </w:r>
      <w:r>
        <w:rPr>
          <w:rFonts w:ascii="Arial" w:cs="Arial" w:eastAsia="Arial" w:hAnsi="Arial"/>
          <w:sz w:val="17"/>
          <w:szCs w:val="17"/>
          <w:color w:val="auto"/>
        </w:rPr>
        <w:t>​</w:t>
      </w:r>
      <w:r>
        <w:rPr>
          <w:sz w:val="20"/>
          <w:szCs w:val="20"/>
          <w:color w:val="auto"/>
        </w:rPr>
        <w:tab/>
      </w:r>
      <w:r>
        <w:rPr>
          <w:rFonts w:ascii="Arial" w:cs="Arial" w:eastAsia="Arial" w:hAnsi="Arial"/>
          <w:sz w:val="18"/>
          <w:szCs w:val="18"/>
          <w:color w:val="auto"/>
        </w:rPr>
        <w:t>—</w:t>
      </w:r>
    </w:p>
    <w:p>
      <w:pPr>
        <w:ind w:left="560"/>
        <w:spacing w:after="0"/>
        <w:tabs>
          <w:tab w:leader="none" w:pos="920" w:val="left"/>
        </w:tabs>
        <w:rPr>
          <w:sz w:val="20"/>
          <w:szCs w:val="20"/>
          <w:color w:val="auto"/>
        </w:rPr>
      </w:pPr>
      <w:r>
        <w:rPr>
          <w:rFonts w:ascii="Arial" w:cs="Arial" w:eastAsia="Arial" w:hAnsi="Arial"/>
          <w:sz w:val="34"/>
          <w:szCs w:val="34"/>
          <w:color w:val="auto"/>
          <w:vertAlign w:val="superscript"/>
        </w:rPr>
        <w:t>​</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ind w:left="560"/>
        <w:spacing w:after="0"/>
        <w:tabs>
          <w:tab w:leader="none" w:pos="920" w:val="left"/>
        </w:tabs>
        <w:rPr>
          <w:sz w:val="20"/>
          <w:szCs w:val="20"/>
          <w:color w:val="auto"/>
        </w:rPr>
      </w:pPr>
      <w:r>
        <w:rPr>
          <w:rFonts w:ascii="Arial" w:cs="Arial" w:eastAsia="Arial" w:hAnsi="Arial"/>
          <w:sz w:val="31"/>
          <w:szCs w:val="31"/>
          <w:color w:val="auto"/>
          <w:vertAlign w:val="superscript"/>
        </w:rPr>
        <w:t>​</w:t>
      </w:r>
      <w:r>
        <w:rPr>
          <w:rFonts w:ascii="Arial" w:cs="Arial" w:eastAsia="Arial" w:hAnsi="Arial"/>
          <w:sz w:val="17"/>
          <w:szCs w:val="17"/>
          <w:color w:val="auto"/>
        </w:rPr>
        <w:t>​</w:t>
      </w:r>
      <w:r>
        <w:rPr>
          <w:sz w:val="20"/>
          <w:szCs w:val="20"/>
          <w:color w:val="auto"/>
        </w:rPr>
        <w:tab/>
      </w:r>
      <w:r>
        <w:rPr>
          <w:rFonts w:ascii="Arial" w:cs="Arial" w:eastAsia="Arial" w:hAnsi="Arial"/>
          <w:sz w:val="18"/>
          <w:szCs w:val="18"/>
          <w:color w:val="auto"/>
        </w:rPr>
        <w:t>—</w:t>
      </w:r>
    </w:p>
    <w:p>
      <w:pPr>
        <w:ind w:left="560"/>
        <w:spacing w:after="0" w:line="182" w:lineRule="auto"/>
        <w:rPr>
          <w:sz w:val="20"/>
          <w:szCs w:val="20"/>
          <w:color w:val="auto"/>
        </w:rPr>
      </w:pPr>
      <w:r>
        <w:rPr>
          <w:rFonts w:ascii="Arial" w:cs="Arial" w:eastAsia="Arial" w:hAnsi="Arial"/>
          <w:sz w:val="31"/>
          <w:szCs w:val="31"/>
          <w:color w:val="auto"/>
          <w:vertAlign w:val="superscript"/>
        </w:rPr>
        <w:t>​</w:t>
      </w:r>
      <w:r>
        <w:rPr>
          <w:rFonts w:ascii="Arial" w:cs="Arial" w:eastAsia="Arial" w:hAnsi="Arial"/>
          <w:sz w:val="17"/>
          <w:szCs w:val="17"/>
          <w:color w:val="auto"/>
        </w:rPr>
        <w:t>​22,974</w:t>
      </w:r>
    </w:p>
    <w:p>
      <w:pPr>
        <w:ind w:left="560"/>
        <w:spacing w:after="0"/>
        <w:tabs>
          <w:tab w:leader="none" w:pos="920" w:val="left"/>
        </w:tabs>
        <w:rPr>
          <w:sz w:val="20"/>
          <w:szCs w:val="20"/>
          <w:color w:val="auto"/>
        </w:rPr>
      </w:pPr>
      <w:r>
        <w:rPr>
          <w:rFonts w:ascii="Arial" w:cs="Arial" w:eastAsia="Arial" w:hAnsi="Arial"/>
          <w:sz w:val="31"/>
          <w:szCs w:val="31"/>
          <w:color w:val="auto"/>
          <w:vertAlign w:val="superscript"/>
        </w:rPr>
        <w:t>​</w:t>
      </w:r>
      <w:r>
        <w:rPr>
          <w:rFonts w:ascii="Arial" w:cs="Arial" w:eastAsia="Arial" w:hAnsi="Arial"/>
          <w:sz w:val="17"/>
          <w:szCs w:val="17"/>
          <w:color w:val="auto"/>
        </w:rPr>
        <w:t>​</w:t>
      </w:r>
      <w:r>
        <w:rPr>
          <w:sz w:val="20"/>
          <w:szCs w:val="20"/>
          <w:color w:val="auto"/>
        </w:rPr>
        <w:tab/>
      </w:r>
      <w:r>
        <w:rPr>
          <w:rFonts w:ascii="Arial" w:cs="Arial" w:eastAsia="Arial" w:hAnsi="Arial"/>
          <w:sz w:val="18"/>
          <w:szCs w:val="18"/>
          <w:color w:val="auto"/>
        </w:rPr>
        <w:t>—</w:t>
      </w:r>
    </w:p>
    <w:p>
      <w:pPr>
        <w:ind w:left="560"/>
        <w:spacing w:after="0" w:line="182" w:lineRule="auto"/>
        <w:rPr>
          <w:sz w:val="20"/>
          <w:szCs w:val="20"/>
          <w:color w:val="auto"/>
        </w:rPr>
      </w:pPr>
      <w:r>
        <w:rPr>
          <w:rFonts w:ascii="Arial" w:cs="Arial" w:eastAsia="Arial" w:hAnsi="Arial"/>
          <w:sz w:val="34"/>
          <w:szCs w:val="34"/>
          <w:color w:val="auto"/>
          <w:vertAlign w:val="superscript"/>
        </w:rPr>
        <w:t>​</w:t>
      </w:r>
      <w:r>
        <w:rPr>
          <w:rFonts w:ascii="Arial" w:cs="Arial" w:eastAsia="Arial" w:hAnsi="Arial"/>
          <w:sz w:val="18"/>
          <w:szCs w:val="18"/>
          <w:color w:val="auto"/>
        </w:rPr>
        <w:t>​16,996</w:t>
      </w:r>
    </w:p>
    <w:p>
      <w:pPr>
        <w:ind w:left="560"/>
        <w:spacing w:after="0"/>
        <w:tabs>
          <w:tab w:leader="none" w:pos="920" w:val="left"/>
        </w:tabs>
        <w:rPr>
          <w:sz w:val="20"/>
          <w:szCs w:val="20"/>
          <w:color w:val="auto"/>
        </w:rPr>
      </w:pPr>
      <w:r>
        <w:rPr>
          <w:rFonts w:ascii="Arial" w:cs="Arial" w:eastAsia="Arial" w:hAnsi="Arial"/>
          <w:sz w:val="31"/>
          <w:szCs w:val="31"/>
          <w:color w:val="auto"/>
          <w:vertAlign w:val="superscript"/>
        </w:rPr>
        <w:t>​</w:t>
      </w:r>
      <w:r>
        <w:rPr>
          <w:rFonts w:ascii="Arial" w:cs="Arial" w:eastAsia="Arial" w:hAnsi="Arial"/>
          <w:sz w:val="17"/>
          <w:szCs w:val="17"/>
          <w:color w:val="auto"/>
        </w:rPr>
        <w:t>​</w:t>
      </w:r>
      <w:r>
        <w:rPr>
          <w:sz w:val="20"/>
          <w:szCs w:val="20"/>
          <w:color w:val="auto"/>
        </w:rPr>
        <w:tab/>
      </w:r>
      <w:r>
        <w:rPr>
          <w:rFonts w:ascii="Arial" w:cs="Arial" w:eastAsia="Arial" w:hAnsi="Arial"/>
          <w:sz w:val="18"/>
          <w:szCs w:val="18"/>
          <w:color w:val="auto"/>
        </w:rPr>
        <w:t>—</w:t>
      </w:r>
    </w:p>
    <w:p>
      <w:pPr>
        <w:ind w:left="560"/>
        <w:spacing w:after="0" w:line="182" w:lineRule="auto"/>
        <w:rPr>
          <w:sz w:val="20"/>
          <w:szCs w:val="20"/>
          <w:color w:val="auto"/>
        </w:rPr>
      </w:pPr>
      <w:r>
        <w:rPr>
          <w:rFonts w:ascii="Arial" w:cs="Arial" w:eastAsia="Arial" w:hAnsi="Arial"/>
          <w:sz w:val="31"/>
          <w:szCs w:val="31"/>
          <w:color w:val="auto"/>
          <w:vertAlign w:val="superscript"/>
        </w:rPr>
        <w:t>​</w:t>
      </w:r>
      <w:r>
        <w:rPr>
          <w:rFonts w:ascii="Arial" w:cs="Arial" w:eastAsia="Arial" w:hAnsi="Arial"/>
          <w:sz w:val="17"/>
          <w:szCs w:val="17"/>
          <w:color w:val="auto"/>
        </w:rPr>
        <w:t>​19,499</w:t>
      </w:r>
    </w:p>
    <w:p>
      <w:pPr>
        <w:ind w:left="560"/>
        <w:spacing w:after="0"/>
        <w:tabs>
          <w:tab w:leader="none" w:pos="920" w:val="left"/>
        </w:tabs>
        <w:rPr>
          <w:sz w:val="20"/>
          <w:szCs w:val="20"/>
          <w:color w:val="auto"/>
        </w:rPr>
      </w:pPr>
      <w:r>
        <w:rPr>
          <w:rFonts w:ascii="Arial" w:cs="Arial" w:eastAsia="Arial" w:hAnsi="Arial"/>
          <w:sz w:val="31"/>
          <w:szCs w:val="31"/>
          <w:color w:val="auto"/>
          <w:vertAlign w:val="superscript"/>
        </w:rPr>
        <w:t>​</w:t>
      </w:r>
      <w:r>
        <w:rPr>
          <w:rFonts w:ascii="Arial" w:cs="Arial" w:eastAsia="Arial" w:hAnsi="Arial"/>
          <w:sz w:val="17"/>
          <w:szCs w:val="17"/>
          <w:color w:val="auto"/>
        </w:rPr>
        <w:t>​</w:t>
      </w:r>
      <w:r>
        <w:rPr>
          <w:sz w:val="20"/>
          <w:szCs w:val="20"/>
          <w:color w:val="auto"/>
        </w:rPr>
        <w:tab/>
      </w:r>
      <w:r>
        <w:rPr>
          <w:rFonts w:ascii="Arial" w:cs="Arial" w:eastAsia="Arial" w:hAnsi="Arial"/>
          <w:sz w:val="18"/>
          <w:szCs w:val="18"/>
          <w:color w:val="auto"/>
        </w:rPr>
        <w:t>—</w:t>
      </w:r>
    </w:p>
    <w:p>
      <w:pPr>
        <w:ind w:left="560"/>
        <w:spacing w:after="0" w:line="181" w:lineRule="auto"/>
        <w:rPr>
          <w:sz w:val="20"/>
          <w:szCs w:val="20"/>
          <w:color w:val="auto"/>
        </w:rPr>
      </w:pPr>
      <w:r>
        <w:rPr>
          <w:rFonts w:ascii="Arial" w:cs="Arial" w:eastAsia="Arial" w:hAnsi="Arial"/>
          <w:sz w:val="31"/>
          <w:szCs w:val="31"/>
          <w:color w:val="auto"/>
          <w:vertAlign w:val="superscript"/>
        </w:rPr>
        <w:t>​</w:t>
      </w:r>
      <w:r>
        <w:rPr>
          <w:rFonts w:ascii="Arial" w:cs="Arial" w:eastAsia="Arial" w:hAnsi="Arial"/>
          <w:sz w:val="17"/>
          <w:szCs w:val="17"/>
          <w:color w:val="auto"/>
        </w:rPr>
        <w:t>​18,545</w:t>
      </w:r>
    </w:p>
    <w:p>
      <w:pPr>
        <w:ind w:left="560"/>
        <w:spacing w:after="0"/>
        <w:tabs>
          <w:tab w:leader="none" w:pos="920" w:val="left"/>
        </w:tabs>
        <w:rPr>
          <w:sz w:val="20"/>
          <w:szCs w:val="20"/>
          <w:color w:val="auto"/>
        </w:rPr>
      </w:pPr>
      <w:r>
        <w:rPr>
          <w:rFonts w:ascii="Arial" w:cs="Arial" w:eastAsia="Arial" w:hAnsi="Arial"/>
          <w:sz w:val="31"/>
          <w:szCs w:val="31"/>
          <w:color w:val="auto"/>
          <w:vertAlign w:val="superscript"/>
        </w:rPr>
        <w:t>​</w:t>
      </w:r>
      <w:r>
        <w:rPr>
          <w:rFonts w:ascii="Arial" w:cs="Arial" w:eastAsia="Arial" w:hAnsi="Arial"/>
          <w:sz w:val="17"/>
          <w:szCs w:val="17"/>
          <w:color w:val="auto"/>
        </w:rPr>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82" w:lineRule="exact"/>
        <w:rPr>
          <w:sz w:val="20"/>
          <w:szCs w:val="20"/>
          <w:color w:val="auto"/>
        </w:rPr>
      </w:pPr>
    </w:p>
    <w:p>
      <w:pPr>
        <w:sectPr>
          <w:pgSz w:w="11900" w:h="16838" w:orient="portrait"/>
          <w:cols w:equalWidth="0" w:num="4">
            <w:col w:w="3460" w:space="720"/>
            <w:col w:w="3180" w:space="20"/>
            <w:col w:w="1680" w:space="20"/>
            <w:col w:w="799"/>
          </w:cols>
          <w:pgMar w:left="580" w:top="97" w:right="1440" w:bottom="1440" w:gutter="0" w:footer="0" w:header="0"/>
          <w:type w:val="continuous"/>
        </w:sectPr>
      </w:pPr>
    </w:p>
    <w:tbl>
      <w:tblPr>
        <w:tblLayout w:type="fixed"/>
        <w:tblInd w:w="1620" w:type="dxa"/>
        <w:tblCellMar>
          <w:top w:w="0" w:type="dxa"/>
          <w:left w:w="0" w:type="dxa"/>
          <w:bottom w:w="0" w:type="dxa"/>
          <w:right w:w="0" w:type="dxa"/>
        </w:tblCellMar>
      </w:tblPr>
      <w:tr>
        <w:trPr>
          <w:trHeight w:val="279"/>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Lisa M. Vorakoun</w:t>
            </w:r>
          </w:p>
        </w:tc>
        <w:tc>
          <w:tcPr>
            <w:tcW w:w="6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780" w:type="dxa"/>
            <w:vAlign w:val="bottom"/>
            <w:gridSpan w:val="3"/>
            <w:shd w:val="clear" w:color="auto" w:fill="CCEEFF"/>
          </w:tcPr>
          <w:p>
            <w:pPr>
              <w:jc w:val="right"/>
              <w:spacing w:after="0" w:line="278" w:lineRule="exact"/>
              <w:rPr>
                <w:sz w:val="20"/>
                <w:szCs w:val="20"/>
                <w:color w:val="auto"/>
              </w:rPr>
            </w:pPr>
            <w:r>
              <w:rPr>
                <w:rFonts w:ascii="Arial" w:cs="Arial" w:eastAsia="Arial" w:hAnsi="Arial"/>
                <w:sz w:val="17"/>
                <w:szCs w:val="17"/>
                <w:color w:val="auto"/>
              </w:rPr>
              <w:t xml:space="preserve">December 31, 2025 </w:t>
            </w:r>
            <w:r>
              <w:rPr>
                <w:rFonts w:ascii="Arial" w:cs="Arial" w:eastAsia="Arial" w:hAnsi="Arial"/>
                <w:sz w:val="32"/>
                <w:szCs w:val="32"/>
                <w:color w:val="auto"/>
                <w:vertAlign w:val="superscript"/>
              </w:rPr>
              <w:t>​ ​</w:t>
            </w:r>
          </w:p>
        </w:tc>
        <w:tc>
          <w:tcPr>
            <w:tcW w:w="440" w:type="dxa"/>
            <w:vAlign w:val="bottom"/>
            <w:shd w:val="clear" w:color="auto" w:fill="CCEEFF"/>
          </w:tcPr>
          <w:p>
            <w:pPr>
              <w:jc w:val="right"/>
              <w:ind w:right="76"/>
              <w:spacing w:after="0" w:line="278" w:lineRule="exact"/>
              <w:rPr>
                <w:sz w:val="20"/>
                <w:szCs w:val="20"/>
                <w:color w:val="auto"/>
              </w:rPr>
            </w:pPr>
            <w:r>
              <w:rPr>
                <w:rFonts w:ascii="Arial" w:cs="Arial" w:eastAsia="Arial" w:hAnsi="Arial"/>
                <w:sz w:val="17"/>
                <w:szCs w:val="17"/>
                <w:color w:val="auto"/>
              </w:rPr>
              <w:t>​</w:t>
            </w:r>
            <w:r>
              <w:rPr>
                <w:rFonts w:ascii="Arial" w:cs="Arial" w:eastAsia="Arial" w:hAnsi="Arial"/>
                <w:sz w:val="32"/>
                <w:szCs w:val="32"/>
                <w:color w:val="auto"/>
                <w:vertAlign w:val="subscript"/>
              </w:rPr>
              <w:t>​</w:t>
            </w: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 ​</w:t>
            </w:r>
          </w:p>
        </w:tc>
        <w:tc>
          <w:tcPr>
            <w:tcW w:w="1440" w:type="dxa"/>
            <w:vAlign w:val="bottom"/>
            <w:gridSpan w:val="2"/>
            <w:shd w:val="clear" w:color="auto" w:fill="CCEEFF"/>
          </w:tcPr>
          <w:p>
            <w:pPr>
              <w:jc w:val="right"/>
              <w:ind w:right="510"/>
              <w:spacing w:after="0" w:line="278" w:lineRule="exact"/>
              <w:rPr>
                <w:sz w:val="20"/>
                <w:szCs w:val="20"/>
                <w:color w:val="auto"/>
              </w:rPr>
            </w:pPr>
            <w:r>
              <w:rPr>
                <w:rFonts w:ascii="Arial" w:cs="Arial" w:eastAsia="Arial" w:hAnsi="Arial"/>
                <w:sz w:val="32"/>
                <w:szCs w:val="32"/>
                <w:color w:val="auto"/>
                <w:vertAlign w:val="superscript"/>
              </w:rPr>
              <w:t>​</w:t>
            </w:r>
            <w:r>
              <w:rPr>
                <w:rFonts w:ascii="Arial" w:cs="Arial" w:eastAsia="Arial" w:hAnsi="Arial"/>
                <w:sz w:val="17"/>
                <w:szCs w:val="17"/>
                <w:color w:val="auto"/>
              </w:rPr>
              <w:t>​ 5,515</w:t>
            </w:r>
          </w:p>
        </w:tc>
        <w:tc>
          <w:tcPr>
            <w:tcW w:w="4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70"/>
        </w:trPr>
        <w:tc>
          <w:tcPr>
            <w:tcW w:w="196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January 28, 2026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900" w:type="dxa"/>
            <w:vAlign w:val="bottom"/>
            <w:gridSpan w:val="2"/>
            <w:shd w:val="clear" w:color="auto" w:fill="CCEEFF"/>
          </w:tcPr>
          <w:p>
            <w:pPr>
              <w:jc w:val="right"/>
              <w:ind w:right="30"/>
              <w:spacing w:after="0" w:line="269" w:lineRule="exact"/>
              <w:rPr>
                <w:sz w:val="20"/>
                <w:szCs w:val="20"/>
                <w:color w:val="auto"/>
              </w:rPr>
            </w:pPr>
            <w:r>
              <w:rPr>
                <w:rFonts w:ascii="Arial" w:cs="Arial" w:eastAsia="Arial" w:hAnsi="Arial"/>
                <w:sz w:val="31"/>
                <w:szCs w:val="31"/>
                <w:color w:val="auto"/>
                <w:vertAlign w:val="superscript"/>
              </w:rPr>
              <w:t>​</w:t>
            </w:r>
            <w:r>
              <w:rPr>
                <w:rFonts w:ascii="Arial" w:cs="Arial" w:eastAsia="Arial" w:hAnsi="Arial"/>
                <w:sz w:val="17"/>
                <w:szCs w:val="17"/>
                <w:color w:val="auto"/>
              </w:rPr>
              <w:t>​ 7,314</w:t>
            </w:r>
          </w:p>
        </w:tc>
        <w:tc>
          <w:tcPr>
            <w:tcW w:w="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 ​</w:t>
            </w:r>
          </w:p>
        </w:tc>
        <w:tc>
          <w:tcPr>
            <w:tcW w:w="500" w:type="dxa"/>
            <w:vAlign w:val="bottom"/>
            <w:shd w:val="clear" w:color="auto" w:fill="CCEEFF"/>
          </w:tcPr>
          <w:p>
            <w:pPr>
              <w:ind w:left="280"/>
              <w:spacing w:after="0" w:line="269" w:lineRule="exact"/>
              <w:rPr>
                <w:sz w:val="20"/>
                <w:szCs w:val="20"/>
                <w:color w:val="auto"/>
              </w:rPr>
            </w:pPr>
            <w:r>
              <w:rPr>
                <w:rFonts w:ascii="Arial" w:cs="Arial" w:eastAsia="Arial" w:hAnsi="Arial"/>
                <w:sz w:val="17"/>
                <w:szCs w:val="17"/>
                <w:color w:val="auto"/>
              </w:rPr>
              <w:t>​</w:t>
            </w:r>
            <w:r>
              <w:rPr>
                <w:rFonts w:ascii="Arial" w:cs="Arial" w:eastAsia="Arial" w:hAnsi="Arial"/>
                <w:sz w:val="31"/>
                <w:szCs w:val="31"/>
                <w:color w:val="auto"/>
                <w:vertAlign w:val="subscript"/>
              </w:rPr>
              <w:t>​</w:t>
            </w:r>
          </w:p>
        </w:tc>
        <w:tc>
          <w:tcPr>
            <w:tcW w:w="94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70"/>
        </w:trPr>
        <w:tc>
          <w:tcPr>
            <w:tcW w:w="196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December 31, 2026</w:t>
            </w:r>
          </w:p>
        </w:tc>
        <w:tc>
          <w:tcPr>
            <w:tcW w:w="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76"/>
              <w:spacing w:after="0" w:line="269" w:lineRule="exact"/>
              <w:rPr>
                <w:sz w:val="20"/>
                <w:szCs w:val="20"/>
                <w:color w:val="auto"/>
              </w:rPr>
            </w:pPr>
            <w:r>
              <w:rPr>
                <w:rFonts w:ascii="Arial" w:cs="Arial" w:eastAsia="Arial" w:hAnsi="Arial"/>
                <w:sz w:val="17"/>
                <w:szCs w:val="17"/>
                <w:color w:val="auto"/>
              </w:rPr>
              <w:t>​</w:t>
            </w:r>
            <w:r>
              <w:rPr>
                <w:rFonts w:ascii="Arial" w:cs="Arial" w:eastAsia="Arial" w:hAnsi="Arial"/>
                <w:sz w:val="31"/>
                <w:szCs w:val="31"/>
                <w:color w:val="auto"/>
                <w:vertAlign w:val="subscript"/>
              </w:rPr>
              <w:t>​</w:t>
            </w: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 ​</w:t>
            </w:r>
          </w:p>
        </w:tc>
        <w:tc>
          <w:tcPr>
            <w:tcW w:w="1440" w:type="dxa"/>
            <w:vAlign w:val="bottom"/>
            <w:gridSpan w:val="2"/>
            <w:shd w:val="clear" w:color="auto" w:fill="CCEEFF"/>
          </w:tcPr>
          <w:p>
            <w:pPr>
              <w:jc w:val="right"/>
              <w:ind w:right="510"/>
              <w:spacing w:after="0" w:line="269" w:lineRule="exact"/>
              <w:rPr>
                <w:sz w:val="20"/>
                <w:szCs w:val="20"/>
                <w:color w:val="auto"/>
              </w:rPr>
            </w:pPr>
            <w:r>
              <w:rPr>
                <w:rFonts w:ascii="Arial" w:cs="Arial" w:eastAsia="Arial" w:hAnsi="Arial"/>
                <w:sz w:val="31"/>
                <w:szCs w:val="31"/>
                <w:color w:val="auto"/>
                <w:vertAlign w:val="superscript"/>
              </w:rPr>
              <w:t>​</w:t>
            </w:r>
            <w:r>
              <w:rPr>
                <w:rFonts w:ascii="Arial" w:cs="Arial" w:eastAsia="Arial" w:hAnsi="Arial"/>
                <w:sz w:val="17"/>
                <w:szCs w:val="17"/>
                <w:color w:val="auto"/>
              </w:rPr>
              <w:t>​11,222</w:t>
            </w:r>
          </w:p>
        </w:tc>
        <w:tc>
          <w:tcPr>
            <w:tcW w:w="4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70"/>
        </w:trPr>
        <w:tc>
          <w:tcPr>
            <w:tcW w:w="196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January 28, 2027</w:t>
            </w:r>
          </w:p>
        </w:tc>
        <w:tc>
          <w:tcPr>
            <w:tcW w:w="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0"/>
              <w:spacing w:after="0" w:line="269" w:lineRule="exact"/>
              <w:rPr>
                <w:sz w:val="20"/>
                <w:szCs w:val="20"/>
                <w:color w:val="auto"/>
              </w:rPr>
            </w:pPr>
            <w:r>
              <w:rPr>
                <w:rFonts w:ascii="Arial" w:cs="Arial" w:eastAsia="Arial" w:hAnsi="Arial"/>
                <w:sz w:val="31"/>
                <w:szCs w:val="31"/>
                <w:color w:val="auto"/>
                <w:vertAlign w:val="superscript"/>
              </w:rPr>
              <w:t>​</w:t>
            </w:r>
            <w:r>
              <w:rPr>
                <w:rFonts w:ascii="Arial" w:cs="Arial" w:eastAsia="Arial" w:hAnsi="Arial"/>
                <w:sz w:val="17"/>
                <w:szCs w:val="17"/>
                <w:color w:val="auto"/>
              </w:rPr>
              <w:t>​ 5,389</w:t>
            </w:r>
          </w:p>
        </w:tc>
        <w:tc>
          <w:tcPr>
            <w:tcW w:w="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 ​</w:t>
            </w:r>
          </w:p>
        </w:tc>
        <w:tc>
          <w:tcPr>
            <w:tcW w:w="500" w:type="dxa"/>
            <w:vAlign w:val="bottom"/>
            <w:shd w:val="clear" w:color="auto" w:fill="CCEEFF"/>
          </w:tcPr>
          <w:p>
            <w:pPr>
              <w:ind w:left="280"/>
              <w:spacing w:after="0" w:line="269" w:lineRule="exact"/>
              <w:rPr>
                <w:sz w:val="20"/>
                <w:szCs w:val="20"/>
                <w:color w:val="auto"/>
              </w:rPr>
            </w:pPr>
            <w:r>
              <w:rPr>
                <w:rFonts w:ascii="Arial" w:cs="Arial" w:eastAsia="Arial" w:hAnsi="Arial"/>
                <w:sz w:val="17"/>
                <w:szCs w:val="17"/>
                <w:color w:val="auto"/>
              </w:rPr>
              <w:t>​</w:t>
            </w:r>
            <w:r>
              <w:rPr>
                <w:rFonts w:ascii="Arial" w:cs="Arial" w:eastAsia="Arial" w:hAnsi="Arial"/>
                <w:sz w:val="31"/>
                <w:szCs w:val="31"/>
                <w:color w:val="auto"/>
                <w:vertAlign w:val="subscript"/>
              </w:rPr>
              <w:t>​</w:t>
            </w:r>
          </w:p>
        </w:tc>
        <w:tc>
          <w:tcPr>
            <w:tcW w:w="94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70"/>
        </w:trPr>
        <w:tc>
          <w:tcPr>
            <w:tcW w:w="196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December 31, 2027</w:t>
            </w:r>
          </w:p>
        </w:tc>
        <w:tc>
          <w:tcPr>
            <w:tcW w:w="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76"/>
              <w:spacing w:after="0" w:line="269" w:lineRule="exact"/>
              <w:rPr>
                <w:sz w:val="20"/>
                <w:szCs w:val="20"/>
                <w:color w:val="auto"/>
              </w:rPr>
            </w:pPr>
            <w:r>
              <w:rPr>
                <w:rFonts w:ascii="Arial" w:cs="Arial" w:eastAsia="Arial" w:hAnsi="Arial"/>
                <w:sz w:val="17"/>
                <w:szCs w:val="17"/>
                <w:color w:val="auto"/>
              </w:rPr>
              <w:t>​</w:t>
            </w:r>
            <w:r>
              <w:rPr>
                <w:rFonts w:ascii="Arial" w:cs="Arial" w:eastAsia="Arial" w:hAnsi="Arial"/>
                <w:sz w:val="31"/>
                <w:szCs w:val="31"/>
                <w:color w:val="auto"/>
                <w:vertAlign w:val="subscript"/>
              </w:rPr>
              <w:t>​</w:t>
            </w: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 ​</w:t>
            </w:r>
          </w:p>
        </w:tc>
        <w:tc>
          <w:tcPr>
            <w:tcW w:w="1440" w:type="dxa"/>
            <w:vAlign w:val="bottom"/>
            <w:gridSpan w:val="2"/>
            <w:shd w:val="clear" w:color="auto" w:fill="CCEEFF"/>
          </w:tcPr>
          <w:p>
            <w:pPr>
              <w:jc w:val="right"/>
              <w:ind w:right="510"/>
              <w:spacing w:after="0" w:line="269" w:lineRule="exact"/>
              <w:rPr>
                <w:sz w:val="20"/>
                <w:szCs w:val="20"/>
                <w:color w:val="auto"/>
              </w:rPr>
            </w:pPr>
            <w:r>
              <w:rPr>
                <w:rFonts w:ascii="Arial" w:cs="Arial" w:eastAsia="Arial" w:hAnsi="Arial"/>
                <w:sz w:val="31"/>
                <w:szCs w:val="31"/>
                <w:color w:val="auto"/>
                <w:vertAlign w:val="superscript"/>
              </w:rPr>
              <w:t>​</w:t>
            </w:r>
            <w:r>
              <w:rPr>
                <w:rFonts w:ascii="Arial" w:cs="Arial" w:eastAsia="Arial" w:hAnsi="Arial"/>
                <w:sz w:val="17"/>
                <w:szCs w:val="17"/>
                <w:color w:val="auto"/>
              </w:rPr>
              <w:t>​16,607</w:t>
            </w:r>
          </w:p>
        </w:tc>
        <w:tc>
          <w:tcPr>
            <w:tcW w:w="4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370"/>
        </w:trPr>
        <w:tc>
          <w:tcPr>
            <w:tcW w:w="19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January 28, 2028</w:t>
            </w:r>
          </w:p>
        </w:tc>
        <w:tc>
          <w:tcPr>
            <w:tcW w:w="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0"/>
              <w:spacing w:after="0" w:line="369" w:lineRule="exact"/>
              <w:rPr>
                <w:sz w:val="20"/>
                <w:szCs w:val="20"/>
                <w:color w:val="auto"/>
              </w:rPr>
            </w:pPr>
            <w:r>
              <w:rPr>
                <w:rFonts w:ascii="Arial" w:cs="Arial" w:eastAsia="Arial" w:hAnsi="Arial"/>
                <w:sz w:val="35"/>
                <w:szCs w:val="35"/>
                <w:color w:val="auto"/>
                <w:vertAlign w:val="superscript"/>
              </w:rPr>
              <w:t>​</w:t>
            </w:r>
            <w:r>
              <w:rPr>
                <w:rFonts w:ascii="Arial" w:cs="Arial" w:eastAsia="Arial" w:hAnsi="Arial"/>
                <w:sz w:val="18"/>
                <w:szCs w:val="18"/>
                <w:color w:val="auto"/>
              </w:rPr>
              <w:t>​ 3,095</w:t>
            </w:r>
          </w:p>
        </w:tc>
        <w:tc>
          <w:tcPr>
            <w:tcW w:w="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 ​</w:t>
            </w:r>
          </w:p>
        </w:tc>
        <w:tc>
          <w:tcPr>
            <w:tcW w:w="500" w:type="dxa"/>
            <w:vAlign w:val="bottom"/>
            <w:shd w:val="clear" w:color="auto" w:fill="CCEEFF"/>
          </w:tcPr>
          <w:p>
            <w:pPr>
              <w:ind w:left="280"/>
              <w:spacing w:after="0" w:line="369" w:lineRule="exact"/>
              <w:rPr>
                <w:sz w:val="20"/>
                <w:szCs w:val="20"/>
                <w:color w:val="auto"/>
              </w:rPr>
            </w:pPr>
            <w:r>
              <w:rPr>
                <w:rFonts w:ascii="Arial" w:cs="Arial" w:eastAsia="Arial" w:hAnsi="Arial"/>
                <w:sz w:val="18"/>
                <w:szCs w:val="18"/>
                <w:color w:val="auto"/>
              </w:rPr>
              <w:t>​</w:t>
            </w:r>
            <w:r>
              <w:rPr>
                <w:rFonts w:ascii="Arial" w:cs="Arial" w:eastAsia="Arial" w:hAnsi="Arial"/>
                <w:sz w:val="35"/>
                <w:szCs w:val="35"/>
                <w:color w:val="auto"/>
                <w:vertAlign w:val="subscript"/>
              </w:rPr>
              <w:t>​</w:t>
            </w:r>
          </w:p>
        </w:tc>
        <w:tc>
          <w:tcPr>
            <w:tcW w:w="94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r>
              <w:rPr>
                <w:rFonts w:ascii="Arial" w:cs="Arial" w:eastAsia="Arial" w:hAnsi="Arial"/>
                <w:sz w:val="18"/>
                <w:szCs w:val="18"/>
                <w:b w:val="1"/>
                <w:bCs w:val="1"/>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OPTIONS EXERCISED AND STOCK VESTED DURING THE YEAR ENDED DECEMBER 31, 2025</w:t>
      </w:r>
    </w:p>
    <w:p>
      <w:pPr>
        <w:spacing w:after="0" w:line="158" w:lineRule="exact"/>
        <w:rPr>
          <w:sz w:val="20"/>
          <w:szCs w:val="20"/>
          <w:color w:val="auto"/>
        </w:rPr>
      </w:pPr>
    </w:p>
    <w:p>
      <w:pPr>
        <w:jc w:val="both"/>
        <w:ind w:left="1260" w:right="419"/>
        <w:spacing w:after="0" w:line="268" w:lineRule="auto"/>
        <w:rPr>
          <w:sz w:val="20"/>
          <w:szCs w:val="20"/>
          <w:color w:val="auto"/>
        </w:rPr>
      </w:pPr>
      <w:r>
        <w:rPr>
          <w:rFonts w:ascii="Arial" w:cs="Arial" w:eastAsia="Arial" w:hAnsi="Arial"/>
          <w:sz w:val="18"/>
          <w:szCs w:val="18"/>
          <w:color w:val="auto"/>
        </w:rPr>
        <w:t>The following table sets forth the total restricted stock and performance shares that vested for our NEOs during the year ended December 31, 2025. No stock options were exercised by NEOs during the year ended December 31, 2025, and currently no NEO holds unexercised stock options.</w:t>
      </w:r>
    </w:p>
    <w:p>
      <w:pPr>
        <w:spacing w:after="0" w:line="126" w:lineRule="exact"/>
        <w:rPr>
          <w:sz w:val="20"/>
          <w:szCs w:val="20"/>
          <w:color w:val="auto"/>
        </w:rPr>
      </w:pPr>
    </w:p>
    <w:tbl>
      <w:tblPr>
        <w:tblLayout w:type="fixed"/>
        <w:tblInd w:w="1260" w:type="dxa"/>
        <w:tblCellMar>
          <w:top w:w="0" w:type="dxa"/>
          <w:left w:w="0" w:type="dxa"/>
          <w:bottom w:w="0" w:type="dxa"/>
          <w:right w:w="0" w:type="dxa"/>
        </w:tblCellMar>
      </w:tblPr>
      <w:tr>
        <w:trPr>
          <w:trHeight w:val="205"/>
        </w:trPr>
        <w:tc>
          <w:tcPr>
            <w:tcW w:w="3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rPr>
              <w:t>STOCK AWARDS</w:t>
            </w:r>
          </w:p>
        </w:tc>
        <w:tc>
          <w:tcPr>
            <w:tcW w:w="4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r>
      <w:tr>
        <w:trPr>
          <w:trHeight w:val="193"/>
        </w:trPr>
        <w:tc>
          <w:tcPr>
            <w:tcW w:w="3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80" w:type="dxa"/>
            <w:vAlign w:val="bottom"/>
            <w:gridSpan w:val="5"/>
          </w:tcPr>
          <w:p>
            <w:pPr>
              <w:jc w:val="center"/>
              <w:ind w:right="500"/>
              <w:spacing w:after="0"/>
              <w:rPr>
                <w:sz w:val="20"/>
                <w:szCs w:val="20"/>
                <w:color w:val="auto"/>
              </w:rPr>
            </w:pPr>
            <w:r>
              <w:rPr>
                <w:rFonts w:ascii="Arial" w:cs="Arial" w:eastAsia="Arial" w:hAnsi="Arial"/>
                <w:sz w:val="14"/>
                <w:szCs w:val="14"/>
                <w:b w:val="1"/>
                <w:bCs w:val="1"/>
                <w:color w:val="auto"/>
              </w:rPr>
              <w:t>TIME-VESTING</w:t>
            </w:r>
          </w:p>
        </w:tc>
        <w:tc>
          <w:tcPr>
            <w:tcW w:w="5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62"/>
        </w:trPr>
        <w:tc>
          <w:tcPr>
            <w:tcW w:w="3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80" w:type="dxa"/>
            <w:vAlign w:val="bottom"/>
            <w:gridSpan w:val="5"/>
          </w:tcPr>
          <w:p>
            <w:pPr>
              <w:jc w:val="center"/>
              <w:ind w:right="500"/>
              <w:spacing w:after="0"/>
              <w:rPr>
                <w:sz w:val="20"/>
                <w:szCs w:val="20"/>
                <w:color w:val="auto"/>
              </w:rPr>
            </w:pPr>
            <w:r>
              <w:rPr>
                <w:rFonts w:ascii="Arial" w:cs="Arial" w:eastAsia="Arial" w:hAnsi="Arial"/>
                <w:sz w:val="14"/>
                <w:szCs w:val="14"/>
                <w:b w:val="1"/>
                <w:bCs w:val="1"/>
                <w:color w:val="auto"/>
              </w:rPr>
              <w:t>RESTRICTED STOCK</w:t>
            </w:r>
          </w:p>
        </w:tc>
        <w:tc>
          <w:tcPr>
            <w:tcW w:w="2000" w:type="dxa"/>
            <w:vAlign w:val="bottom"/>
            <w:gridSpan w:val="6"/>
          </w:tcPr>
          <w:p>
            <w:pPr>
              <w:jc w:val="center"/>
              <w:spacing w:after="0"/>
              <w:rPr>
                <w:sz w:val="20"/>
                <w:szCs w:val="20"/>
                <w:color w:val="auto"/>
              </w:rPr>
            </w:pPr>
            <w:r>
              <w:rPr>
                <w:rFonts w:ascii="Arial" w:cs="Arial" w:eastAsia="Arial" w:hAnsi="Arial"/>
                <w:sz w:val="14"/>
                <w:szCs w:val="14"/>
                <w:b w:val="1"/>
                <w:bCs w:val="1"/>
                <w:color w:val="auto"/>
              </w:rPr>
              <w:t>PERFORMANCE SHARE</w:t>
            </w:r>
          </w:p>
        </w:tc>
      </w:tr>
      <w:tr>
        <w:trPr>
          <w:trHeight w:val="198"/>
        </w:trPr>
        <w:tc>
          <w:tcPr>
            <w:tcW w:w="3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4"/>
          </w:tcPr>
          <w:p>
            <w:pPr>
              <w:jc w:val="center"/>
              <w:ind w:right="164"/>
              <w:spacing w:after="0"/>
              <w:rPr>
                <w:sz w:val="20"/>
                <w:szCs w:val="20"/>
                <w:color w:val="auto"/>
              </w:rPr>
            </w:pPr>
            <w:r>
              <w:rPr>
                <w:rFonts w:ascii="Arial" w:cs="Arial" w:eastAsia="Arial" w:hAnsi="Arial"/>
                <w:sz w:val="14"/>
                <w:szCs w:val="14"/>
                <w:b w:val="1"/>
                <w:bCs w:val="1"/>
                <w:color w:val="auto"/>
                <w:w w:val="93"/>
              </w:rPr>
              <w:t>AWARDS</w:t>
            </w:r>
            <w:r>
              <w:rPr>
                <w:rFonts w:ascii="Arial" w:cs="Arial" w:eastAsia="Arial" w:hAnsi="Arial"/>
                <w:sz w:val="17"/>
                <w:szCs w:val="17"/>
                <w:b w:val="1"/>
                <w:bCs w:val="1"/>
                <w:color w:val="auto"/>
                <w:w w:val="93"/>
                <w:vertAlign w:val="superscript"/>
              </w:rPr>
              <w:t>(1)</w:t>
            </w:r>
          </w:p>
        </w:tc>
        <w:tc>
          <w:tcPr>
            <w:tcW w:w="22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5"/>
          </w:tcPr>
          <w:p>
            <w:pPr>
              <w:jc w:val="center"/>
              <w:ind w:right="438"/>
              <w:spacing w:after="0"/>
              <w:rPr>
                <w:sz w:val="20"/>
                <w:szCs w:val="20"/>
                <w:color w:val="auto"/>
              </w:rPr>
            </w:pPr>
            <w:r>
              <w:rPr>
                <w:rFonts w:ascii="Arial" w:cs="Arial" w:eastAsia="Arial" w:hAnsi="Arial"/>
                <w:sz w:val="14"/>
                <w:szCs w:val="14"/>
                <w:b w:val="1"/>
                <w:bCs w:val="1"/>
                <w:color w:val="auto"/>
                <w:w w:val="93"/>
              </w:rPr>
              <w:t>AWARDS</w:t>
            </w:r>
            <w:r>
              <w:rPr>
                <w:rFonts w:ascii="Arial" w:cs="Arial" w:eastAsia="Arial" w:hAnsi="Arial"/>
                <w:sz w:val="17"/>
                <w:szCs w:val="17"/>
                <w:b w:val="1"/>
                <w:bCs w:val="1"/>
                <w:color w:val="auto"/>
                <w:w w:val="93"/>
                <w:vertAlign w:val="superscript"/>
              </w:rPr>
              <w:t>(2)</w:t>
            </w:r>
          </w:p>
        </w:tc>
      </w:tr>
      <w:tr>
        <w:trPr>
          <w:trHeight w:val="187"/>
        </w:trPr>
        <w:tc>
          <w:tcPr>
            <w:tcW w:w="3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9"/>
              </w:rPr>
              <w:t>Number of</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Value</w:t>
            </w: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rPr>
              <w:t>Number of</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center"/>
              <w:ind w:right="58"/>
              <w:spacing w:after="0"/>
              <w:rPr>
                <w:sz w:val="20"/>
                <w:szCs w:val="20"/>
                <w:color w:val="auto"/>
              </w:rPr>
            </w:pPr>
            <w:r>
              <w:rPr>
                <w:rFonts w:ascii="Arial" w:cs="Arial" w:eastAsia="Arial" w:hAnsi="Arial"/>
                <w:sz w:val="14"/>
                <w:szCs w:val="14"/>
                <w:b w:val="1"/>
                <w:bCs w:val="1"/>
                <w:color w:val="auto"/>
              </w:rPr>
              <w:t>Value</w:t>
            </w:r>
          </w:p>
        </w:tc>
      </w:tr>
      <w:tr>
        <w:trPr>
          <w:trHeight w:val="162"/>
        </w:trPr>
        <w:tc>
          <w:tcPr>
            <w:tcW w:w="3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4"/>
                <w:szCs w:val="14"/>
                <w:color w:val="auto"/>
              </w:rPr>
            </w:pPr>
          </w:p>
        </w:tc>
        <w:tc>
          <w:tcPr>
            <w:tcW w:w="10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Realized on</w:t>
            </w: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Realized on</w:t>
            </w:r>
          </w:p>
        </w:tc>
      </w:tr>
      <w:tr>
        <w:trPr>
          <w:trHeight w:val="162"/>
        </w:trPr>
        <w:tc>
          <w:tcPr>
            <w:tcW w:w="3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rPr>
              <w:t>Acquired</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Vesting</w:t>
            </w: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rPr>
              <w:t>Acquired</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58"/>
              <w:spacing w:after="0"/>
              <w:rPr>
                <w:sz w:val="20"/>
                <w:szCs w:val="20"/>
                <w:color w:val="auto"/>
              </w:rPr>
            </w:pPr>
            <w:r>
              <w:rPr>
                <w:rFonts w:ascii="Arial" w:cs="Arial" w:eastAsia="Arial" w:hAnsi="Arial"/>
                <w:sz w:val="14"/>
                <w:szCs w:val="14"/>
                <w:b w:val="1"/>
                <w:bCs w:val="1"/>
                <w:color w:val="auto"/>
                <w:w w:val="98"/>
              </w:rPr>
              <w:t>Vesting</w:t>
            </w:r>
          </w:p>
        </w:tc>
      </w:tr>
      <w:tr>
        <w:trPr>
          <w:trHeight w:val="197"/>
        </w:trPr>
        <w:tc>
          <w:tcPr>
            <w:tcW w:w="3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2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on Vesting (#)</w:t>
            </w:r>
          </w:p>
        </w:tc>
        <w:tc>
          <w:tcPr>
            <w:tcW w:w="2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3"/>
              </w:rPr>
              <w:t>($)</w:t>
            </w:r>
          </w:p>
        </w:tc>
        <w:tc>
          <w:tcPr>
            <w:tcW w:w="22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on Vesting (#)</w:t>
            </w: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rPr>
              <w:t>($)</w:t>
            </w:r>
          </w:p>
        </w:tc>
      </w:tr>
      <w:tr>
        <w:trPr>
          <w:trHeight w:val="251"/>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P. Albright</w:t>
            </w:r>
          </w:p>
        </w:tc>
        <w:tc>
          <w:tcPr>
            <w:tcW w:w="960" w:type="dxa"/>
            <w:vAlign w:val="bottom"/>
            <w:gridSpan w:val="2"/>
            <w:shd w:val="clear" w:color="auto" w:fill="CCEEFF"/>
          </w:tcPr>
          <w:p>
            <w:pPr>
              <w:jc w:val="right"/>
              <w:ind w:right="124"/>
              <w:spacing w:after="0"/>
              <w:rPr>
                <w:sz w:val="20"/>
                <w:szCs w:val="20"/>
                <w:color w:val="auto"/>
              </w:rPr>
            </w:pPr>
            <w:r>
              <w:rPr>
                <w:rFonts w:ascii="Arial" w:cs="Arial" w:eastAsia="Arial" w:hAnsi="Arial"/>
                <w:sz w:val="18"/>
                <w:szCs w:val="18"/>
                <w:color w:val="auto"/>
              </w:rPr>
              <w:t>​26,029</w:t>
            </w:r>
          </w:p>
        </w:tc>
        <w:tc>
          <w:tcPr>
            <w:tcW w:w="22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​513,292 ​</w:t>
            </w:r>
          </w:p>
        </w:tc>
        <w:tc>
          <w:tcPr>
            <w:tcW w:w="94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​49,802</w:t>
            </w:r>
          </w:p>
        </w:tc>
        <w:tc>
          <w:tcPr>
            <w:tcW w:w="24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​1,008,989</w:t>
            </w:r>
          </w:p>
        </w:tc>
      </w:tr>
      <w:tr>
        <w:trPr>
          <w:trHeight w:val="257"/>
        </w:trPr>
        <w:tc>
          <w:tcPr>
            <w:tcW w:w="3960" w:type="dxa"/>
            <w:vAlign w:val="bottom"/>
            <w:gridSpan w:val="2"/>
          </w:tcPr>
          <w:p>
            <w:pPr>
              <w:spacing w:after="0"/>
              <w:rPr>
                <w:sz w:val="20"/>
                <w:szCs w:val="20"/>
                <w:color w:val="auto"/>
              </w:rPr>
            </w:pPr>
            <w:r>
              <w:rPr>
                <w:rFonts w:ascii="Arial" w:cs="Arial" w:eastAsia="Arial" w:hAnsi="Arial"/>
                <w:sz w:val="18"/>
                <w:szCs w:val="18"/>
                <w:color w:val="auto"/>
              </w:rPr>
              <w:t>Steven R. Greathouse</w:t>
            </w:r>
          </w:p>
        </w:tc>
        <w:tc>
          <w:tcPr>
            <w:tcW w:w="960" w:type="dxa"/>
            <w:vAlign w:val="bottom"/>
            <w:gridSpan w:val="2"/>
          </w:tcPr>
          <w:p>
            <w:pPr>
              <w:jc w:val="right"/>
              <w:ind w:right="124"/>
              <w:spacing w:after="0"/>
              <w:rPr>
                <w:sz w:val="20"/>
                <w:szCs w:val="20"/>
                <w:color w:val="auto"/>
              </w:rPr>
            </w:pPr>
            <w:r>
              <w:rPr>
                <w:rFonts w:ascii="Arial" w:cs="Arial" w:eastAsia="Arial" w:hAnsi="Arial"/>
                <w:sz w:val="18"/>
                <w:szCs w:val="18"/>
                <w:color w:val="auto"/>
              </w:rPr>
              <w:t>​33,249</w:t>
            </w:r>
          </w:p>
        </w:tc>
        <w:tc>
          <w:tcPr>
            <w:tcW w:w="220" w:type="dxa"/>
            <w:vAlign w:val="bottom"/>
          </w:tcPr>
          <w:p>
            <w:pPr>
              <w:jc w:val="center"/>
              <w:ind w:right="7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80"/>
              <w:spacing w:after="0"/>
              <w:rPr>
                <w:sz w:val="20"/>
                <w:szCs w:val="20"/>
                <w:color w:val="auto"/>
              </w:rPr>
            </w:pPr>
            <w:r>
              <w:rPr>
                <w:rFonts w:ascii="Arial" w:cs="Arial" w:eastAsia="Arial" w:hAnsi="Arial"/>
                <w:sz w:val="18"/>
                <w:szCs w:val="18"/>
                <w:color w:val="auto"/>
              </w:rPr>
              <w:t>​609,260 ​</w:t>
            </w:r>
          </w:p>
        </w:tc>
        <w:tc>
          <w:tcPr>
            <w:tcW w:w="940" w:type="dxa"/>
            <w:vAlign w:val="bottom"/>
            <w:gridSpan w:val="2"/>
          </w:tcPr>
          <w:p>
            <w:pPr>
              <w:jc w:val="right"/>
              <w:ind w:right="99"/>
              <w:spacing w:after="0"/>
              <w:rPr>
                <w:sz w:val="20"/>
                <w:szCs w:val="20"/>
                <w:color w:val="auto"/>
              </w:rPr>
            </w:pPr>
            <w:r>
              <w:rPr>
                <w:rFonts w:ascii="Arial" w:cs="Arial" w:eastAsia="Arial" w:hAnsi="Arial"/>
                <w:sz w:val="18"/>
                <w:szCs w:val="18"/>
                <w:color w:val="auto"/>
              </w:rPr>
              <w:t>​17,078</w:t>
            </w:r>
          </w:p>
        </w:tc>
        <w:tc>
          <w:tcPr>
            <w:tcW w:w="240" w:type="dxa"/>
            <w:vAlign w:val="bottom"/>
            <w:gridSpan w:val="2"/>
          </w:tcPr>
          <w:p>
            <w:pPr>
              <w:jc w:val="center"/>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346,000</w:t>
            </w:r>
          </w:p>
        </w:tc>
      </w:tr>
      <w:tr>
        <w:trPr>
          <w:trHeight w:val="257"/>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Philip R. Mays</w:t>
            </w:r>
          </w:p>
        </w:tc>
        <w:tc>
          <w:tcPr>
            <w:tcW w:w="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24"/>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 ​</w:t>
            </w:r>
          </w:p>
        </w:tc>
        <w:tc>
          <w:tcPr>
            <w:tcW w:w="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3960" w:type="dxa"/>
            <w:vAlign w:val="bottom"/>
            <w:gridSpan w:val="2"/>
          </w:tcPr>
          <w:p>
            <w:pPr>
              <w:spacing w:after="0"/>
              <w:rPr>
                <w:sz w:val="20"/>
                <w:szCs w:val="20"/>
                <w:color w:val="auto"/>
              </w:rPr>
            </w:pPr>
            <w:r>
              <w:rPr>
                <w:rFonts w:ascii="Arial" w:cs="Arial" w:eastAsia="Arial" w:hAnsi="Arial"/>
                <w:sz w:val="18"/>
                <w:szCs w:val="18"/>
                <w:color w:val="auto"/>
              </w:rPr>
              <w:t>Daniel E. Smith</w:t>
            </w:r>
          </w:p>
        </w:tc>
        <w:tc>
          <w:tcPr>
            <w:tcW w:w="960" w:type="dxa"/>
            <w:vAlign w:val="bottom"/>
            <w:gridSpan w:val="2"/>
          </w:tcPr>
          <w:p>
            <w:pPr>
              <w:jc w:val="right"/>
              <w:ind w:right="124"/>
              <w:spacing w:after="0"/>
              <w:rPr>
                <w:sz w:val="20"/>
                <w:szCs w:val="20"/>
                <w:color w:val="auto"/>
              </w:rPr>
            </w:pPr>
            <w:r>
              <w:rPr>
                <w:rFonts w:ascii="Arial" w:cs="Arial" w:eastAsia="Arial" w:hAnsi="Arial"/>
                <w:sz w:val="18"/>
                <w:szCs w:val="18"/>
                <w:color w:val="auto"/>
              </w:rPr>
              <w:t>​19,355</w:t>
            </w:r>
          </w:p>
        </w:tc>
        <w:tc>
          <w:tcPr>
            <w:tcW w:w="220" w:type="dxa"/>
            <w:vAlign w:val="bottom"/>
          </w:tcPr>
          <w:p>
            <w:pPr>
              <w:jc w:val="center"/>
              <w:ind w:right="7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80"/>
              <w:spacing w:after="0"/>
              <w:rPr>
                <w:sz w:val="20"/>
                <w:szCs w:val="20"/>
                <w:color w:val="auto"/>
              </w:rPr>
            </w:pPr>
            <w:r>
              <w:rPr>
                <w:rFonts w:ascii="Arial" w:cs="Arial" w:eastAsia="Arial" w:hAnsi="Arial"/>
                <w:sz w:val="18"/>
                <w:szCs w:val="18"/>
                <w:color w:val="auto"/>
              </w:rPr>
              <w:t>​361,791 ​</w:t>
            </w:r>
          </w:p>
        </w:tc>
        <w:tc>
          <w:tcPr>
            <w:tcW w:w="940" w:type="dxa"/>
            <w:vAlign w:val="bottom"/>
            <w:gridSpan w:val="2"/>
          </w:tcPr>
          <w:p>
            <w:pPr>
              <w:jc w:val="right"/>
              <w:ind w:right="99"/>
              <w:spacing w:after="0"/>
              <w:rPr>
                <w:sz w:val="20"/>
                <w:szCs w:val="20"/>
                <w:color w:val="auto"/>
              </w:rPr>
            </w:pPr>
            <w:r>
              <w:rPr>
                <w:rFonts w:ascii="Arial" w:cs="Arial" w:eastAsia="Arial" w:hAnsi="Arial"/>
                <w:sz w:val="18"/>
                <w:szCs w:val="18"/>
                <w:color w:val="auto"/>
              </w:rPr>
              <w:t>​12,078</w:t>
            </w:r>
          </w:p>
        </w:tc>
        <w:tc>
          <w:tcPr>
            <w:tcW w:w="240" w:type="dxa"/>
            <w:vAlign w:val="bottom"/>
            <w:gridSpan w:val="2"/>
          </w:tcPr>
          <w:p>
            <w:pPr>
              <w:jc w:val="center"/>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244,700</w:t>
            </w:r>
          </w:p>
        </w:tc>
      </w:tr>
      <w:tr>
        <w:trPr>
          <w:trHeight w:val="270"/>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Lisa M. Vorakoun</w:t>
            </w:r>
          </w:p>
        </w:tc>
        <w:tc>
          <w:tcPr>
            <w:tcW w:w="960" w:type="dxa"/>
            <w:vAlign w:val="bottom"/>
            <w:gridSpan w:val="2"/>
            <w:shd w:val="clear" w:color="auto" w:fill="CCEEFF"/>
          </w:tcPr>
          <w:p>
            <w:pPr>
              <w:jc w:val="right"/>
              <w:ind w:right="124"/>
              <w:spacing w:after="0"/>
              <w:rPr>
                <w:sz w:val="20"/>
                <w:szCs w:val="20"/>
                <w:color w:val="auto"/>
              </w:rPr>
            </w:pPr>
            <w:r>
              <w:rPr>
                <w:rFonts w:ascii="Arial" w:cs="Arial" w:eastAsia="Arial" w:hAnsi="Arial"/>
                <w:sz w:val="18"/>
                <w:szCs w:val="18"/>
                <w:color w:val="auto"/>
              </w:rPr>
              <w:t>​14,920</w:t>
            </w:r>
          </w:p>
        </w:tc>
        <w:tc>
          <w:tcPr>
            <w:tcW w:w="22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​274,332 ​</w:t>
            </w:r>
          </w:p>
        </w:tc>
        <w:tc>
          <w:tcPr>
            <w:tcW w:w="94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 4,122</w:t>
            </w:r>
          </w:p>
        </w:tc>
        <w:tc>
          <w:tcPr>
            <w:tcW w:w="24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5343525</wp:posOffset>
            </wp:positionH>
            <wp:positionV relativeFrom="paragraph">
              <wp:posOffset>-831215</wp:posOffset>
            </wp:positionV>
            <wp:extent cx="13716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4597400</wp:posOffset>
            </wp:positionH>
            <wp:positionV relativeFrom="paragraph">
              <wp:posOffset>-831215</wp:posOffset>
            </wp:positionV>
            <wp:extent cx="13716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3928745</wp:posOffset>
            </wp:positionH>
            <wp:positionV relativeFrom="paragraph">
              <wp:posOffset>-831215</wp:posOffset>
            </wp:positionV>
            <wp:extent cx="13716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3183255</wp:posOffset>
            </wp:positionH>
            <wp:positionV relativeFrom="paragraph">
              <wp:posOffset>-831215</wp:posOffset>
            </wp:positionV>
            <wp:extent cx="13716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145415</wp:posOffset>
            </wp:positionV>
            <wp:extent cx="123444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62" w:lineRule="exact"/>
        <w:rPr>
          <w:sz w:val="20"/>
          <w:szCs w:val="20"/>
          <w:color w:val="auto"/>
        </w:rPr>
      </w:pPr>
    </w:p>
    <w:p>
      <w:pPr>
        <w:ind w:left="1620" w:right="419" w:hanging="360"/>
        <w:spacing w:after="0" w:line="305" w:lineRule="auto"/>
        <w:tabs>
          <w:tab w:leader="none" w:pos="16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Restricted shares vesting in 2025 are comprised of a portion of the time-based restricted shares awarded in 2022, 2023, and 2024 as compensation for 2021, 2022, and 2023 performance, respectively.</w:t>
      </w:r>
    </w:p>
    <w:p>
      <w:pPr>
        <w:spacing w:after="0" w:line="22" w:lineRule="exact"/>
        <w:rPr>
          <w:rFonts w:ascii="Arial" w:cs="Arial" w:eastAsia="Arial" w:hAnsi="Arial"/>
          <w:sz w:val="14"/>
          <w:szCs w:val="14"/>
          <w:color w:val="auto"/>
        </w:rPr>
      </w:pPr>
    </w:p>
    <w:p>
      <w:pPr>
        <w:jc w:val="both"/>
        <w:ind w:left="1620" w:right="419" w:hanging="360"/>
        <w:spacing w:after="0" w:line="277" w:lineRule="auto"/>
        <w:tabs>
          <w:tab w:leader="none" w:pos="16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Performance share awards vesting in 2025 were awarded in January 2022 and provided for the recipients to receive, at the conclusion of the performance period commencing January 1, 2022, and ending December 31, 2024, shares of common stock of the Company, the number of such shares to be between 0% and 150% of the number of performance shares awarded, based on the Company’s TSR over the performance period as compared to the TSR of the constituent companies of the Index as of January 1, 2022.</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Pension Benefits and Non-Qualified Deferred Compensation</w:t>
      </w:r>
    </w:p>
    <w:p>
      <w:pPr>
        <w:spacing w:after="0" w:line="144" w:lineRule="exact"/>
        <w:rPr>
          <w:sz w:val="20"/>
          <w:szCs w:val="20"/>
          <w:color w:val="auto"/>
        </w:rPr>
      </w:pPr>
    </w:p>
    <w:p>
      <w:pPr>
        <w:ind w:left="1260" w:right="419"/>
        <w:spacing w:after="0" w:line="287" w:lineRule="auto"/>
        <w:rPr>
          <w:sz w:val="20"/>
          <w:szCs w:val="20"/>
          <w:color w:val="auto"/>
        </w:rPr>
      </w:pPr>
      <w:r>
        <w:rPr>
          <w:rFonts w:ascii="Arial" w:cs="Arial" w:eastAsia="Arial" w:hAnsi="Arial"/>
          <w:sz w:val="18"/>
          <w:szCs w:val="18"/>
          <w:color w:val="auto"/>
        </w:rPr>
        <w:t>None of our employees are currently eligible to receive benefits under a defined benefit pension plan or a nonqualified deferred compensation plan providing for retirement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2" w:name="page53"/>
    <w:bookmarkEnd w:id="5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58" w:lineRule="exact"/>
        <w:rPr>
          <w:sz w:val="20"/>
          <w:szCs w:val="20"/>
          <w:color w:val="auto"/>
        </w:rPr>
      </w:pPr>
    </w:p>
    <w:p>
      <w:pPr>
        <w:jc w:val="both"/>
        <w:ind w:left="1260" w:right="419"/>
        <w:spacing w:after="0" w:line="231" w:lineRule="auto"/>
        <w:rPr>
          <w:sz w:val="20"/>
          <w:szCs w:val="20"/>
          <w:color w:val="auto"/>
        </w:rPr>
      </w:pPr>
      <w:r>
        <w:rPr>
          <w:rFonts w:ascii="Arial" w:cs="Arial" w:eastAsia="Arial" w:hAnsi="Arial"/>
          <w:sz w:val="18"/>
          <w:szCs w:val="18"/>
          <w:u w:val="single" w:color="auto"/>
          <w:color w:val="auto"/>
        </w:rPr>
        <w:t>Severance Payments and Benefits</w:t>
      </w:r>
      <w:r>
        <w:rPr>
          <w:rFonts w:ascii="Arial" w:cs="Arial" w:eastAsia="Arial" w:hAnsi="Arial"/>
          <w:sz w:val="18"/>
          <w:szCs w:val="18"/>
          <w:color w:val="auto"/>
        </w:rPr>
        <w:t>. We entered into an employment agreement with Mr. Albright on June 30, 2011, in connection with his appointment as our President and CEO effective August 1, 2011, which agreement was amended and restated several times, most recently on July 29, 2020, and further amended on October 22, 2024. Pursuant to his employment agreement, if Mr. Albright’s employment is terminated by the Company without cause (as defined in the employment agreement), the Company will pay Mr. Albright an amount equal to 200% of his then-current base salary in one lump sum payment, on the 45</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day after the date of termination of his employment, conditioned upon the delivery of a release of claims reasonably acceptable to the Company. If, after a change in control of the Company (as defined in the employment agreement), Mr. Albright’s employment is terminated by the Company other than for cause (as defined in the employment agreement) or Mr. Albright voluntarily terminates employment for good reason (as defined in the employment agreement), he will receive (i) separation pay in an amount equal to 275% of the sum of (x) his then-current base salary and (y) his then-current annual target bonus, in one lump sum payment on the 45</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day after the date of termination of his employment, and (ii) any payments and benefits to the extent set forth in his equity incentive award agreements, conditioned upon the delivery of a release of claims reasonably acceptable to the Company. Mr. Albright’s employment agreement contains customary non-competition, non-solicitation, confidentiality and intellectual property provisions.</w:t>
      </w:r>
    </w:p>
    <w:p>
      <w:pPr>
        <w:spacing w:after="0" w:line="122" w:lineRule="exact"/>
        <w:rPr>
          <w:sz w:val="20"/>
          <w:szCs w:val="20"/>
          <w:color w:val="auto"/>
        </w:rPr>
      </w:pPr>
    </w:p>
    <w:p>
      <w:pPr>
        <w:jc w:val="both"/>
        <w:ind w:left="1260" w:right="419"/>
        <w:spacing w:after="0" w:line="236" w:lineRule="auto"/>
        <w:rPr>
          <w:sz w:val="20"/>
          <w:szCs w:val="20"/>
          <w:color w:val="auto"/>
        </w:rPr>
      </w:pPr>
      <w:r>
        <w:rPr>
          <w:rFonts w:ascii="Arial" w:cs="Arial" w:eastAsia="Arial" w:hAnsi="Arial"/>
          <w:sz w:val="18"/>
          <w:szCs w:val="18"/>
          <w:color w:val="auto"/>
        </w:rPr>
        <w:t>We entered into an employment agreement with Mr. Greathouse on February 26, 2016, in connection with his appointment as our Senior Vice President-Investments, which agreement was amended on August 4, 2017, and October 22, 2024. Pursuant to the employment agreement, if, after a change in control of the Company (as defined in the employment agreement), Mr. Greathouse’s employment is terminated by the Company other than for cause (as defined in the employment agreement) or Mr. Greathouse voluntarily terminates employment for good reason (as defined in the employment agreement), he will receive (i) separation pay in an amount equal to 100% of then-current base salary in one lump sum payment on the 45</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day after the date of termination of his employment, (ii) any amounts due and payable under the Annual Incentive Plan, and (iii) any payments and benefits to the extent set forth in his equity incentive award agreements, conditioned upon the delivery of a release of claims reasonably acceptable to the Company. Mr. Greathouse’s employment agreement contains customary non-competition, non-solicitation, confidentiality and intellectual property provisions.</w:t>
      </w:r>
    </w:p>
    <w:p>
      <w:pPr>
        <w:spacing w:after="0" w:line="113" w:lineRule="exact"/>
        <w:rPr>
          <w:sz w:val="20"/>
          <w:szCs w:val="20"/>
          <w:color w:val="auto"/>
        </w:rPr>
      </w:pPr>
    </w:p>
    <w:p>
      <w:pPr>
        <w:jc w:val="both"/>
        <w:ind w:left="1260" w:right="419"/>
        <w:spacing w:after="0" w:line="241" w:lineRule="auto"/>
        <w:rPr>
          <w:sz w:val="20"/>
          <w:szCs w:val="20"/>
          <w:color w:val="auto"/>
        </w:rPr>
      </w:pPr>
      <w:r>
        <w:rPr>
          <w:rFonts w:ascii="Arial" w:cs="Arial" w:eastAsia="Arial" w:hAnsi="Arial"/>
          <w:sz w:val="18"/>
          <w:szCs w:val="18"/>
          <w:color w:val="auto"/>
        </w:rPr>
        <w:t>We entered into an employment agreement with Mr. Mays on May 29, 2024, in connection with his appointment as our Senior Vice President, Chief Financial Officer and Treasurer. Pursuant to his employment agreement, if Mr. Mays is terminated without cause (as defined in the employment agreement) at any time outside of the twenty-four (24) month period after a change in control of the Company (the “Change in Control Period”), he will receive (i) any amounts due and payable under the Annual Incentive Plan, (ii) any payments and benefits to the extent set forth in his equity incentive award agreements, and (iii) if such termination occurs prior to June 17, 2029, he will receive separation pay in an amount equal to 100% of then-current base salary in one lump sum payment on the 60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day after the date of termination of his employment. If, during the Change in Control Period, Mr. Mays’ employment is terminated by the Company other than for cause (as defined in the employment agreement) or Mr. Mays voluntarily terminates employment for good reason (as defined in the employment agreement), he will receive (i) separation pay in an amount equal to 100% of then-current base salary in one lump sum payment on the 60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day after the date of termination of his employment, (ii) any amounts due and payable under the Annual Incentive Plan, and (iii) any payments and benefits to the extent set forth in his equity incentive award agreements, conditioned upon the delivery of a release of claims reasonably acceptable to the Company. Mr. May’s employment agreement contains customary non-competition, non-solicitation, confidentiality and intellectual property provisions.</w:t>
      </w:r>
    </w:p>
    <w:p>
      <w:pPr>
        <w:spacing w:after="0" w:line="116" w:lineRule="exact"/>
        <w:rPr>
          <w:sz w:val="20"/>
          <w:szCs w:val="20"/>
          <w:color w:val="auto"/>
        </w:rPr>
      </w:pPr>
    </w:p>
    <w:p>
      <w:pPr>
        <w:jc w:val="both"/>
        <w:ind w:left="1260" w:right="419"/>
        <w:spacing w:after="0" w:line="256" w:lineRule="auto"/>
        <w:rPr>
          <w:sz w:val="20"/>
          <w:szCs w:val="20"/>
          <w:color w:val="auto"/>
        </w:rPr>
      </w:pPr>
      <w:r>
        <w:rPr>
          <w:rFonts w:ascii="Arial" w:cs="Arial" w:eastAsia="Arial" w:hAnsi="Arial"/>
          <w:sz w:val="18"/>
          <w:szCs w:val="18"/>
          <w:color w:val="auto"/>
        </w:rPr>
        <w:t>We entered into an employment agreement with Mr. Smith on October 22, 2014, in connection with his appointment as our Senior Vice President, General Counsel and Corporate Secretary, which agreement was amended on February 26, 2016, August 4, 2017, and October 22, 2024. Pursuant to his employment agreement, if, after a change in control of the Company (as defined in the employment agreement), Mr. Smith’s employment is terminated by the Company other than for cause (as defined in the employment agreement) or Mr. Smith voluntarily terminates employment for good reason (as defined in the</w:t>
      </w:r>
    </w:p>
    <w:p>
      <w:pPr>
        <w:sectPr>
          <w:pgSz w:w="11900" w:h="16838" w:orient="portrait"/>
          <w:cols w:equalWidth="0" w:num="1">
            <w:col w:w="9879"/>
          </w:cols>
          <w:pgMar w:left="580" w:top="97" w:right="1440" w:bottom="1440" w:gutter="0" w:footer="0" w:header="0"/>
        </w:sectPr>
      </w:pPr>
    </w:p>
    <w:p>
      <w:pPr>
        <w:spacing w:after="0" w:line="37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3" w:name="page54"/>
    <w:bookmarkEnd w:id="5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left="1260" w:right="419"/>
        <w:spacing w:after="0" w:line="213" w:lineRule="auto"/>
        <w:rPr>
          <w:sz w:val="20"/>
          <w:szCs w:val="20"/>
          <w:color w:val="auto"/>
        </w:rPr>
      </w:pPr>
      <w:r>
        <w:rPr>
          <w:rFonts w:ascii="Arial" w:cs="Arial" w:eastAsia="Arial" w:hAnsi="Arial"/>
          <w:sz w:val="18"/>
          <w:szCs w:val="18"/>
          <w:color w:val="auto"/>
        </w:rPr>
        <w:t>employment agreement), he will receive (i) separation pay in an amount equal to 100% of then-current base salary in one lump sum payment on the 45</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day after the date of termination of his employment,</w:t>
      </w:r>
    </w:p>
    <w:p>
      <w:pPr>
        <w:spacing w:after="0" w:line="1" w:lineRule="exact"/>
        <w:rPr>
          <w:sz w:val="20"/>
          <w:szCs w:val="20"/>
          <w:color w:val="auto"/>
        </w:rPr>
      </w:pPr>
    </w:p>
    <w:p>
      <w:pPr>
        <w:jc w:val="both"/>
        <w:ind w:left="1260" w:right="419"/>
        <w:spacing w:after="0" w:line="245" w:lineRule="auto"/>
        <w:tabs>
          <w:tab w:leader="none" w:pos="1515"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amounts due and payable under the Annual Incentive Plan, and (iii) any payments and benefits to the extent set forth in his equity incentive award agreements, conditioned upon the delivery of a release of claims reasonably acceptable to the Company. Mr. Smith’s employment agreement contains customary non-competition, non-solicitation, confidentiality and intellectual property provisions.</w:t>
      </w:r>
    </w:p>
    <w:p>
      <w:pPr>
        <w:spacing w:after="0" w:line="109" w:lineRule="exact"/>
        <w:rPr>
          <w:sz w:val="20"/>
          <w:szCs w:val="20"/>
          <w:color w:val="auto"/>
        </w:rPr>
      </w:pPr>
    </w:p>
    <w:p>
      <w:pPr>
        <w:jc w:val="both"/>
        <w:ind w:left="1260" w:right="419"/>
        <w:spacing w:after="0" w:line="259" w:lineRule="auto"/>
        <w:rPr>
          <w:sz w:val="20"/>
          <w:szCs w:val="20"/>
          <w:color w:val="auto"/>
        </w:rPr>
      </w:pPr>
      <w:r>
        <w:rPr>
          <w:rFonts w:ascii="Arial" w:cs="Arial" w:eastAsia="Arial" w:hAnsi="Arial"/>
          <w:sz w:val="17"/>
          <w:szCs w:val="17"/>
          <w:color w:val="auto"/>
        </w:rPr>
        <w:t>We entered into an employment agreement with Ms. Vorakoun on October 22, 2024, in connection with her appointment as our Senior Vice President and Chief Accounting Officer. Pursuant to her employment agreement, if, during the Change in Control Period, Ms. Vorakoun’s employment is terminated by the Company other than for cause (as defined in the employment agreement) or Ms. Vorakoun voluntarily terminates employment for good reason (as defined in the employment agreement), she will receive</w:t>
      </w:r>
    </w:p>
    <w:p>
      <w:pPr>
        <w:spacing w:after="0" w:line="3" w:lineRule="exact"/>
        <w:rPr>
          <w:sz w:val="20"/>
          <w:szCs w:val="20"/>
          <w:color w:val="auto"/>
        </w:rPr>
      </w:pPr>
    </w:p>
    <w:p>
      <w:pPr>
        <w:jc w:val="both"/>
        <w:ind w:left="1260" w:right="419"/>
        <w:spacing w:after="0" w:line="226" w:lineRule="auto"/>
        <w:tabs>
          <w:tab w:leader="none" w:pos="147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separation pay in an amount equal to 100% of then-current base salary in one lump sum payment on the 60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day after the date of termination of her employment, (ii) any amounts due and payable under the Annual Incentive Plan, and (iii) any payments and benefits to the extent set forth in her equity incentive award agreements, conditioned upon the delivery of a release of claims reasonably acceptable to the Company. Ms. Vorakoun’s employment agreement contains customary non-competition, non-solicitation, confidentiality and intellectual property provisions.</w:t>
      </w:r>
    </w:p>
    <w:p>
      <w:pPr>
        <w:spacing w:after="0" w:line="11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above-referenced employment agreements use the general definitions described below.</w:t>
      </w:r>
    </w:p>
    <w:p>
      <w:pPr>
        <w:spacing w:after="0" w:line="158" w:lineRule="exact"/>
        <w:rPr>
          <w:sz w:val="20"/>
          <w:szCs w:val="20"/>
          <w:color w:val="auto"/>
        </w:rPr>
      </w:pPr>
    </w:p>
    <w:p>
      <w:pPr>
        <w:ind w:left="1260" w:right="419"/>
        <w:spacing w:after="0" w:line="271" w:lineRule="auto"/>
        <w:rPr>
          <w:sz w:val="20"/>
          <w:szCs w:val="20"/>
          <w:color w:val="auto"/>
        </w:rPr>
      </w:pPr>
      <w:r>
        <w:rPr>
          <w:rFonts w:ascii="Arial" w:cs="Arial" w:eastAsia="Arial" w:hAnsi="Arial"/>
          <w:sz w:val="18"/>
          <w:szCs w:val="18"/>
          <w:color w:val="auto"/>
        </w:rPr>
        <w:t xml:space="preserve">“Change in Control” generally has the same definition as contained in the 2010 Plan (see Equity-Based Incentive Awards discussion below at page </w:t>
      </w:r>
      <w:r>
        <w:rPr>
          <w:rFonts w:ascii="Arial" w:cs="Arial" w:eastAsia="Arial" w:hAnsi="Arial"/>
          <w:sz w:val="18"/>
          <w:szCs w:val="18"/>
          <w:u w:val="single" w:color="auto"/>
          <w:color w:val="0000EE"/>
        </w:rPr>
        <w:t>51</w:t>
      </w:r>
      <w:r>
        <w:rPr>
          <w:rFonts w:ascii="Arial" w:cs="Arial" w:eastAsia="Arial" w:hAnsi="Arial"/>
          <w:sz w:val="18"/>
          <w:szCs w:val="18"/>
          <w:color w:val="auto"/>
        </w:rPr>
        <w:t>).</w:t>
      </w:r>
    </w:p>
    <w:p>
      <w:pPr>
        <w:spacing w:after="0" w:line="8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“Cause” generally means any of the following:</w:t>
      </w:r>
    </w:p>
    <w:p>
      <w:pPr>
        <w:spacing w:after="0" w:line="117" w:lineRule="exact"/>
        <w:rPr>
          <w:sz w:val="20"/>
          <w:szCs w:val="20"/>
          <w:color w:val="auto"/>
        </w:rPr>
      </w:pPr>
    </w:p>
    <w:p>
      <w:pPr>
        <w:jc w:val="both"/>
        <w:ind w:left="1800" w:right="419" w:hanging="180"/>
        <w:spacing w:after="0" w:line="268" w:lineRule="auto"/>
        <w:tabs>
          <w:tab w:leader="none" w:pos="1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employee’s arrest or conviction for, plea of nolo contendere to, or admission of the commission of, any act of fraud, misappropriation, or embezzlement, or a criminal felony involving dishonesty or moral turpitude;</w:t>
      </w:r>
    </w:p>
    <w:p>
      <w:pPr>
        <w:spacing w:after="0" w:line="62" w:lineRule="exact"/>
        <w:rPr>
          <w:rFonts w:ascii="Arial" w:cs="Arial" w:eastAsia="Arial" w:hAnsi="Arial"/>
          <w:sz w:val="18"/>
          <w:szCs w:val="18"/>
          <w:color w:val="auto"/>
        </w:rPr>
      </w:pPr>
    </w:p>
    <w:p>
      <w:pPr>
        <w:jc w:val="both"/>
        <w:ind w:left="1800" w:right="419" w:hanging="180"/>
        <w:spacing w:after="0" w:line="268" w:lineRule="auto"/>
        <w:tabs>
          <w:tab w:leader="none" w:pos="1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breach by the employee of any material provision of the applicable agreement, provided that the employee is given reasonable notice of, and a reasonable opportunity to cure within thirty (30) days of such notice (if such breach is curable), any such breach;</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act or intentional omission by the employee involving dishonesty or moral turpitude;</w:t>
      </w:r>
    </w:p>
    <w:p>
      <w:pPr>
        <w:spacing w:after="0" w:line="103" w:lineRule="exact"/>
        <w:rPr>
          <w:rFonts w:ascii="Arial" w:cs="Arial" w:eastAsia="Arial" w:hAnsi="Arial"/>
          <w:sz w:val="18"/>
          <w:szCs w:val="18"/>
          <w:color w:val="auto"/>
        </w:rPr>
      </w:pPr>
    </w:p>
    <w:p>
      <w:pPr>
        <w:jc w:val="both"/>
        <w:ind w:left="1800" w:right="419" w:hanging="180"/>
        <w:spacing w:after="0" w:line="262" w:lineRule="auto"/>
        <w:tabs>
          <w:tab w:leader="none" w:pos="1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employee’s material failure to adequately perform his/her duties and responsibilities as such duties and responsibilities are, from time to time, in the Company’s discretion, determined and after reasonable notice of, and a reasonable opportunity to cure within thirty (30) days of such notice (if such breach is curable), any such breach;</w:t>
      </w:r>
    </w:p>
    <w:p>
      <w:pPr>
        <w:spacing w:after="0" w:line="68" w:lineRule="exact"/>
        <w:rPr>
          <w:rFonts w:ascii="Arial" w:cs="Arial" w:eastAsia="Arial" w:hAnsi="Arial"/>
          <w:sz w:val="18"/>
          <w:szCs w:val="18"/>
          <w:color w:val="auto"/>
        </w:rPr>
      </w:pPr>
    </w:p>
    <w:p>
      <w:pPr>
        <w:ind w:left="1800" w:right="419" w:hanging="180"/>
        <w:spacing w:after="0" w:line="287" w:lineRule="auto"/>
        <w:tabs>
          <w:tab w:leader="none" w:pos="1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intentional independent act by the employee that would cause the Company significant reputational injury; or</w:t>
      </w:r>
    </w:p>
    <w:p>
      <w:pPr>
        <w:spacing w:after="0" w:line="44" w:lineRule="exact"/>
        <w:rPr>
          <w:rFonts w:ascii="Arial" w:cs="Arial" w:eastAsia="Arial" w:hAnsi="Arial"/>
          <w:sz w:val="18"/>
          <w:szCs w:val="18"/>
          <w:color w:val="auto"/>
        </w:rPr>
      </w:pPr>
    </w:p>
    <w:p>
      <w:pPr>
        <w:jc w:val="both"/>
        <w:ind w:left="1800" w:right="419" w:hanging="180"/>
        <w:spacing w:after="0" w:line="262" w:lineRule="auto"/>
        <w:tabs>
          <w:tab w:leader="none" w:pos="1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Past or future conduct of the employee, inconsistent with the employee’s reputation at the time the applicable agreement was executed, which comes to light and results in sustained, widespread public condemnation of the employee that reasonably could be expected to cause adverse publicity or economic injury to the Company.</w:t>
      </w:r>
    </w:p>
    <w:p>
      <w:pPr>
        <w:spacing w:after="0" w:line="109" w:lineRule="exact"/>
        <w:rPr>
          <w:sz w:val="20"/>
          <w:szCs w:val="20"/>
          <w:color w:val="auto"/>
        </w:rPr>
      </w:pPr>
    </w:p>
    <w:p>
      <w:pPr>
        <w:jc w:val="both"/>
        <w:ind w:left="1260" w:right="419"/>
        <w:spacing w:after="0" w:line="243" w:lineRule="auto"/>
        <w:rPr>
          <w:sz w:val="20"/>
          <w:szCs w:val="20"/>
          <w:color w:val="auto"/>
        </w:rPr>
      </w:pPr>
      <w:r>
        <w:rPr>
          <w:rFonts w:ascii="Arial" w:cs="Arial" w:eastAsia="Arial" w:hAnsi="Arial"/>
          <w:sz w:val="18"/>
          <w:szCs w:val="18"/>
          <w:color w:val="auto"/>
        </w:rPr>
        <w:t>“Good Reason” generally means, without the affected employee’s prior written consent, a material reduction in the employee’s compensation or employment-related benefits, or a material change in the employee’s status, working conditions or management responsibilities. The employee’s termination of employment will not constitute a termination for Good Reason unless the employee first provides written notice to the Company of the existence of the Good Reason within sixty (60) days following the effective date of the occurrence of the Good Reason, and the Good Reason remains uncorrected by the Company for more than thirty (30) days following such written notice of the Good Reason from the employee to the Company, and the effective date of the employee’s termination of employment is within one (1) year following the effective date of the occurrence of the Good Reason.</w:t>
      </w:r>
    </w:p>
    <w:p>
      <w:pPr>
        <w:spacing w:after="0" w:line="112" w:lineRule="exact"/>
        <w:rPr>
          <w:sz w:val="20"/>
          <w:szCs w:val="20"/>
          <w:color w:val="auto"/>
        </w:rPr>
      </w:pPr>
    </w:p>
    <w:p>
      <w:pPr>
        <w:jc w:val="both"/>
        <w:ind w:left="1260" w:right="419"/>
        <w:spacing w:after="0" w:line="287" w:lineRule="auto"/>
        <w:rPr>
          <w:sz w:val="20"/>
          <w:szCs w:val="20"/>
          <w:color w:val="auto"/>
        </w:rPr>
      </w:pPr>
      <w:r>
        <w:rPr>
          <w:rFonts w:ascii="Arial" w:cs="Arial" w:eastAsia="Arial" w:hAnsi="Arial"/>
          <w:sz w:val="18"/>
          <w:szCs w:val="18"/>
          <w:color w:val="auto"/>
        </w:rPr>
        <w:t>Other than as described above, we do not have any employment agreements, change in control agreements, or severance agreements with any of our NEOs.</w:t>
      </w:r>
    </w:p>
    <w:p>
      <w:pPr>
        <w:sectPr>
          <w:pgSz w:w="11900" w:h="16838" w:orient="portrait"/>
          <w:cols w:equalWidth="0" w:num="1">
            <w:col w:w="9879"/>
          </w:cols>
          <w:pgMar w:left="580" w:top="97" w:right="1440" w:bottom="1440" w:gutter="0" w:footer="0" w:header="0"/>
        </w:sectPr>
      </w:pPr>
    </w:p>
    <w:p>
      <w:pPr>
        <w:spacing w:after="0" w:line="31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269240</wp:posOffset>
            </wp:positionV>
            <wp:extent cx="68319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4" w:name="page55"/>
    <w:bookmarkEnd w:id="5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left="1260" w:right="419"/>
        <w:spacing w:after="0" w:line="254" w:lineRule="auto"/>
        <w:rPr>
          <w:sz w:val="20"/>
          <w:szCs w:val="20"/>
          <w:color w:val="auto"/>
        </w:rPr>
      </w:pPr>
      <w:r>
        <w:rPr>
          <w:rFonts w:ascii="Arial" w:cs="Arial" w:eastAsia="Arial" w:hAnsi="Arial"/>
          <w:sz w:val="18"/>
          <w:szCs w:val="18"/>
          <w:b w:val="1"/>
          <w:bCs w:val="1"/>
          <w:i w:val="1"/>
          <w:iCs w:val="1"/>
          <w:u w:val="single" w:color="auto"/>
          <w:color w:val="auto"/>
        </w:rPr>
        <w:t>Annual Incentive Plan Payments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the Annual Incentive Plan, if a participant experiences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qualifying termination (as defined below) prior to or on December 31 of the applicable plan year, such participant will be entitled to receive a prorated annual cash incentive payment for such plan year. The prorated amount will be based on the number of days worked by the participant during the applicable plan year prior to and including the date on which the participant’s termination of employment occurs. The Annual Incentive Plan defines a “qualifying termination” as a termination of employment on or after April 1 of the applicable plan year by (a) the Company without cause or (b) the participant for good reason. “Cause” and “good reason” will have the meanings ascribed to such terms in such participant’s employment or similar agreement or, if no such agreement exists, then as defined in the Annual Incentive Plan. Any prorated annual cash bonus will be payable no later than 30 days following the participant’s termination of employment based on the “target” level of achievement.</w:t>
      </w:r>
    </w:p>
    <w:p>
      <w:pPr>
        <w:spacing w:after="0" w:line="115" w:lineRule="exact"/>
        <w:rPr>
          <w:sz w:val="20"/>
          <w:szCs w:val="20"/>
          <w:color w:val="auto"/>
        </w:rPr>
      </w:pPr>
    </w:p>
    <w:p>
      <w:pPr>
        <w:jc w:val="both"/>
        <w:ind w:left="1260" w:right="419"/>
        <w:spacing w:after="0" w:line="266" w:lineRule="auto"/>
        <w:rPr>
          <w:sz w:val="20"/>
          <w:szCs w:val="20"/>
          <w:color w:val="auto"/>
        </w:rPr>
      </w:pPr>
      <w:r>
        <w:rPr>
          <w:rFonts w:ascii="Arial" w:cs="Arial" w:eastAsia="Arial" w:hAnsi="Arial"/>
          <w:sz w:val="17"/>
          <w:szCs w:val="17"/>
          <w:b w:val="1"/>
          <w:bCs w:val="1"/>
          <w:i w:val="1"/>
          <w:iCs w:val="1"/>
          <w:u w:val="single" w:color="auto"/>
          <w:color w:val="auto"/>
        </w:rPr>
        <w:t>Equity-Based Incentive Awards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All equity award agreements entered into with our NEOs and other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officers pursuant to the 2010 Plan (including the award agreements pertaining to time-based restricted shares and performance shares) provide that all unvested awards become vested upon the officer’s termination of employment without cause or the officer’s resignation for good reason (as such terms are defined in the executive’s employment agreement or the award agreement, as applicable) (such termination of employment being a “Qualifying Termination”). With respect to awards of performance shares, (a) in the case of a Qualifying Termination prior to the expiration of the applicable performance period, the percentage of performance shares that vest pursuant to the applicable agreement shall be the greater of (i) the percentage of performance shares that would vest based on the TSR achieved by the Company as if the performance period had ended on the date of the Qualifying Termination, as determined and certified by the Compensation Committee, multiplied by a fraction, the denominator of which is the total number of days in the original performance period and the numerator of which is the number of days from the beginning of the performance period to the date of the Qualifying Termination or</w:t>
      </w:r>
    </w:p>
    <w:p>
      <w:pPr>
        <w:spacing w:after="0" w:line="10" w:lineRule="exact"/>
        <w:rPr>
          <w:sz w:val="20"/>
          <w:szCs w:val="20"/>
          <w:color w:val="auto"/>
        </w:rPr>
      </w:pPr>
    </w:p>
    <w:p>
      <w:pPr>
        <w:jc w:val="both"/>
        <w:ind w:left="1260" w:right="419"/>
        <w:spacing w:after="0" w:line="255" w:lineRule="auto"/>
        <w:tabs>
          <w:tab w:leader="none" w:pos="1550" w:val="left"/>
        </w:tabs>
        <w:numPr>
          <w:ilvl w:val="0"/>
          <w:numId w:val="48"/>
        </w:numPr>
        <w:rPr>
          <w:rFonts w:ascii="Arial" w:cs="Arial" w:eastAsia="Arial" w:hAnsi="Arial"/>
          <w:sz w:val="18"/>
          <w:szCs w:val="18"/>
          <w:color w:val="auto"/>
        </w:rPr>
      </w:pPr>
      <w:r>
        <w:rPr>
          <w:rFonts w:ascii="Arial" w:cs="Arial" w:eastAsia="Arial" w:hAnsi="Arial"/>
          <w:sz w:val="18"/>
          <w:szCs w:val="18"/>
          <w:color w:val="auto"/>
        </w:rPr>
        <w:t>100% of the performance shares; and (b) in the case of a Qualifying Termination prior to the expiration of the performance period at any time during the 24-month period following a change in control, the number of performance shares that vest pursuant to the applicable agreement shall be 150% of the performance shares.</w:t>
      </w:r>
    </w:p>
    <w:p>
      <w:pPr>
        <w:spacing w:after="0" w:line="11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Under the 2010 Plan, a change of control shall be deemed to have occurred if:</w:t>
      </w:r>
    </w:p>
    <w:p>
      <w:pPr>
        <w:spacing w:after="0" w:line="117" w:lineRule="exact"/>
        <w:rPr>
          <w:sz w:val="20"/>
          <w:szCs w:val="20"/>
          <w:color w:val="auto"/>
        </w:rPr>
      </w:pPr>
    </w:p>
    <w:p>
      <w:pPr>
        <w:jc w:val="both"/>
        <w:ind w:left="1800" w:right="419" w:hanging="180"/>
        <w:spacing w:after="0" w:line="257" w:lineRule="auto"/>
        <w:tabs>
          <w:tab w:leader="none" w:pos="1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person (as such term is used in Section 13(d) of the Exchange Act) or group (as such term is defined in Sections 3(a)(9) and 13(d)(3) of the Exchange Act), other than a subsidiary of the Company or any employee benefit plan (or any related trust) of the Company or a subsidiary, becomes the beneficial owner of 50% or more of the Company’s outstanding voting shares and other outstanding voting securities that are entitled to vote generally in the election of directors (“Voting Securities”);</w:t>
      </w:r>
    </w:p>
    <w:p>
      <w:pPr>
        <w:spacing w:after="0" w:line="74" w:lineRule="exact"/>
        <w:rPr>
          <w:rFonts w:ascii="Arial" w:cs="Arial" w:eastAsia="Arial" w:hAnsi="Arial"/>
          <w:sz w:val="18"/>
          <w:szCs w:val="18"/>
          <w:color w:val="auto"/>
        </w:rPr>
      </w:pPr>
    </w:p>
    <w:p>
      <w:pPr>
        <w:jc w:val="both"/>
        <w:ind w:left="1800" w:right="419" w:hanging="180"/>
        <w:spacing w:after="0" w:line="255" w:lineRule="auto"/>
        <w:tabs>
          <w:tab w:leader="none" w:pos="1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approval by the stockholders of the Company and consummation of either of the following: (A) a merger, reorganization, consolidation or similar transaction (any of the foregoing, a “Merger”) as a result of which the persons who were the respective beneficial owners of the outstanding common stock and/or the Voting Securities immediately before such Merger are not expected to beneficially own, immediately after such Merger, directly or indirectly, more than 50% of, respectively, the outstanding voting shares and the combined voting power of the voting securities resulting from such merger in substantially the same proportions as immediately before such Merger; or (B) a plan of liquidation of the Company or a plan or agreement for the sale or other disposition of all or substantially all of the assets of the Company; or</w:t>
      </w:r>
    </w:p>
    <w:p>
      <w:pPr>
        <w:spacing w:after="0" w:line="72" w:lineRule="exact"/>
        <w:rPr>
          <w:rFonts w:ascii="Arial" w:cs="Arial" w:eastAsia="Arial" w:hAnsi="Arial"/>
          <w:sz w:val="18"/>
          <w:szCs w:val="18"/>
          <w:color w:val="auto"/>
        </w:rPr>
      </w:pPr>
    </w:p>
    <w:p>
      <w:pPr>
        <w:jc w:val="both"/>
        <w:ind w:left="1800" w:right="419" w:hanging="180"/>
        <w:spacing w:after="0" w:line="256" w:lineRule="auto"/>
        <w:tabs>
          <w:tab w:leader="none" w:pos="1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upon a change in the composition of the Board such that, during any twelve-month period, the individuals who, as of the beginning of such period, constitute the Board (the “Existing Board”) cease for any reason to constitute more than 50% of the Board; provided, however, that any individual becoming a member of the Board subsequent to the beginning of such period whose election, or nomination for election by the Company’s stockholders, was approved by a vote of at least two-thirds of the directors immediately prior to the date of such appointment or election will be considered as though such individual were a member of the Existing Board.</w:t>
      </w:r>
    </w:p>
    <w:p>
      <w:pPr>
        <w:spacing w:after="0" w:line="35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5" w:name="page56"/>
    <w:bookmarkEnd w:id="5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left="1260" w:right="820"/>
        <w:spacing w:after="0" w:line="259" w:lineRule="auto"/>
        <w:rPr>
          <w:sz w:val="20"/>
          <w:szCs w:val="20"/>
          <w:color w:val="auto"/>
        </w:rPr>
      </w:pPr>
      <w:r>
        <w:rPr>
          <w:rFonts w:ascii="Arial" w:cs="Arial" w:eastAsia="Arial" w:hAnsi="Arial"/>
          <w:sz w:val="18"/>
          <w:szCs w:val="18"/>
          <w:color w:val="auto"/>
        </w:rPr>
        <w:t>The following table sets forth the benefit that would have been realized by Ms. Vorakoun and Messrs. Albright, Greathouse, Mays and Smith as of December 31, 2025, if such officer’s employment had been terminated on that date due to a qualifying termination, and the benefit that would have been realized by each NEO as of December 31, 2025, if a change in control had occurred on or before such date.</w:t>
      </w:r>
    </w:p>
    <w:p>
      <w:pPr>
        <w:sectPr>
          <w:pgSz w:w="11900" w:h="16838" w:orient="portrait"/>
          <w:cols w:equalWidth="0" w:num="1">
            <w:col w:w="10280"/>
          </w:cols>
          <w:pgMar w:left="580" w:top="97"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auto"/>
        </w:rPr>
        <w:t>Name</w:t>
      </w:r>
    </w:p>
    <w:p>
      <w:pPr>
        <w:spacing w:after="0" w:line="9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John P. Albright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left="500"/>
        <w:spacing w:after="0"/>
        <w:rPr>
          <w:sz w:val="20"/>
          <w:szCs w:val="20"/>
          <w:color w:val="auto"/>
        </w:rPr>
      </w:pPr>
      <w:r>
        <w:rPr>
          <w:rFonts w:ascii="Arial" w:cs="Arial" w:eastAsia="Arial" w:hAnsi="Arial"/>
          <w:sz w:val="15"/>
          <w:szCs w:val="15"/>
          <w:color w:val="auto"/>
        </w:rPr>
        <w:t>Steven R. Greathouse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1740" w:val="left"/>
        </w:tabs>
        <w:rPr>
          <w:sz w:val="20"/>
          <w:szCs w:val="20"/>
          <w:color w:val="auto"/>
        </w:rPr>
      </w:pPr>
      <w:r>
        <w:rPr>
          <w:rFonts w:ascii="Arial" w:cs="Arial" w:eastAsia="Arial" w:hAnsi="Arial"/>
          <w:sz w:val="29"/>
          <w:szCs w:val="29"/>
          <w:b w:val="1"/>
          <w:bCs w:val="1"/>
          <w:color w:val="auto"/>
          <w:vertAlign w:val="subscript"/>
        </w:rPr>
        <w:t>​​</w:t>
      </w:r>
      <w:r>
        <w:rPr>
          <w:sz w:val="20"/>
          <w:szCs w:val="20"/>
          <w:color w:val="auto"/>
        </w:rPr>
        <w:tab/>
      </w:r>
      <w:r>
        <w:rPr>
          <w:rFonts w:ascii="Arial" w:cs="Arial" w:eastAsia="Arial" w:hAnsi="Arial"/>
          <w:sz w:val="14"/>
          <w:szCs w:val="14"/>
          <w:b w:val="1"/>
          <w:bCs w:val="1"/>
          <w:color w:val="auto"/>
        </w:rPr>
        <w:t>Benefit</w:t>
      </w:r>
    </w:p>
    <w:p>
      <w:pPr>
        <w:spacing w:after="0" w:line="168" w:lineRule="exact"/>
        <w:rPr>
          <w:sz w:val="20"/>
          <w:szCs w:val="20"/>
          <w:color w:val="auto"/>
        </w:rPr>
      </w:pPr>
    </w:p>
    <w:p>
      <w:pPr>
        <w:ind w:left="40" w:hanging="39"/>
        <w:spacing w:after="0" w:line="180" w:lineRule="auto"/>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Unvested Time-Based Restricted Stock Awards</w:t>
      </w:r>
      <w:r>
        <w:rPr>
          <w:rFonts w:ascii="Arial" w:cs="Arial" w:eastAsia="Arial" w:hAnsi="Arial"/>
          <w:sz w:val="19"/>
          <w:szCs w:val="19"/>
          <w:color w:val="auto"/>
          <w:vertAlign w:val="superscript"/>
        </w:rPr>
        <w:t>(1)</w:t>
      </w:r>
      <w:r>
        <w:rPr>
          <w:rFonts w:ascii="Arial" w:cs="Arial" w:eastAsia="Arial" w:hAnsi="Arial"/>
          <w:sz w:val="16"/>
          <w:szCs w:val="16"/>
          <w:color w:val="auto"/>
        </w:rPr>
        <w:t xml:space="preserve"> </w:t>
      </w:r>
      <w:r>
        <w:rPr>
          <w:rFonts w:ascii="Arial" w:cs="Arial" w:eastAsia="Arial" w:hAnsi="Arial"/>
          <w:sz w:val="32"/>
          <w:szCs w:val="32"/>
          <w:color w:val="auto"/>
          <w:vertAlign w:val="superscript"/>
        </w:rPr>
        <w:t>​</w:t>
      </w:r>
      <w:r>
        <w:rPr>
          <w:rFonts w:ascii="Arial" w:cs="Arial" w:eastAsia="Arial" w:hAnsi="Arial"/>
          <w:sz w:val="16"/>
          <w:szCs w:val="16"/>
          <w:color w:val="auto"/>
        </w:rPr>
        <w:t>Severance pursuant to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-1313815</wp:posOffset>
            </wp:positionH>
            <wp:positionV relativeFrom="paragraph">
              <wp:posOffset>-342265</wp:posOffset>
            </wp:positionV>
            <wp:extent cx="6180455" cy="9944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180455" cy="994410"/>
                    </a:xfrm>
                    <a:prstGeom prst="rect">
                      <a:avLst/>
                    </a:prstGeom>
                    <a:noFill/>
                  </pic:spPr>
                </pic:pic>
              </a:graphicData>
            </a:graphic>
          </wp:anchor>
        </w:drawing>
      </w:r>
    </w:p>
    <w:p>
      <w:pPr>
        <w:ind w:left="60" w:hanging="19"/>
        <w:spacing w:after="0" w:line="187" w:lineRule="auto"/>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Prorated Annual Incentive Award upon Qualifying Termination</w:t>
      </w:r>
    </w:p>
    <w:p>
      <w:pPr>
        <w:ind w:left="40"/>
        <w:spacing w:after="0" w:line="194" w:lineRule="auto"/>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 xml:space="preserve">Unvested Performance Share Awards </w:t>
      </w:r>
      <w:r>
        <w:rPr>
          <w:rFonts w:ascii="Arial" w:cs="Arial" w:eastAsia="Arial" w:hAnsi="Arial"/>
          <w:sz w:val="19"/>
          <w:szCs w:val="19"/>
          <w:color w:val="auto"/>
          <w:vertAlign w:val="superscript"/>
        </w:rPr>
        <w:t>(1)(2)(3)</w:t>
      </w:r>
    </w:p>
    <w:p>
      <w:pPr>
        <w:ind w:left="40"/>
        <w:spacing w:after="0" w:line="182" w:lineRule="auto"/>
        <w:rPr>
          <w:sz w:val="20"/>
          <w:szCs w:val="20"/>
          <w:color w:val="auto"/>
        </w:rPr>
      </w:pPr>
      <w:r>
        <w:rPr>
          <w:rFonts w:ascii="Arial" w:cs="Arial" w:eastAsia="Arial" w:hAnsi="Arial"/>
          <w:sz w:val="31"/>
          <w:szCs w:val="31"/>
          <w:b w:val="1"/>
          <w:bCs w:val="1"/>
          <w:color w:val="auto"/>
          <w:vertAlign w:val="superscript"/>
        </w:rPr>
        <w:t>​</w:t>
      </w:r>
      <w:r>
        <w:rPr>
          <w:rFonts w:ascii="Arial" w:cs="Arial" w:eastAsia="Arial" w:hAnsi="Arial"/>
          <w:sz w:val="16"/>
          <w:szCs w:val="16"/>
          <w:b w:val="1"/>
          <w:bCs w:val="1"/>
          <w:color w:val="auto"/>
        </w:rPr>
        <w:t>Total</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54" w:lineRule="exact"/>
        <w:rPr>
          <w:sz w:val="20"/>
          <w:szCs w:val="20"/>
          <w:color w:val="auto"/>
        </w:rPr>
      </w:pPr>
    </w:p>
    <w:p>
      <w:pPr>
        <w:ind w:left="60"/>
        <w:spacing w:after="0"/>
        <w:rPr>
          <w:sz w:val="20"/>
          <w:szCs w:val="20"/>
          <w:color w:val="auto"/>
        </w:rPr>
      </w:pPr>
      <w:r>
        <w:rPr>
          <w:rFonts w:ascii="Arial" w:cs="Arial" w:eastAsia="Arial" w:hAnsi="Arial"/>
          <w:sz w:val="15"/>
          <w:szCs w:val="15"/>
          <w:color w:val="auto"/>
        </w:rPr>
        <w:t>Unvested Time-Based Restricted Stock Awards</w:t>
      </w:r>
      <w:r>
        <w:rPr>
          <w:rFonts w:ascii="Arial" w:cs="Arial" w:eastAsia="Arial" w:hAnsi="Arial"/>
          <w:sz w:val="18"/>
          <w:szCs w:val="18"/>
          <w:color w:val="auto"/>
          <w:vertAlign w:val="superscript"/>
        </w:rPr>
        <w:t>(1)</w:t>
      </w:r>
    </w:p>
    <w:p>
      <w:pPr>
        <w:ind w:left="40"/>
        <w:spacing w:after="0" w:line="185" w:lineRule="auto"/>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Severance pursuant to employment agreement</w:t>
      </w:r>
    </w:p>
    <w:p>
      <w:pPr>
        <w:ind w:left="60" w:hanging="19"/>
        <w:spacing w:after="0" w:line="187" w:lineRule="auto"/>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Prorated Annual Incentive Award upon Qualifying Termination</w:t>
      </w:r>
    </w:p>
    <w:p>
      <w:pPr>
        <w:ind w:left="40"/>
        <w:spacing w:after="0" w:line="193" w:lineRule="auto"/>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 xml:space="preserve">Unvested Performance Share Awards </w:t>
      </w:r>
      <w:r>
        <w:rPr>
          <w:rFonts w:ascii="Arial" w:cs="Arial" w:eastAsia="Arial" w:hAnsi="Arial"/>
          <w:sz w:val="19"/>
          <w:szCs w:val="19"/>
          <w:color w:val="auto"/>
          <w:vertAlign w:val="superscript"/>
        </w:rPr>
        <w:t>(1)(2)(3)</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162"/>
        </w:trPr>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rPr>
              <w:t>Termination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jc w:val="center"/>
              <w:ind w:right="44"/>
              <w:spacing w:after="0"/>
              <w:rPr>
                <w:sz w:val="20"/>
                <w:szCs w:val="20"/>
                <w:color w:val="auto"/>
              </w:rPr>
            </w:pPr>
            <w:r>
              <w:rPr>
                <w:rFonts w:ascii="Arial" w:cs="Arial" w:eastAsia="Arial" w:hAnsi="Arial"/>
                <w:sz w:val="14"/>
                <w:szCs w:val="14"/>
                <w:b w:val="1"/>
                <w:bCs w:val="1"/>
                <w:color w:val="auto"/>
              </w:rPr>
              <w:t>without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Change in</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jc w:val="center"/>
              <w:ind w:right="44"/>
              <w:spacing w:after="0"/>
              <w:rPr>
                <w:sz w:val="20"/>
                <w:szCs w:val="20"/>
                <w:color w:val="auto"/>
              </w:rPr>
            </w:pPr>
            <w:r>
              <w:rPr>
                <w:rFonts w:ascii="Arial" w:cs="Arial" w:eastAsia="Arial" w:hAnsi="Arial"/>
                <w:sz w:val="14"/>
                <w:szCs w:val="14"/>
                <w:b w:val="1"/>
                <w:bCs w:val="1"/>
                <w:color w:val="auto"/>
              </w:rPr>
              <w:t>Cause or</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4"/>
              </w:rPr>
              <w:t>Termination</w:t>
            </w:r>
          </w:p>
        </w:tc>
        <w:tc>
          <w:tcPr>
            <w:tcW w:w="0" w:type="dxa"/>
            <w:vAlign w:val="bottom"/>
          </w:tcPr>
          <w:p>
            <w:pPr>
              <w:spacing w:after="0"/>
              <w:rPr>
                <w:sz w:val="1"/>
                <w:szCs w:val="1"/>
                <w:color w:val="auto"/>
              </w:rPr>
            </w:pPr>
          </w:p>
        </w:tc>
      </w:tr>
      <w:tr>
        <w:trPr>
          <w:trHeight w:val="162"/>
        </w:trPr>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Control</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jc w:val="center"/>
              <w:ind w:right="44"/>
              <w:spacing w:after="0"/>
              <w:rPr>
                <w:sz w:val="20"/>
                <w:szCs w:val="20"/>
                <w:color w:val="auto"/>
              </w:rPr>
            </w:pPr>
            <w:r>
              <w:rPr>
                <w:rFonts w:ascii="Arial" w:cs="Arial" w:eastAsia="Arial" w:hAnsi="Arial"/>
                <w:sz w:val="14"/>
                <w:szCs w:val="14"/>
                <w:b w:val="1"/>
                <w:bCs w:val="1"/>
                <w:color w:val="auto"/>
              </w:rPr>
              <w:t>with Good</w:t>
            </w:r>
          </w:p>
        </w:tc>
        <w:tc>
          <w:tcPr>
            <w:tcW w:w="10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9"/>
              </w:rPr>
              <w:t>Termination</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without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Without</w:t>
            </w:r>
          </w:p>
        </w:tc>
        <w:tc>
          <w:tcPr>
            <w:tcW w:w="6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9"/>
              </w:rPr>
              <w:t>Reason after</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ind w:right="82"/>
              <w:spacing w:after="0"/>
              <w:rPr>
                <w:sz w:val="20"/>
                <w:szCs w:val="20"/>
                <w:color w:val="auto"/>
              </w:rPr>
            </w:pPr>
            <w:r>
              <w:rPr>
                <w:rFonts w:ascii="Arial" w:cs="Arial" w:eastAsia="Arial" w:hAnsi="Arial"/>
                <w:sz w:val="14"/>
                <w:szCs w:val="14"/>
                <w:b w:val="1"/>
                <w:bCs w:val="1"/>
                <w:color w:val="auto"/>
              </w:rPr>
              <w:t>without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Good</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 w:type="dxa"/>
            <w:vAlign w:val="bottom"/>
          </w:tcPr>
          <w:p>
            <w:pPr>
              <w:spacing w:after="0"/>
              <w:rPr>
                <w:sz w:val="14"/>
                <w:szCs w:val="14"/>
                <w:color w:val="auto"/>
              </w:rPr>
            </w:pPr>
          </w:p>
        </w:tc>
        <w:tc>
          <w:tcPr>
            <w:tcW w:w="8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9"/>
              </w:rPr>
              <w:t>Termination</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jc w:val="center"/>
              <w:ind w:right="44"/>
              <w:spacing w:after="0"/>
              <w:rPr>
                <w:sz w:val="20"/>
                <w:szCs w:val="20"/>
                <w:color w:val="auto"/>
              </w:rPr>
            </w:pPr>
            <w:r>
              <w:rPr>
                <w:rFonts w:ascii="Arial" w:cs="Arial" w:eastAsia="Arial" w:hAnsi="Arial"/>
                <w:sz w:val="14"/>
                <w:szCs w:val="14"/>
                <w:b w:val="1"/>
                <w:bCs w:val="1"/>
                <w:color w:val="auto"/>
              </w:rPr>
              <w:t>Change in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ind w:right="82"/>
              <w:spacing w:after="0"/>
              <w:rPr>
                <w:sz w:val="20"/>
                <w:szCs w:val="20"/>
                <w:color w:val="auto"/>
              </w:rPr>
            </w:pPr>
            <w:r>
              <w:rPr>
                <w:rFonts w:ascii="Arial" w:cs="Arial" w:eastAsia="Arial" w:hAnsi="Arial"/>
                <w:sz w:val="14"/>
                <w:szCs w:val="14"/>
                <w:b w:val="1"/>
                <w:bCs w:val="1"/>
                <w:color w:val="auto"/>
                <w:w w:val="99"/>
              </w:rPr>
              <w:t>Cause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Reason</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3"/>
          </w:tcPr>
          <w:p>
            <w:pPr>
              <w:ind w:left="300"/>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3"/>
          </w:tcPr>
          <w:p>
            <w:pPr>
              <w:spacing w:after="0" w:line="172" w:lineRule="exact"/>
              <w:rPr>
                <w:sz w:val="20"/>
                <w:szCs w:val="20"/>
                <w:color w:val="auto"/>
              </w:rPr>
            </w:pPr>
            <w:r>
              <w:rPr>
                <w:rFonts w:ascii="Arial" w:cs="Arial" w:eastAsia="Arial" w:hAnsi="Arial"/>
                <w:sz w:val="19"/>
                <w:szCs w:val="19"/>
                <w:b w:val="1"/>
                <w:bCs w:val="1"/>
                <w:color w:val="auto"/>
                <w:vertAlign w:val="subscript"/>
              </w:rPr>
              <w:t>​</w:t>
            </w:r>
            <w:r>
              <w:rPr>
                <w:rFonts w:ascii="Arial" w:cs="Arial" w:eastAsia="Arial" w:hAnsi="Arial"/>
                <w:sz w:val="11"/>
                <w:szCs w:val="11"/>
                <w:b w:val="1"/>
                <w:bCs w:val="1"/>
                <w:color w:val="auto"/>
              </w:rPr>
              <w:t xml:space="preserve"> Control ($)</w:t>
            </w:r>
          </w:p>
        </w:tc>
        <w:tc>
          <w:tcPr>
            <w:tcW w:w="200" w:type="dxa"/>
            <w:vAlign w:val="bottom"/>
            <w:gridSpan w:val="2"/>
          </w:tcPr>
          <w:p>
            <w:pPr>
              <w:ind w:left="20"/>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center"/>
              <w:ind w:right="42"/>
              <w:spacing w:after="0"/>
              <w:rPr>
                <w:sz w:val="20"/>
                <w:szCs w:val="20"/>
                <w:color w:val="auto"/>
              </w:rPr>
            </w:pPr>
            <w:r>
              <w:rPr>
                <w:rFonts w:ascii="Arial" w:cs="Arial" w:eastAsia="Arial" w:hAnsi="Arial"/>
                <w:sz w:val="14"/>
                <w:szCs w:val="14"/>
                <w:b w:val="1"/>
                <w:bCs w:val="1"/>
                <w:color w:val="auto"/>
              </w:rPr>
              <w:t>($)</w:t>
            </w:r>
          </w:p>
        </w:tc>
        <w:tc>
          <w:tcPr>
            <w:tcW w:w="200" w:type="dxa"/>
            <w:vAlign w:val="bottom"/>
            <w:gridSpan w:val="2"/>
          </w:tcPr>
          <w:p>
            <w:pPr>
              <w:ind w:left="20"/>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3"/>
          </w:tcPr>
          <w:p>
            <w:pPr>
              <w:spacing w:after="0"/>
              <w:rPr>
                <w:sz w:val="2"/>
                <w:szCs w:val="2"/>
                <w:color w:val="auto"/>
              </w:rPr>
            </w:pPr>
          </w:p>
        </w:tc>
        <w:tc>
          <w:tcPr>
            <w:tcW w:w="60" w:type="dxa"/>
            <w:vAlign w:val="bottom"/>
            <w:vMerge w:val="restart"/>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gridSpan w:val="3"/>
          </w:tcPr>
          <w:p>
            <w:pPr>
              <w:spacing w:after="0"/>
              <w:rPr>
                <w:sz w:val="2"/>
                <w:szCs w:val="2"/>
                <w:color w:val="auto"/>
              </w:rPr>
            </w:pPr>
          </w:p>
        </w:tc>
        <w:tc>
          <w:tcPr>
            <w:tcW w:w="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2"/>
        </w:trPr>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3"/>
          </w:tcPr>
          <w:p>
            <w:pPr>
              <w:ind w:left="280"/>
              <w:spacing w:after="0" w:line="222"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4"/>
                <w:szCs w:val="14"/>
                <w:color w:val="auto"/>
              </w:rPr>
              <w:t>​—</w:t>
            </w:r>
          </w:p>
        </w:tc>
        <w:tc>
          <w:tcPr>
            <w:tcW w:w="60" w:type="dxa"/>
            <w:vAlign w:val="bottom"/>
            <w:vMerge w:val="continue"/>
          </w:tcPr>
          <w:p>
            <w:pPr>
              <w:spacing w:after="0"/>
              <w:rPr>
                <w:sz w:val="19"/>
                <w:szCs w:val="19"/>
                <w:color w:val="auto"/>
              </w:rPr>
            </w:pPr>
          </w:p>
        </w:tc>
        <w:tc>
          <w:tcPr>
            <w:tcW w:w="880" w:type="dxa"/>
            <w:vAlign w:val="bottom"/>
            <w:gridSpan w:val="2"/>
          </w:tcPr>
          <w:p>
            <w:pPr>
              <w:jc w:val="right"/>
              <w:spacing w:after="0" w:line="222"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4"/>
                <w:szCs w:val="14"/>
                <w:color w:val="auto"/>
              </w:rPr>
              <w:t>​ 1,148,968</w:t>
            </w:r>
          </w:p>
        </w:tc>
        <w:tc>
          <w:tcPr>
            <w:tcW w:w="940" w:type="dxa"/>
            <w:vAlign w:val="bottom"/>
            <w:gridSpan w:val="3"/>
          </w:tcPr>
          <w:p>
            <w:pPr>
              <w:spacing w:after="0" w:line="222"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4"/>
                <w:szCs w:val="14"/>
                <w:color w:val="auto"/>
              </w:rPr>
              <w:t>​ 1,148,968</w:t>
            </w:r>
          </w:p>
        </w:tc>
        <w:tc>
          <w:tcPr>
            <w:tcW w:w="120" w:type="dxa"/>
            <w:vAlign w:val="bottom"/>
            <w:vMerge w:val="continue"/>
          </w:tcPr>
          <w:p>
            <w:pPr>
              <w:spacing w:after="0"/>
              <w:rPr>
                <w:sz w:val="19"/>
                <w:szCs w:val="19"/>
                <w:color w:val="auto"/>
              </w:rPr>
            </w:pPr>
          </w:p>
        </w:tc>
        <w:tc>
          <w:tcPr>
            <w:tcW w:w="800" w:type="dxa"/>
            <w:vAlign w:val="bottom"/>
            <w:gridSpan w:val="3"/>
          </w:tcPr>
          <w:p>
            <w:pPr>
              <w:jc w:val="right"/>
              <w:ind w:right="60"/>
              <w:spacing w:after="0" w:line="222"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4"/>
                <w:szCs w:val="14"/>
                <w:color w:val="auto"/>
              </w:rPr>
              <w:t>​1,148,968</w:t>
            </w: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98"/>
        </w:trPr>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3"/>
          </w:tcPr>
          <w:p>
            <w:pPr>
              <w:ind w:left="280"/>
              <w:spacing w:after="0" w:line="298" w:lineRule="exact"/>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w:t>
            </w:r>
          </w:p>
        </w:tc>
        <w:tc>
          <w:tcPr>
            <w:tcW w:w="940" w:type="dxa"/>
            <w:vAlign w:val="bottom"/>
            <w:gridSpan w:val="3"/>
          </w:tcPr>
          <w:p>
            <w:pPr>
              <w:jc w:val="right"/>
              <w:spacing w:after="0" w:line="298" w:lineRule="exact"/>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 2,392,500</w:t>
            </w:r>
          </w:p>
        </w:tc>
        <w:tc>
          <w:tcPr>
            <w:tcW w:w="940" w:type="dxa"/>
            <w:vAlign w:val="bottom"/>
            <w:gridSpan w:val="3"/>
          </w:tcPr>
          <w:p>
            <w:pPr>
              <w:spacing w:after="0" w:line="298" w:lineRule="exact"/>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 1,740,000</w:t>
            </w:r>
          </w:p>
        </w:tc>
        <w:tc>
          <w:tcPr>
            <w:tcW w:w="200" w:type="dxa"/>
            <w:vAlign w:val="bottom"/>
            <w:gridSpan w:val="2"/>
          </w:tcPr>
          <w:p>
            <w:pPr>
              <w:spacing w:after="0" w:line="298" w:lineRule="exact"/>
              <w:rPr>
                <w:sz w:val="20"/>
                <w:szCs w:val="20"/>
                <w:color w:val="auto"/>
              </w:rPr>
            </w:pPr>
            <w:r>
              <w:rPr>
                <w:rFonts w:ascii="Arial" w:cs="Arial" w:eastAsia="Arial" w:hAnsi="Arial"/>
                <w:sz w:val="16"/>
                <w:szCs w:val="16"/>
                <w:color w:val="auto"/>
              </w:rPr>
              <w:t>​​​ ​</w:t>
            </w:r>
            <w:r>
              <w:rPr>
                <w:rFonts w:ascii="Arial" w:cs="Arial" w:eastAsia="Arial" w:hAnsi="Arial"/>
                <w:sz w:val="32"/>
                <w:szCs w:val="32"/>
                <w:color w:val="auto"/>
                <w:vertAlign w:val="subscript"/>
              </w:rPr>
              <w:t>​</w:t>
            </w:r>
          </w:p>
        </w:tc>
        <w:tc>
          <w:tcPr>
            <w:tcW w:w="780" w:type="dxa"/>
            <w:vAlign w:val="bottom"/>
            <w:gridSpan w:val="3"/>
          </w:tcPr>
          <w:p>
            <w:pPr>
              <w:jc w:val="right"/>
              <w:spacing w:after="0" w:line="298" w:lineRule="exact"/>
              <w:rPr>
                <w:sz w:val="20"/>
                <w:szCs w:val="20"/>
                <w:color w:val="auto"/>
              </w:rPr>
            </w:pPr>
            <w:r>
              <w:rPr>
                <w:rFonts w:ascii="Arial" w:cs="Arial" w:eastAsia="Arial" w:hAnsi="Arial"/>
                <w:sz w:val="16"/>
                <w:szCs w:val="16"/>
                <w:color w:val="auto"/>
              </w:rPr>
              <w:t xml:space="preserve">— </w:t>
            </w:r>
            <w:r>
              <w:rPr>
                <w:rFonts w:ascii="Arial" w:cs="Arial" w:eastAsia="Arial" w:hAnsi="Arial"/>
                <w:sz w:val="32"/>
                <w:szCs w:val="32"/>
                <w:b w:val="1"/>
                <w:bCs w:val="1"/>
                <w:color w:val="auto"/>
                <w:vertAlign w:val="superscript"/>
              </w:rPr>
              <w:t>​</w:t>
            </w:r>
          </w:p>
        </w:tc>
        <w:tc>
          <w:tcPr>
            <w:tcW w:w="0" w:type="dxa"/>
            <w:vAlign w:val="bottom"/>
          </w:tcPr>
          <w:p>
            <w:pPr>
              <w:spacing w:after="0"/>
              <w:rPr>
                <w:sz w:val="1"/>
                <w:szCs w:val="1"/>
                <w:color w:val="auto"/>
              </w:rPr>
            </w:pPr>
          </w:p>
        </w:tc>
      </w:tr>
      <w:tr>
        <w:trPr>
          <w:trHeight w:val="418"/>
        </w:trPr>
        <w:tc>
          <w:tcPr>
            <w:tcW w:w="14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3"/>
            <w:shd w:val="clear" w:color="auto" w:fill="CCEEFF"/>
          </w:tcPr>
          <w:p>
            <w:pPr>
              <w:ind w:left="280"/>
              <w:spacing w:after="0"/>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w:t>
            </w:r>
          </w:p>
        </w:tc>
        <w:tc>
          <w:tcPr>
            <w:tcW w:w="9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 2,272,875</w:t>
            </w:r>
          </w:p>
        </w:tc>
        <w:tc>
          <w:tcPr>
            <w:tcW w:w="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r>
              <w:rPr>
                <w:rFonts w:ascii="Arial" w:cs="Arial" w:eastAsia="Arial" w:hAnsi="Arial"/>
                <w:sz w:val="32"/>
                <w:szCs w:val="32"/>
                <w:color w:val="auto"/>
                <w:vertAlign w:val="subscript"/>
              </w:rPr>
              <w:t>​</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826,500</w:t>
            </w:r>
          </w:p>
        </w:tc>
        <w:tc>
          <w:tcPr>
            <w:tcW w:w="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32"/>
                <w:szCs w:val="32"/>
                <w:color w:val="auto"/>
                <w:vertAlign w:val="subscript"/>
              </w:rPr>
              <w:t>​</w:t>
            </w:r>
          </w:p>
        </w:tc>
        <w:tc>
          <w:tcPr>
            <w:tcW w:w="7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826,500</w:t>
            </w:r>
          </w:p>
        </w:tc>
        <w:tc>
          <w:tcPr>
            <w:tcW w:w="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11"/>
        </w:trPr>
        <w:tc>
          <w:tcPr>
            <w:tcW w:w="14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520" w:type="dxa"/>
            <w:vAlign w:val="bottom"/>
            <w:gridSpan w:val="2"/>
            <w:shd w:val="clear" w:color="auto" w:fill="CCEEFF"/>
          </w:tcPr>
          <w:p>
            <w:pPr>
              <w:spacing w:after="0" w:line="310" w:lineRule="exact"/>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w:t>
            </w:r>
          </w:p>
        </w:tc>
        <w:tc>
          <w:tcPr>
            <w:tcW w:w="940" w:type="dxa"/>
            <w:vAlign w:val="bottom"/>
            <w:tcBorders>
              <w:right w:val="single" w:sz="8" w:color="CCEEFF"/>
            </w:tcBorders>
            <w:gridSpan w:val="3"/>
            <w:shd w:val="clear" w:color="auto" w:fill="CCEEFF"/>
          </w:tcPr>
          <w:p>
            <w:pPr>
              <w:jc w:val="right"/>
              <w:spacing w:after="0" w:line="310" w:lineRule="exact"/>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 3,783,752</w:t>
            </w:r>
          </w:p>
        </w:tc>
        <w:tc>
          <w:tcPr>
            <w:tcW w:w="940" w:type="dxa"/>
            <w:vAlign w:val="bottom"/>
            <w:tcBorders>
              <w:right w:val="single" w:sz="8" w:color="CCEEFF"/>
            </w:tcBorders>
            <w:gridSpan w:val="3"/>
            <w:shd w:val="clear" w:color="auto" w:fill="CCEEFF"/>
          </w:tcPr>
          <w:p>
            <w:pPr>
              <w:spacing w:after="0" w:line="310" w:lineRule="exact"/>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 2,522,501</w:t>
            </w:r>
          </w:p>
        </w:tc>
        <w:tc>
          <w:tcPr>
            <w:tcW w:w="920" w:type="dxa"/>
            <w:vAlign w:val="bottom"/>
            <w:tcBorders>
              <w:right w:val="single" w:sz="8" w:color="CCEEFF"/>
            </w:tcBorders>
            <w:gridSpan w:val="4"/>
            <w:shd w:val="clear" w:color="auto" w:fill="CCEEFF"/>
          </w:tcPr>
          <w:p>
            <w:pPr>
              <w:spacing w:after="0" w:line="310" w:lineRule="exact"/>
              <w:rPr>
                <w:sz w:val="20"/>
                <w:szCs w:val="20"/>
                <w:color w:val="auto"/>
              </w:rPr>
            </w:pPr>
            <w:r>
              <w:rPr>
                <w:rFonts w:ascii="Arial" w:cs="Arial" w:eastAsia="Arial" w:hAnsi="Arial"/>
                <w:sz w:val="32"/>
                <w:szCs w:val="32"/>
                <w:color w:val="auto"/>
                <w:vertAlign w:val="superscript"/>
              </w:rPr>
              <w:t>​​​ ​</w:t>
            </w:r>
            <w:r>
              <w:rPr>
                <w:rFonts w:ascii="Arial" w:cs="Arial" w:eastAsia="Arial" w:hAnsi="Arial"/>
                <w:sz w:val="16"/>
                <w:szCs w:val="16"/>
                <w:color w:val="auto"/>
              </w:rPr>
              <w:t>​2,522,501</w:t>
            </w:r>
          </w:p>
        </w:tc>
        <w:tc>
          <w:tcPr>
            <w:tcW w:w="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
        </w:trPr>
        <w:tc>
          <w:tcPr>
            <w:tcW w:w="140" w:type="dxa"/>
            <w:vAlign w:val="bottom"/>
            <w:tcBorders>
              <w:left w:val="single" w:sz="8" w:color="CCEEFF"/>
            </w:tcBorders>
            <w:gridSpan w:val="2"/>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28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880" w:type="dxa"/>
            <w:vAlign w:val="bottom"/>
            <w:tcBorders>
              <w:right w:val="single" w:sz="8" w:color="CCEEFF"/>
            </w:tcBorders>
            <w:gridSpan w:val="2"/>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40" w:type="dxa"/>
            <w:vAlign w:val="bottom"/>
            <w:tcBorders>
              <w:right w:val="single" w:sz="8" w:color="CCEEFF"/>
            </w:tcBorders>
            <w:gridSpan w:val="2"/>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line="20" w:lineRule="exact"/>
              <w:rPr>
                <w:sz w:val="1"/>
                <w:szCs w:val="1"/>
                <w:color w:val="auto"/>
              </w:rPr>
            </w:pPr>
          </w:p>
        </w:tc>
      </w:tr>
      <w:tr>
        <w:trPr>
          <w:trHeight w:val="250"/>
        </w:trPr>
        <w:tc>
          <w:tcPr>
            <w:tcW w:w="140" w:type="dxa"/>
            <w:vAlign w:val="bottom"/>
            <w:tcBorders>
              <w:left w:val="single" w:sz="8" w:color="CCEEFF"/>
            </w:tcBorders>
            <w:gridSpan w:val="2"/>
            <w:vMerge w:val="continue"/>
          </w:tcPr>
          <w:p>
            <w:pPr>
              <w:spacing w:after="0"/>
              <w:rPr>
                <w:sz w:val="21"/>
                <w:szCs w:val="21"/>
                <w:color w:val="auto"/>
              </w:rPr>
            </w:pPr>
          </w:p>
        </w:tc>
        <w:tc>
          <w:tcPr>
            <w:tcW w:w="280" w:type="dxa"/>
            <w:vAlign w:val="bottom"/>
            <w:vMerge w:val="continue"/>
          </w:tcPr>
          <w:p>
            <w:pPr>
              <w:spacing w:after="0"/>
              <w:rPr>
                <w:sz w:val="21"/>
                <w:szCs w:val="21"/>
                <w:color w:val="auto"/>
              </w:rPr>
            </w:pPr>
          </w:p>
        </w:tc>
        <w:tc>
          <w:tcPr>
            <w:tcW w:w="180" w:type="dxa"/>
            <w:vAlign w:val="bottom"/>
          </w:tcPr>
          <w:p>
            <w:pPr>
              <w:spacing w:after="0" w:line="250" w:lineRule="exact"/>
              <w:rPr>
                <w:sz w:val="20"/>
                <w:szCs w:val="20"/>
                <w:color w:val="auto"/>
              </w:rPr>
            </w:pPr>
            <w:r>
              <w:rPr>
                <w:rFonts w:ascii="Arial" w:cs="Arial" w:eastAsia="Arial" w:hAnsi="Arial"/>
                <w:sz w:val="28"/>
                <w:szCs w:val="28"/>
                <w:b w:val="1"/>
                <w:bCs w:val="1"/>
                <w:color w:val="auto"/>
                <w:vertAlign w:val="superscript"/>
              </w:rPr>
              <w:t>​</w:t>
            </w:r>
            <w:r>
              <w:rPr>
                <w:rFonts w:ascii="Arial" w:cs="Arial" w:eastAsia="Arial" w:hAnsi="Arial"/>
                <w:sz w:val="15"/>
                <w:szCs w:val="15"/>
                <w:b w:val="1"/>
                <w:bCs w:val="1"/>
                <w:color w:val="auto"/>
              </w:rPr>
              <w:t>​—</w:t>
            </w:r>
          </w:p>
        </w:tc>
        <w:tc>
          <w:tcPr>
            <w:tcW w:w="340" w:type="dxa"/>
            <w:vAlign w:val="bottom"/>
          </w:tcPr>
          <w:p>
            <w:pPr>
              <w:spacing w:after="0"/>
              <w:rPr>
                <w:sz w:val="21"/>
                <w:szCs w:val="21"/>
                <w:color w:val="auto"/>
              </w:rPr>
            </w:pPr>
          </w:p>
        </w:tc>
        <w:tc>
          <w:tcPr>
            <w:tcW w:w="940" w:type="dxa"/>
            <w:vAlign w:val="bottom"/>
            <w:gridSpan w:val="3"/>
          </w:tcPr>
          <w:p>
            <w:pPr>
              <w:spacing w:after="0" w:line="250" w:lineRule="exact"/>
              <w:rPr>
                <w:sz w:val="20"/>
                <w:szCs w:val="20"/>
                <w:color w:val="auto"/>
              </w:rPr>
            </w:pPr>
            <w:r>
              <w:rPr>
                <w:rFonts w:ascii="Arial" w:cs="Arial" w:eastAsia="Arial" w:hAnsi="Arial"/>
                <w:sz w:val="28"/>
                <w:szCs w:val="28"/>
                <w:b w:val="1"/>
                <w:bCs w:val="1"/>
                <w:color w:val="auto"/>
                <w:vertAlign w:val="superscript"/>
              </w:rPr>
              <w:t>​​</w:t>
            </w:r>
            <w:r>
              <w:rPr>
                <w:rFonts w:ascii="Arial" w:cs="Arial" w:eastAsia="Arial" w:hAnsi="Arial"/>
                <w:sz w:val="15"/>
                <w:szCs w:val="15"/>
                <w:b w:val="1"/>
                <w:bCs w:val="1"/>
                <w:color w:val="auto"/>
              </w:rPr>
              <w:t>​ 9,598,095</w:t>
            </w:r>
          </w:p>
        </w:tc>
        <w:tc>
          <w:tcPr>
            <w:tcW w:w="940" w:type="dxa"/>
            <w:vAlign w:val="bottom"/>
            <w:gridSpan w:val="3"/>
          </w:tcPr>
          <w:p>
            <w:pPr>
              <w:spacing w:after="0" w:line="250" w:lineRule="exact"/>
              <w:rPr>
                <w:sz w:val="20"/>
                <w:szCs w:val="20"/>
                <w:color w:val="auto"/>
              </w:rPr>
            </w:pPr>
            <w:r>
              <w:rPr>
                <w:rFonts w:ascii="Arial" w:cs="Arial" w:eastAsia="Arial" w:hAnsi="Arial"/>
                <w:sz w:val="28"/>
                <w:szCs w:val="28"/>
                <w:b w:val="1"/>
                <w:bCs w:val="1"/>
                <w:color w:val="auto"/>
                <w:vertAlign w:val="superscript"/>
              </w:rPr>
              <w:t>​​​​</w:t>
            </w:r>
            <w:r>
              <w:rPr>
                <w:rFonts w:ascii="Arial" w:cs="Arial" w:eastAsia="Arial" w:hAnsi="Arial"/>
                <w:sz w:val="15"/>
                <w:szCs w:val="15"/>
                <w:b w:val="1"/>
                <w:bCs w:val="1"/>
                <w:color w:val="auto"/>
              </w:rPr>
              <w:t>​ 6,237,969</w:t>
            </w:r>
          </w:p>
        </w:tc>
        <w:tc>
          <w:tcPr>
            <w:tcW w:w="120" w:type="dxa"/>
            <w:vAlign w:val="bottom"/>
          </w:tcPr>
          <w:p>
            <w:pPr>
              <w:spacing w:after="0"/>
              <w:rPr>
                <w:sz w:val="20"/>
                <w:szCs w:val="20"/>
                <w:color w:val="auto"/>
              </w:rPr>
            </w:pPr>
            <w:r>
              <w:rPr>
                <w:rFonts w:ascii="Arial" w:cs="Arial" w:eastAsia="Arial" w:hAnsi="Arial"/>
                <w:sz w:val="16"/>
                <w:szCs w:val="16"/>
                <w:b w:val="1"/>
                <w:bCs w:val="1"/>
                <w:color w:val="auto"/>
              </w:rPr>
              <w:t>​​​</w:t>
            </w:r>
          </w:p>
        </w:tc>
        <w:tc>
          <w:tcPr>
            <w:tcW w:w="740" w:type="dxa"/>
            <w:vAlign w:val="bottom"/>
            <w:gridSpan w:val="2"/>
          </w:tcPr>
          <w:p>
            <w:pPr>
              <w:jc w:val="right"/>
              <w:spacing w:after="0" w:line="250" w:lineRule="exact"/>
              <w:rPr>
                <w:sz w:val="20"/>
                <w:szCs w:val="20"/>
                <w:color w:val="auto"/>
              </w:rPr>
            </w:pPr>
            <w:r>
              <w:rPr>
                <w:rFonts w:ascii="Arial" w:cs="Arial" w:eastAsia="Arial" w:hAnsi="Arial"/>
                <w:sz w:val="28"/>
                <w:szCs w:val="28"/>
                <w:b w:val="1"/>
                <w:bCs w:val="1"/>
                <w:color w:val="auto"/>
                <w:vertAlign w:val="superscript"/>
              </w:rPr>
              <w:t>​</w:t>
            </w:r>
            <w:r>
              <w:rPr>
                <w:rFonts w:ascii="Arial" w:cs="Arial" w:eastAsia="Arial" w:hAnsi="Arial"/>
                <w:sz w:val="15"/>
                <w:szCs w:val="15"/>
                <w:b w:val="1"/>
                <w:bCs w:val="1"/>
                <w:color w:val="auto"/>
              </w:rPr>
              <w:t>​4,497,969</w:t>
            </w:r>
          </w:p>
        </w:tc>
        <w:tc>
          <w:tcPr>
            <w:tcW w:w="60" w:type="dxa"/>
            <w:vAlign w:val="bottom"/>
          </w:tcPr>
          <w:p>
            <w:pPr>
              <w:spacing w:after="0"/>
              <w:rPr>
                <w:sz w:val="21"/>
                <w:szCs w:val="21"/>
                <w:color w:val="auto"/>
              </w:rPr>
            </w:pPr>
          </w:p>
        </w:tc>
        <w:tc>
          <w:tcPr>
            <w:tcW w:w="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 w:type="dxa"/>
            <w:vAlign w:val="bottom"/>
            <w:tcBorders>
              <w:left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line="20" w:lineRule="exact"/>
              <w:rPr>
                <w:sz w:val="1"/>
                <w:szCs w:val="1"/>
                <w:color w:val="auto"/>
              </w:rPr>
            </w:pPr>
          </w:p>
        </w:tc>
      </w:tr>
      <w:tr>
        <w:trPr>
          <w:trHeight w:val="202"/>
        </w:trPr>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spacing w:after="0"/>
              <w:rPr>
                <w:sz w:val="17"/>
                <w:szCs w:val="17"/>
                <w:color w:val="auto"/>
              </w:rPr>
            </w:pPr>
          </w:p>
        </w:tc>
        <w:tc>
          <w:tcPr>
            <w:tcW w:w="200" w:type="dxa"/>
            <w:vAlign w:val="bottom"/>
            <w:gridSpan w:val="2"/>
          </w:tcPr>
          <w:p>
            <w:pPr>
              <w:spacing w:after="0"/>
              <w:rPr>
                <w:sz w:val="20"/>
                <w:szCs w:val="20"/>
                <w:color w:val="auto"/>
              </w:rPr>
            </w:pPr>
            <w:r>
              <w:rPr>
                <w:rFonts w:ascii="Arial" w:cs="Arial" w:eastAsia="Arial" w:hAnsi="Arial"/>
                <w:sz w:val="16"/>
                <w:szCs w:val="16"/>
                <w:color w:val="auto"/>
              </w:rPr>
              <w:t>​​​​</w:t>
            </w:r>
          </w:p>
        </w:tc>
        <w:tc>
          <w:tcPr>
            <w:tcW w:w="74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gridSpan w:val="2"/>
          </w:tcPr>
          <w:p>
            <w:pPr>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552,318</w:t>
            </w:r>
          </w:p>
        </w:tc>
        <w:tc>
          <w:tcPr>
            <w:tcW w:w="100" w:type="dxa"/>
            <w:vAlign w:val="bottom"/>
          </w:tcPr>
          <w:p>
            <w:pPr>
              <w:spacing w:after="0"/>
              <w:rPr>
                <w:sz w:val="16"/>
                <w:szCs w:val="16"/>
                <w:color w:val="auto"/>
              </w:rPr>
            </w:pPr>
          </w:p>
        </w:tc>
        <w:tc>
          <w:tcPr>
            <w:tcW w:w="100" w:type="dxa"/>
            <w:vAlign w:val="bottom"/>
          </w:tcPr>
          <w:p>
            <w:pPr>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552,318</w:t>
            </w:r>
          </w:p>
        </w:tc>
        <w:tc>
          <w:tcPr>
            <w:tcW w:w="120" w:type="dxa"/>
            <w:vAlign w:val="bottom"/>
          </w:tcPr>
          <w:p>
            <w:pPr>
              <w:spacing w:after="0"/>
              <w:rPr>
                <w:sz w:val="16"/>
                <w:szCs w:val="16"/>
                <w:color w:val="auto"/>
              </w:rPr>
            </w:pPr>
          </w:p>
        </w:tc>
        <w:tc>
          <w:tcPr>
            <w:tcW w:w="80" w:type="dxa"/>
            <w:vAlign w:val="bottom"/>
          </w:tcPr>
          <w:p>
            <w:pPr>
              <w:ind w:left="2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552,318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3"/>
          </w:tcPr>
          <w:p>
            <w:pPr>
              <w:ind w:left="280"/>
              <w:spacing w:after="0" w:line="283" w:lineRule="exact"/>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w:t>
            </w:r>
          </w:p>
        </w:tc>
        <w:tc>
          <w:tcPr>
            <w:tcW w:w="120" w:type="dxa"/>
            <w:vAlign w:val="bottom"/>
            <w:gridSpan w:val="2"/>
          </w:tcPr>
          <w:p>
            <w:pPr>
              <w:jc w:val="right"/>
              <w:spacing w:after="0" w:line="283" w:lineRule="exact"/>
              <w:rPr>
                <w:sz w:val="20"/>
                <w:szCs w:val="20"/>
                <w:color w:val="auto"/>
              </w:rPr>
            </w:pPr>
            <w:r>
              <w:rPr>
                <w:rFonts w:ascii="Arial" w:cs="Arial" w:eastAsia="Arial" w:hAnsi="Arial"/>
                <w:sz w:val="16"/>
                <w:szCs w:val="16"/>
                <w:color w:val="auto"/>
              </w:rPr>
              <w:t>​​</w:t>
            </w:r>
            <w:r>
              <w:rPr>
                <w:rFonts w:ascii="Arial" w:cs="Arial" w:eastAsia="Arial" w:hAnsi="Arial"/>
                <w:sz w:val="32"/>
                <w:szCs w:val="32"/>
                <w:color w:val="auto"/>
                <w:vertAlign w:val="subscript"/>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520,000</w:t>
            </w:r>
          </w:p>
        </w:tc>
        <w:tc>
          <w:tcPr>
            <w:tcW w:w="200" w:type="dxa"/>
            <w:vAlign w:val="bottom"/>
            <w:gridSpan w:val="2"/>
          </w:tcPr>
          <w:p>
            <w:pPr>
              <w:spacing w:after="0" w:line="283" w:lineRule="exact"/>
              <w:rPr>
                <w:sz w:val="20"/>
                <w:szCs w:val="20"/>
                <w:color w:val="auto"/>
              </w:rPr>
            </w:pPr>
            <w:r>
              <w:rPr>
                <w:rFonts w:ascii="Arial" w:cs="Arial" w:eastAsia="Arial" w:hAnsi="Arial"/>
                <w:sz w:val="16"/>
                <w:szCs w:val="16"/>
                <w:color w:val="auto"/>
              </w:rPr>
              <w:t>​​​​</w:t>
            </w:r>
            <w:r>
              <w:rPr>
                <w:rFonts w:ascii="Arial" w:cs="Arial" w:eastAsia="Arial" w:hAnsi="Arial"/>
                <w:sz w:val="32"/>
                <w:szCs w:val="32"/>
                <w:color w:val="auto"/>
                <w:vertAlign w:val="subscript"/>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gridSpan w:val="2"/>
          </w:tcPr>
          <w:p>
            <w:pPr>
              <w:spacing w:after="0" w:line="283" w:lineRule="exact"/>
              <w:rPr>
                <w:sz w:val="20"/>
                <w:szCs w:val="20"/>
                <w:color w:val="auto"/>
              </w:rPr>
            </w:pPr>
            <w:r>
              <w:rPr>
                <w:rFonts w:ascii="Arial" w:cs="Arial" w:eastAsia="Arial" w:hAnsi="Arial"/>
                <w:sz w:val="16"/>
                <w:szCs w:val="16"/>
                <w:color w:val="auto"/>
              </w:rPr>
              <w:t>​​​ ​</w:t>
            </w:r>
            <w:r>
              <w:rPr>
                <w:rFonts w:ascii="Arial" w:cs="Arial" w:eastAsia="Arial" w:hAnsi="Arial"/>
                <w:sz w:val="32"/>
                <w:szCs w:val="32"/>
                <w:color w:val="auto"/>
                <w:vertAlign w:val="subscript"/>
              </w:rPr>
              <w:t>​</w:t>
            </w:r>
          </w:p>
        </w:tc>
        <w:tc>
          <w:tcPr>
            <w:tcW w:w="780" w:type="dxa"/>
            <w:vAlign w:val="bottom"/>
            <w:gridSpan w:val="3"/>
          </w:tcPr>
          <w:p>
            <w:pPr>
              <w:jc w:val="right"/>
              <w:spacing w:after="0" w:line="283" w:lineRule="exact"/>
              <w:rPr>
                <w:sz w:val="20"/>
                <w:szCs w:val="20"/>
                <w:color w:val="auto"/>
              </w:rPr>
            </w:pPr>
            <w:r>
              <w:rPr>
                <w:rFonts w:ascii="Arial" w:cs="Arial" w:eastAsia="Arial" w:hAnsi="Arial"/>
                <w:sz w:val="16"/>
                <w:szCs w:val="16"/>
                <w:color w:val="auto"/>
              </w:rPr>
              <w:t xml:space="preserve">— </w:t>
            </w:r>
            <w:r>
              <w:rPr>
                <w:rFonts w:ascii="Arial" w:cs="Arial" w:eastAsia="Arial" w:hAnsi="Arial"/>
                <w:sz w:val="32"/>
                <w:szCs w:val="32"/>
                <w:b w:val="1"/>
                <w:bCs w:val="1"/>
                <w:color w:val="auto"/>
                <w:vertAlign w:val="superscript"/>
              </w:rPr>
              <w:t>​</w:t>
            </w:r>
          </w:p>
        </w:tc>
        <w:tc>
          <w:tcPr>
            <w:tcW w:w="0" w:type="dxa"/>
            <w:vAlign w:val="bottom"/>
          </w:tcPr>
          <w:p>
            <w:pPr>
              <w:spacing w:after="0"/>
              <w:rPr>
                <w:sz w:val="1"/>
                <w:szCs w:val="1"/>
                <w:color w:val="auto"/>
              </w:rPr>
            </w:pPr>
          </w:p>
        </w:tc>
      </w:tr>
      <w:tr>
        <w:trPr>
          <w:trHeight w:val="432"/>
        </w:trPr>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3"/>
          </w:tcPr>
          <w:p>
            <w:pPr>
              <w:ind w:left="280"/>
              <w:spacing w:after="0"/>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w:t>
            </w:r>
          </w:p>
        </w:tc>
        <w:tc>
          <w:tcPr>
            <w:tcW w:w="120" w:type="dxa"/>
            <w:vAlign w:val="bottom"/>
            <w:gridSpan w:val="2"/>
          </w:tcPr>
          <w:p>
            <w:pPr>
              <w:jc w:val="right"/>
              <w:spacing w:after="0"/>
              <w:rPr>
                <w:sz w:val="20"/>
                <w:szCs w:val="20"/>
                <w:color w:val="auto"/>
              </w:rPr>
            </w:pPr>
            <w:r>
              <w:rPr>
                <w:rFonts w:ascii="Arial" w:cs="Arial" w:eastAsia="Arial" w:hAnsi="Arial"/>
                <w:sz w:val="16"/>
                <w:szCs w:val="16"/>
                <w:color w:val="auto"/>
              </w:rPr>
              <w:t>​​</w:t>
            </w:r>
            <w:r>
              <w:rPr>
                <w:rFonts w:ascii="Arial" w:cs="Arial" w:eastAsia="Arial" w:hAnsi="Arial"/>
                <w:sz w:val="32"/>
                <w:szCs w:val="32"/>
                <w:color w:val="auto"/>
                <w:vertAlign w:val="subscript"/>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390,000</w:t>
            </w:r>
          </w:p>
        </w:tc>
        <w:tc>
          <w:tcPr>
            <w:tcW w:w="200" w:type="dxa"/>
            <w:vAlign w:val="bottom"/>
            <w:gridSpan w:val="2"/>
          </w:tcPr>
          <w:p>
            <w:pPr>
              <w:spacing w:after="0"/>
              <w:rPr>
                <w:sz w:val="20"/>
                <w:szCs w:val="20"/>
                <w:color w:val="auto"/>
              </w:rPr>
            </w:pPr>
            <w:r>
              <w:rPr>
                <w:rFonts w:ascii="Arial" w:cs="Arial" w:eastAsia="Arial" w:hAnsi="Arial"/>
                <w:sz w:val="16"/>
                <w:szCs w:val="16"/>
                <w:color w:val="auto"/>
              </w:rPr>
              <w:t>​​​​</w:t>
            </w:r>
            <w:r>
              <w:rPr>
                <w:rFonts w:ascii="Arial" w:cs="Arial" w:eastAsia="Arial" w:hAnsi="Arial"/>
                <w:sz w:val="32"/>
                <w:szCs w:val="32"/>
                <w:color w:val="auto"/>
                <w:vertAlign w:val="subscript"/>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390,000</w:t>
            </w:r>
          </w:p>
        </w:tc>
        <w:tc>
          <w:tcPr>
            <w:tcW w:w="200" w:type="dxa"/>
            <w:vAlign w:val="bottom"/>
            <w:gridSpan w:val="2"/>
          </w:tcPr>
          <w:p>
            <w:pPr>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32"/>
                <w:szCs w:val="32"/>
                <w:color w:val="auto"/>
                <w:vertAlign w:val="subscript"/>
              </w:rPr>
              <w:t>​</w:t>
            </w: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390,000</w:t>
            </w:r>
          </w:p>
        </w:tc>
        <w:tc>
          <w:tcPr>
            <w:tcW w:w="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11"/>
        </w:trPr>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3"/>
          </w:tcPr>
          <w:p>
            <w:pPr>
              <w:ind w:left="280"/>
              <w:spacing w:after="0" w:line="310" w:lineRule="exact"/>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w:t>
            </w:r>
          </w:p>
        </w:tc>
        <w:tc>
          <w:tcPr>
            <w:tcW w:w="940" w:type="dxa"/>
            <w:vAlign w:val="bottom"/>
            <w:gridSpan w:val="3"/>
          </w:tcPr>
          <w:p>
            <w:pPr>
              <w:jc w:val="right"/>
              <w:spacing w:after="0" w:line="310" w:lineRule="exact"/>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 1,425,790</w:t>
            </w:r>
          </w:p>
        </w:tc>
        <w:tc>
          <w:tcPr>
            <w:tcW w:w="200" w:type="dxa"/>
            <w:vAlign w:val="bottom"/>
            <w:gridSpan w:val="2"/>
          </w:tcPr>
          <w:p>
            <w:pPr>
              <w:spacing w:after="0" w:line="310" w:lineRule="exact"/>
              <w:rPr>
                <w:sz w:val="20"/>
                <w:szCs w:val="20"/>
                <w:color w:val="auto"/>
              </w:rPr>
            </w:pPr>
            <w:r>
              <w:rPr>
                <w:rFonts w:ascii="Arial" w:cs="Arial" w:eastAsia="Arial" w:hAnsi="Arial"/>
                <w:sz w:val="16"/>
                <w:szCs w:val="16"/>
                <w:color w:val="auto"/>
              </w:rPr>
              <w:t>​​​​</w:t>
            </w:r>
            <w:r>
              <w:rPr>
                <w:rFonts w:ascii="Arial" w:cs="Arial" w:eastAsia="Arial" w:hAnsi="Arial"/>
                <w:sz w:val="32"/>
                <w:szCs w:val="32"/>
                <w:color w:val="auto"/>
                <w:vertAlign w:val="subscript"/>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950,527</w:t>
            </w:r>
          </w:p>
        </w:tc>
        <w:tc>
          <w:tcPr>
            <w:tcW w:w="200" w:type="dxa"/>
            <w:vAlign w:val="bottom"/>
            <w:gridSpan w:val="2"/>
          </w:tcPr>
          <w:p>
            <w:pPr>
              <w:spacing w:after="0" w:line="310" w:lineRule="exact"/>
              <w:rPr>
                <w:sz w:val="20"/>
                <w:szCs w:val="20"/>
                <w:color w:val="auto"/>
              </w:rPr>
            </w:pPr>
            <w:r>
              <w:rPr>
                <w:rFonts w:ascii="Arial" w:cs="Arial" w:eastAsia="Arial" w:hAnsi="Arial"/>
                <w:sz w:val="16"/>
                <w:szCs w:val="16"/>
                <w:color w:val="auto"/>
              </w:rPr>
              <w:t>​​​ ​</w:t>
            </w:r>
            <w:r>
              <w:rPr>
                <w:rFonts w:ascii="Arial" w:cs="Arial" w:eastAsia="Arial" w:hAnsi="Arial"/>
                <w:sz w:val="32"/>
                <w:szCs w:val="32"/>
                <w:color w:val="auto"/>
                <w:vertAlign w:val="subscript"/>
              </w:rPr>
              <w:t>​</w:t>
            </w: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950,527</w:t>
            </w:r>
          </w:p>
        </w:tc>
        <w:tc>
          <w:tcPr>
            <w:tcW w:w="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-899160</wp:posOffset>
            </wp:positionV>
            <wp:extent cx="206565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3">
            <w:col w:w="2080" w:space="480"/>
            <w:col w:w="3540" w:space="380"/>
            <w:col w:w="3800"/>
          </w:cols>
          <w:pgMar w:left="580" w:top="97" w:right="1039" w:bottom="1440" w:gutter="0" w:footer="0" w:header="0"/>
          <w:type w:val="continuous"/>
        </w:sectPr>
      </w:pPr>
    </w:p>
    <w:tbl>
      <w:tblPr>
        <w:tblLayout w:type="fixed"/>
        <w:tblInd w:w="500" w:type="dxa"/>
        <w:tblCellMar>
          <w:top w:w="0" w:type="dxa"/>
          <w:left w:w="0" w:type="dxa"/>
          <w:bottom w:w="0" w:type="dxa"/>
          <w:right w:w="0" w:type="dxa"/>
        </w:tblCellMar>
      </w:tblPr>
      <w:tr>
        <w:trPr>
          <w:trHeight w:val="256"/>
        </w:trPr>
        <w:tc>
          <w:tcPr>
            <w:tcW w:w="1640" w:type="dxa"/>
            <w:vAlign w:val="bottom"/>
          </w:tcPr>
          <w:p>
            <w:pPr>
              <w:spacing w:after="0"/>
              <w:rPr>
                <w:sz w:val="22"/>
                <w:szCs w:val="22"/>
                <w:color w:val="auto"/>
              </w:rPr>
            </w:pPr>
          </w:p>
        </w:tc>
        <w:tc>
          <w:tcPr>
            <w:tcW w:w="4340" w:type="dxa"/>
            <w:vAlign w:val="bottom"/>
          </w:tcPr>
          <w:p>
            <w:pPr>
              <w:ind w:left="460"/>
              <w:spacing w:after="0" w:line="256" w:lineRule="exact"/>
              <w:rPr>
                <w:sz w:val="20"/>
                <w:szCs w:val="20"/>
                <w:color w:val="auto"/>
              </w:rPr>
            </w:pPr>
            <w:r>
              <w:rPr>
                <w:rFonts w:ascii="Arial" w:cs="Arial" w:eastAsia="Arial" w:hAnsi="Arial"/>
                <w:sz w:val="29"/>
                <w:szCs w:val="29"/>
                <w:b w:val="1"/>
                <w:bCs w:val="1"/>
                <w:color w:val="auto"/>
                <w:vertAlign w:val="superscript"/>
              </w:rPr>
              <w:t>​</w:t>
            </w:r>
            <w:r>
              <w:rPr>
                <w:rFonts w:ascii="Arial" w:cs="Arial" w:eastAsia="Arial" w:hAnsi="Arial"/>
                <w:sz w:val="15"/>
                <w:szCs w:val="15"/>
                <w:b w:val="1"/>
                <w:bCs w:val="1"/>
                <w:color w:val="auto"/>
              </w:rPr>
              <w:t>Total</w:t>
            </w:r>
          </w:p>
        </w:tc>
      </w:tr>
      <w:tr>
        <w:trPr>
          <w:trHeight w:val="215"/>
        </w:trPr>
        <w:tc>
          <w:tcPr>
            <w:tcW w:w="1640" w:type="dxa"/>
            <w:vAlign w:val="bottom"/>
          </w:tcPr>
          <w:p>
            <w:pPr>
              <w:spacing w:after="0"/>
              <w:rPr>
                <w:sz w:val="18"/>
                <w:szCs w:val="18"/>
                <w:color w:val="auto"/>
              </w:rPr>
            </w:pPr>
          </w:p>
        </w:tc>
        <w:tc>
          <w:tcPr>
            <w:tcW w:w="4340" w:type="dxa"/>
            <w:vAlign w:val="bottom"/>
          </w:tcPr>
          <w:p>
            <w:pPr>
              <w:ind w:left="420"/>
              <w:spacing w:after="0"/>
              <w:rPr>
                <w:sz w:val="20"/>
                <w:szCs w:val="20"/>
                <w:color w:val="auto"/>
              </w:rPr>
            </w:pPr>
            <w:r>
              <w:rPr>
                <w:rFonts w:ascii="Arial" w:cs="Arial" w:eastAsia="Arial" w:hAnsi="Arial"/>
                <w:sz w:val="16"/>
                <w:szCs w:val="16"/>
                <w:color w:val="auto"/>
              </w:rPr>
              <w:t>​​</w:t>
            </w:r>
          </w:p>
        </w:tc>
      </w:tr>
      <w:tr>
        <w:trPr>
          <w:trHeight w:val="231"/>
        </w:trPr>
        <w:tc>
          <w:tcPr>
            <w:tcW w:w="1640" w:type="dxa"/>
            <w:vAlign w:val="bottom"/>
          </w:tcPr>
          <w:p>
            <w:pPr>
              <w:spacing w:after="0"/>
              <w:rPr>
                <w:sz w:val="20"/>
                <w:szCs w:val="20"/>
                <w:color w:val="auto"/>
              </w:rPr>
            </w:pPr>
            <w:r>
              <w:rPr>
                <w:rFonts w:ascii="Arial" w:cs="Arial" w:eastAsia="Arial" w:hAnsi="Arial"/>
                <w:sz w:val="16"/>
                <w:szCs w:val="16"/>
                <w:color w:val="auto"/>
              </w:rPr>
              <w:t>Philip R. Mays</w:t>
            </w:r>
          </w:p>
        </w:tc>
        <w:tc>
          <w:tcPr>
            <w:tcW w:w="4340" w:type="dxa"/>
            <w:vAlign w:val="bottom"/>
          </w:tcPr>
          <w:p>
            <w:pPr>
              <w:ind w:left="480"/>
              <w:spacing w:after="0"/>
              <w:rPr>
                <w:sz w:val="20"/>
                <w:szCs w:val="20"/>
                <w:color w:val="auto"/>
              </w:rPr>
            </w:pPr>
            <w:r>
              <w:rPr>
                <w:rFonts w:ascii="Arial" w:cs="Arial" w:eastAsia="Arial" w:hAnsi="Arial"/>
                <w:sz w:val="16"/>
                <w:szCs w:val="16"/>
                <w:color w:val="auto"/>
              </w:rPr>
              <w:t>Unvested Time-Based Restricted Stock Awards</w:t>
            </w:r>
            <w:r>
              <w:rPr>
                <w:rFonts w:ascii="Arial" w:cs="Arial" w:eastAsia="Arial" w:hAnsi="Arial"/>
                <w:sz w:val="19"/>
                <w:szCs w:val="19"/>
                <w:color w:val="auto"/>
                <w:vertAlign w:val="superscript"/>
              </w:rPr>
              <w:t>(1)</w:t>
            </w:r>
          </w:p>
        </w:tc>
      </w:tr>
      <w:tr>
        <w:trPr>
          <w:trHeight w:val="283"/>
        </w:trPr>
        <w:tc>
          <w:tcPr>
            <w:tcW w:w="1640" w:type="dxa"/>
            <w:vAlign w:val="bottom"/>
          </w:tcPr>
          <w:p>
            <w:pPr>
              <w:spacing w:after="0"/>
              <w:rPr>
                <w:sz w:val="24"/>
                <w:szCs w:val="24"/>
                <w:color w:val="auto"/>
              </w:rPr>
            </w:pPr>
          </w:p>
        </w:tc>
        <w:tc>
          <w:tcPr>
            <w:tcW w:w="4340" w:type="dxa"/>
            <w:vAlign w:val="bottom"/>
          </w:tcPr>
          <w:p>
            <w:pPr>
              <w:ind w:left="460"/>
              <w:spacing w:after="0" w:line="283" w:lineRule="exact"/>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Severance pursuant to employment agreement</w:t>
            </w:r>
          </w:p>
        </w:tc>
      </w:tr>
      <w:tr>
        <w:trPr>
          <w:trHeight w:val="243"/>
        </w:trPr>
        <w:tc>
          <w:tcPr>
            <w:tcW w:w="1640" w:type="dxa"/>
            <w:vAlign w:val="bottom"/>
          </w:tcPr>
          <w:p>
            <w:pPr>
              <w:spacing w:after="0"/>
              <w:rPr>
                <w:sz w:val="21"/>
                <w:szCs w:val="21"/>
                <w:color w:val="auto"/>
              </w:rPr>
            </w:pPr>
          </w:p>
        </w:tc>
        <w:tc>
          <w:tcPr>
            <w:tcW w:w="4340" w:type="dxa"/>
            <w:vAlign w:val="bottom"/>
          </w:tcPr>
          <w:p>
            <w:pPr>
              <w:ind w:left="460"/>
              <w:spacing w:after="0" w:line="24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Prorated Annual Incentive Award upon Qualifying</w:t>
            </w:r>
          </w:p>
        </w:tc>
      </w:tr>
      <w:tr>
        <w:trPr>
          <w:trHeight w:val="189"/>
        </w:trPr>
        <w:tc>
          <w:tcPr>
            <w:tcW w:w="1640" w:type="dxa"/>
            <w:vAlign w:val="bottom"/>
          </w:tcPr>
          <w:p>
            <w:pPr>
              <w:spacing w:after="0"/>
              <w:rPr>
                <w:sz w:val="16"/>
                <w:szCs w:val="16"/>
                <w:color w:val="auto"/>
              </w:rPr>
            </w:pPr>
          </w:p>
        </w:tc>
        <w:tc>
          <w:tcPr>
            <w:tcW w:w="4340" w:type="dxa"/>
            <w:vAlign w:val="bottom"/>
          </w:tcPr>
          <w:p>
            <w:pPr>
              <w:ind w:left="480"/>
              <w:spacing w:after="0"/>
              <w:rPr>
                <w:sz w:val="20"/>
                <w:szCs w:val="20"/>
                <w:color w:val="auto"/>
              </w:rPr>
            </w:pPr>
            <w:r>
              <w:rPr>
                <w:rFonts w:ascii="Arial" w:cs="Arial" w:eastAsia="Arial" w:hAnsi="Arial"/>
                <w:sz w:val="16"/>
                <w:szCs w:val="16"/>
                <w:color w:val="auto"/>
              </w:rPr>
              <w:t>Termination</w:t>
            </w:r>
          </w:p>
        </w:tc>
      </w:tr>
      <w:tr>
        <w:trPr>
          <w:trHeight w:val="297"/>
        </w:trPr>
        <w:tc>
          <w:tcPr>
            <w:tcW w:w="1640" w:type="dxa"/>
            <w:vAlign w:val="bottom"/>
          </w:tcPr>
          <w:p>
            <w:pPr>
              <w:spacing w:after="0"/>
              <w:rPr>
                <w:sz w:val="24"/>
                <w:szCs w:val="24"/>
                <w:color w:val="auto"/>
              </w:rPr>
            </w:pPr>
          </w:p>
        </w:tc>
        <w:tc>
          <w:tcPr>
            <w:tcW w:w="4340" w:type="dxa"/>
            <w:vAlign w:val="bottom"/>
          </w:tcPr>
          <w:p>
            <w:pPr>
              <w:ind w:left="460"/>
              <w:spacing w:after="0" w:line="296" w:lineRule="exact"/>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Unvested Performance Share Awards</w:t>
            </w:r>
            <w:r>
              <w:rPr>
                <w:rFonts w:ascii="Arial" w:cs="Arial" w:eastAsia="Arial" w:hAnsi="Arial"/>
                <w:sz w:val="19"/>
                <w:szCs w:val="19"/>
                <w:color w:val="auto"/>
                <w:vertAlign w:val="superscript"/>
              </w:rPr>
              <w:t>(1)(2)(3)</w:t>
            </w:r>
          </w:p>
        </w:tc>
      </w:tr>
      <w:tr>
        <w:trPr>
          <w:trHeight w:val="270"/>
        </w:trPr>
        <w:tc>
          <w:tcPr>
            <w:tcW w:w="1640" w:type="dxa"/>
            <w:vAlign w:val="bottom"/>
          </w:tcPr>
          <w:p>
            <w:pPr>
              <w:spacing w:after="0"/>
              <w:rPr>
                <w:sz w:val="23"/>
                <w:szCs w:val="23"/>
                <w:color w:val="auto"/>
              </w:rPr>
            </w:pPr>
          </w:p>
        </w:tc>
        <w:tc>
          <w:tcPr>
            <w:tcW w:w="4340" w:type="dxa"/>
            <w:vAlign w:val="bottom"/>
          </w:tcPr>
          <w:p>
            <w:pPr>
              <w:ind w:left="460"/>
              <w:spacing w:after="0" w:line="269" w:lineRule="exact"/>
              <w:rPr>
                <w:sz w:val="20"/>
                <w:szCs w:val="20"/>
                <w:color w:val="auto"/>
              </w:rPr>
            </w:pPr>
            <w:r>
              <w:rPr>
                <w:rFonts w:ascii="Arial" w:cs="Arial" w:eastAsia="Arial" w:hAnsi="Arial"/>
                <w:sz w:val="31"/>
                <w:szCs w:val="31"/>
                <w:b w:val="1"/>
                <w:bCs w:val="1"/>
                <w:color w:val="auto"/>
                <w:vertAlign w:val="superscript"/>
              </w:rPr>
              <w:t>​</w:t>
            </w:r>
            <w:r>
              <w:rPr>
                <w:rFonts w:ascii="Arial" w:cs="Arial" w:eastAsia="Arial" w:hAnsi="Arial"/>
                <w:sz w:val="16"/>
                <w:szCs w:val="16"/>
                <w:b w:val="1"/>
                <w:bCs w:val="1"/>
                <w:color w:val="auto"/>
              </w:rPr>
              <w:t>Total</w:t>
            </w:r>
          </w:p>
        </w:tc>
      </w:tr>
      <w:tr>
        <w:trPr>
          <w:trHeight w:val="215"/>
        </w:trPr>
        <w:tc>
          <w:tcPr>
            <w:tcW w:w="1640" w:type="dxa"/>
            <w:vAlign w:val="bottom"/>
          </w:tcPr>
          <w:p>
            <w:pPr>
              <w:spacing w:after="0"/>
              <w:rPr>
                <w:sz w:val="18"/>
                <w:szCs w:val="18"/>
                <w:color w:val="auto"/>
              </w:rPr>
            </w:pPr>
          </w:p>
        </w:tc>
        <w:tc>
          <w:tcPr>
            <w:tcW w:w="4340" w:type="dxa"/>
            <w:vAlign w:val="bottom"/>
          </w:tcPr>
          <w:p>
            <w:pPr>
              <w:ind w:left="420"/>
              <w:spacing w:after="0"/>
              <w:rPr>
                <w:sz w:val="20"/>
                <w:szCs w:val="20"/>
                <w:color w:val="auto"/>
              </w:rPr>
            </w:pPr>
            <w:r>
              <w:rPr>
                <w:rFonts w:ascii="Arial" w:cs="Arial" w:eastAsia="Arial" w:hAnsi="Arial"/>
                <w:sz w:val="16"/>
                <w:szCs w:val="16"/>
                <w:color w:val="auto"/>
              </w:rPr>
              <w:t>​​</w:t>
            </w:r>
          </w:p>
        </w:tc>
      </w:tr>
      <w:tr>
        <w:trPr>
          <w:trHeight w:val="231"/>
        </w:trPr>
        <w:tc>
          <w:tcPr>
            <w:tcW w:w="1640" w:type="dxa"/>
            <w:vAlign w:val="bottom"/>
          </w:tcPr>
          <w:p>
            <w:pPr>
              <w:spacing w:after="0"/>
              <w:rPr>
                <w:sz w:val="20"/>
                <w:szCs w:val="20"/>
                <w:color w:val="auto"/>
              </w:rPr>
            </w:pPr>
            <w:r>
              <w:rPr>
                <w:rFonts w:ascii="Arial" w:cs="Arial" w:eastAsia="Arial" w:hAnsi="Arial"/>
                <w:sz w:val="16"/>
                <w:szCs w:val="16"/>
                <w:color w:val="auto"/>
              </w:rPr>
              <w:t>Daniel E. Smith</w:t>
            </w:r>
          </w:p>
        </w:tc>
        <w:tc>
          <w:tcPr>
            <w:tcW w:w="4340" w:type="dxa"/>
            <w:vAlign w:val="bottom"/>
          </w:tcPr>
          <w:p>
            <w:pPr>
              <w:ind w:left="480"/>
              <w:spacing w:after="0"/>
              <w:rPr>
                <w:sz w:val="20"/>
                <w:szCs w:val="20"/>
                <w:color w:val="auto"/>
              </w:rPr>
            </w:pPr>
            <w:r>
              <w:rPr>
                <w:rFonts w:ascii="Arial" w:cs="Arial" w:eastAsia="Arial" w:hAnsi="Arial"/>
                <w:sz w:val="16"/>
                <w:szCs w:val="16"/>
                <w:color w:val="auto"/>
              </w:rPr>
              <w:t>Unvested Time-Based Restricted Stock Awards</w:t>
            </w:r>
            <w:r>
              <w:rPr>
                <w:rFonts w:ascii="Arial" w:cs="Arial" w:eastAsia="Arial" w:hAnsi="Arial"/>
                <w:sz w:val="19"/>
                <w:szCs w:val="19"/>
                <w:color w:val="auto"/>
                <w:vertAlign w:val="superscript"/>
              </w:rPr>
              <w:t>(1)</w:t>
            </w:r>
          </w:p>
        </w:tc>
      </w:tr>
      <w:tr>
        <w:trPr>
          <w:trHeight w:val="284"/>
        </w:trPr>
        <w:tc>
          <w:tcPr>
            <w:tcW w:w="1640" w:type="dxa"/>
            <w:vAlign w:val="bottom"/>
          </w:tcPr>
          <w:p>
            <w:pPr>
              <w:spacing w:after="0"/>
              <w:rPr>
                <w:sz w:val="24"/>
                <w:szCs w:val="24"/>
                <w:color w:val="auto"/>
              </w:rPr>
            </w:pPr>
          </w:p>
        </w:tc>
        <w:tc>
          <w:tcPr>
            <w:tcW w:w="4340" w:type="dxa"/>
            <w:vAlign w:val="bottom"/>
          </w:tcPr>
          <w:p>
            <w:pPr>
              <w:ind w:left="460"/>
              <w:spacing w:after="0" w:line="283" w:lineRule="exact"/>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Severance pursuant to employment agreement</w:t>
            </w:r>
          </w:p>
        </w:tc>
      </w:tr>
      <w:tr>
        <w:trPr>
          <w:trHeight w:val="243"/>
        </w:trPr>
        <w:tc>
          <w:tcPr>
            <w:tcW w:w="1640" w:type="dxa"/>
            <w:vAlign w:val="bottom"/>
          </w:tcPr>
          <w:p>
            <w:pPr>
              <w:spacing w:after="0"/>
              <w:rPr>
                <w:sz w:val="21"/>
                <w:szCs w:val="21"/>
                <w:color w:val="auto"/>
              </w:rPr>
            </w:pPr>
          </w:p>
        </w:tc>
        <w:tc>
          <w:tcPr>
            <w:tcW w:w="4340" w:type="dxa"/>
            <w:vAlign w:val="bottom"/>
          </w:tcPr>
          <w:p>
            <w:pPr>
              <w:ind w:left="460"/>
              <w:spacing w:after="0" w:line="24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Prorated Annual Incentive Award upon Qualifying</w:t>
            </w:r>
          </w:p>
        </w:tc>
      </w:tr>
      <w:tr>
        <w:trPr>
          <w:trHeight w:val="189"/>
        </w:trPr>
        <w:tc>
          <w:tcPr>
            <w:tcW w:w="1640" w:type="dxa"/>
            <w:vAlign w:val="bottom"/>
          </w:tcPr>
          <w:p>
            <w:pPr>
              <w:spacing w:after="0"/>
              <w:rPr>
                <w:sz w:val="16"/>
                <w:szCs w:val="16"/>
                <w:color w:val="auto"/>
              </w:rPr>
            </w:pPr>
          </w:p>
        </w:tc>
        <w:tc>
          <w:tcPr>
            <w:tcW w:w="4340" w:type="dxa"/>
            <w:vAlign w:val="bottom"/>
          </w:tcPr>
          <w:p>
            <w:pPr>
              <w:ind w:left="480"/>
              <w:spacing w:after="0"/>
              <w:rPr>
                <w:sz w:val="20"/>
                <w:szCs w:val="20"/>
                <w:color w:val="auto"/>
              </w:rPr>
            </w:pPr>
            <w:r>
              <w:rPr>
                <w:rFonts w:ascii="Arial" w:cs="Arial" w:eastAsia="Arial" w:hAnsi="Arial"/>
                <w:sz w:val="16"/>
                <w:szCs w:val="16"/>
                <w:color w:val="auto"/>
              </w:rPr>
              <w:t>Termination</w:t>
            </w:r>
          </w:p>
        </w:tc>
      </w:tr>
      <w:tr>
        <w:trPr>
          <w:trHeight w:val="297"/>
        </w:trPr>
        <w:tc>
          <w:tcPr>
            <w:tcW w:w="1640" w:type="dxa"/>
            <w:vAlign w:val="bottom"/>
          </w:tcPr>
          <w:p>
            <w:pPr>
              <w:spacing w:after="0"/>
              <w:rPr>
                <w:sz w:val="24"/>
                <w:szCs w:val="24"/>
                <w:color w:val="auto"/>
              </w:rPr>
            </w:pPr>
          </w:p>
        </w:tc>
        <w:tc>
          <w:tcPr>
            <w:tcW w:w="4340" w:type="dxa"/>
            <w:vAlign w:val="bottom"/>
          </w:tcPr>
          <w:p>
            <w:pPr>
              <w:ind w:left="460"/>
              <w:spacing w:after="0" w:line="296" w:lineRule="exact"/>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Unvested Performance Share Awards</w:t>
            </w:r>
            <w:r>
              <w:rPr>
                <w:rFonts w:ascii="Arial" w:cs="Arial" w:eastAsia="Arial" w:hAnsi="Arial"/>
                <w:sz w:val="19"/>
                <w:szCs w:val="19"/>
                <w:color w:val="auto"/>
                <w:vertAlign w:val="superscript"/>
              </w:rPr>
              <w:t>(1)(2)(3)</w:t>
            </w:r>
          </w:p>
        </w:tc>
      </w:tr>
      <w:tr>
        <w:trPr>
          <w:trHeight w:val="270"/>
        </w:trPr>
        <w:tc>
          <w:tcPr>
            <w:tcW w:w="1640" w:type="dxa"/>
            <w:vAlign w:val="bottom"/>
          </w:tcPr>
          <w:p>
            <w:pPr>
              <w:spacing w:after="0"/>
              <w:rPr>
                <w:sz w:val="23"/>
                <w:szCs w:val="23"/>
                <w:color w:val="auto"/>
              </w:rPr>
            </w:pPr>
          </w:p>
        </w:tc>
        <w:tc>
          <w:tcPr>
            <w:tcW w:w="4340" w:type="dxa"/>
            <w:vAlign w:val="bottom"/>
          </w:tcPr>
          <w:p>
            <w:pPr>
              <w:ind w:left="460"/>
              <w:spacing w:after="0" w:line="269" w:lineRule="exact"/>
              <w:rPr>
                <w:sz w:val="20"/>
                <w:szCs w:val="20"/>
                <w:color w:val="auto"/>
              </w:rPr>
            </w:pPr>
            <w:r>
              <w:rPr>
                <w:rFonts w:ascii="Arial" w:cs="Arial" w:eastAsia="Arial" w:hAnsi="Arial"/>
                <w:sz w:val="31"/>
                <w:szCs w:val="31"/>
                <w:b w:val="1"/>
                <w:bCs w:val="1"/>
                <w:color w:val="auto"/>
                <w:vertAlign w:val="superscript"/>
              </w:rPr>
              <w:t>​</w:t>
            </w:r>
            <w:r>
              <w:rPr>
                <w:rFonts w:ascii="Arial" w:cs="Arial" w:eastAsia="Arial" w:hAnsi="Arial"/>
                <w:sz w:val="16"/>
                <w:szCs w:val="16"/>
                <w:b w:val="1"/>
                <w:bCs w:val="1"/>
                <w:color w:val="auto"/>
              </w:rPr>
              <w:t>Total</w:t>
            </w:r>
          </w:p>
        </w:tc>
      </w:tr>
      <w:tr>
        <w:trPr>
          <w:trHeight w:val="215"/>
        </w:trPr>
        <w:tc>
          <w:tcPr>
            <w:tcW w:w="1640" w:type="dxa"/>
            <w:vAlign w:val="bottom"/>
          </w:tcPr>
          <w:p>
            <w:pPr>
              <w:spacing w:after="0"/>
              <w:rPr>
                <w:sz w:val="18"/>
                <w:szCs w:val="18"/>
                <w:color w:val="auto"/>
              </w:rPr>
            </w:pPr>
          </w:p>
        </w:tc>
        <w:tc>
          <w:tcPr>
            <w:tcW w:w="4340" w:type="dxa"/>
            <w:vAlign w:val="bottom"/>
          </w:tcPr>
          <w:p>
            <w:pPr>
              <w:ind w:left="420"/>
              <w:spacing w:after="0"/>
              <w:rPr>
                <w:sz w:val="20"/>
                <w:szCs w:val="20"/>
                <w:color w:val="auto"/>
              </w:rPr>
            </w:pPr>
            <w:r>
              <w:rPr>
                <w:rFonts w:ascii="Arial" w:cs="Arial" w:eastAsia="Arial" w:hAnsi="Arial"/>
                <w:sz w:val="16"/>
                <w:szCs w:val="16"/>
                <w:color w:val="auto"/>
              </w:rPr>
              <w:t>​​</w:t>
            </w:r>
          </w:p>
        </w:tc>
      </w:tr>
      <w:tr>
        <w:trPr>
          <w:trHeight w:val="231"/>
        </w:trPr>
        <w:tc>
          <w:tcPr>
            <w:tcW w:w="1640" w:type="dxa"/>
            <w:vAlign w:val="bottom"/>
          </w:tcPr>
          <w:p>
            <w:pPr>
              <w:spacing w:after="0"/>
              <w:rPr>
                <w:sz w:val="20"/>
                <w:szCs w:val="20"/>
                <w:color w:val="auto"/>
              </w:rPr>
            </w:pPr>
            <w:r>
              <w:rPr>
                <w:rFonts w:ascii="Arial" w:cs="Arial" w:eastAsia="Arial" w:hAnsi="Arial"/>
                <w:sz w:val="16"/>
                <w:szCs w:val="16"/>
                <w:color w:val="auto"/>
              </w:rPr>
              <w:t>Lisa M. Vorakoun</w:t>
            </w:r>
          </w:p>
        </w:tc>
        <w:tc>
          <w:tcPr>
            <w:tcW w:w="4340" w:type="dxa"/>
            <w:vAlign w:val="bottom"/>
          </w:tcPr>
          <w:p>
            <w:pPr>
              <w:ind w:left="480"/>
              <w:spacing w:after="0"/>
              <w:rPr>
                <w:sz w:val="20"/>
                <w:szCs w:val="20"/>
                <w:color w:val="auto"/>
              </w:rPr>
            </w:pPr>
            <w:r>
              <w:rPr>
                <w:rFonts w:ascii="Arial" w:cs="Arial" w:eastAsia="Arial" w:hAnsi="Arial"/>
                <w:sz w:val="16"/>
                <w:szCs w:val="16"/>
                <w:color w:val="auto"/>
              </w:rPr>
              <w:t>Unvested Time-Based Restricted Stock Awards</w:t>
            </w:r>
            <w:r>
              <w:rPr>
                <w:rFonts w:ascii="Arial" w:cs="Arial" w:eastAsia="Arial" w:hAnsi="Arial"/>
                <w:sz w:val="19"/>
                <w:szCs w:val="19"/>
                <w:color w:val="auto"/>
                <w:vertAlign w:val="superscript"/>
              </w:rPr>
              <w:t>(1)</w:t>
            </w:r>
          </w:p>
        </w:tc>
      </w:tr>
      <w:tr>
        <w:trPr>
          <w:trHeight w:val="284"/>
        </w:trPr>
        <w:tc>
          <w:tcPr>
            <w:tcW w:w="1640" w:type="dxa"/>
            <w:vAlign w:val="bottom"/>
          </w:tcPr>
          <w:p>
            <w:pPr>
              <w:spacing w:after="0"/>
              <w:rPr>
                <w:sz w:val="24"/>
                <w:szCs w:val="24"/>
                <w:color w:val="auto"/>
              </w:rPr>
            </w:pPr>
          </w:p>
        </w:tc>
        <w:tc>
          <w:tcPr>
            <w:tcW w:w="4340" w:type="dxa"/>
            <w:vAlign w:val="bottom"/>
          </w:tcPr>
          <w:p>
            <w:pPr>
              <w:ind w:left="460"/>
              <w:spacing w:after="0" w:line="283" w:lineRule="exact"/>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Severance pursuant to employment agreement</w:t>
            </w:r>
          </w:p>
        </w:tc>
      </w:tr>
      <w:tr>
        <w:trPr>
          <w:trHeight w:val="243"/>
        </w:trPr>
        <w:tc>
          <w:tcPr>
            <w:tcW w:w="1640" w:type="dxa"/>
            <w:vAlign w:val="bottom"/>
          </w:tcPr>
          <w:p>
            <w:pPr>
              <w:spacing w:after="0"/>
              <w:rPr>
                <w:sz w:val="21"/>
                <w:szCs w:val="21"/>
                <w:color w:val="auto"/>
              </w:rPr>
            </w:pPr>
          </w:p>
        </w:tc>
        <w:tc>
          <w:tcPr>
            <w:tcW w:w="4340" w:type="dxa"/>
            <w:vAlign w:val="bottom"/>
          </w:tcPr>
          <w:p>
            <w:pPr>
              <w:ind w:left="460"/>
              <w:spacing w:after="0" w:line="24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Prorated Annual Incentive Award upon Qualifying</w:t>
            </w:r>
          </w:p>
        </w:tc>
      </w:tr>
      <w:tr>
        <w:trPr>
          <w:trHeight w:val="189"/>
        </w:trPr>
        <w:tc>
          <w:tcPr>
            <w:tcW w:w="1640" w:type="dxa"/>
            <w:vAlign w:val="bottom"/>
          </w:tcPr>
          <w:p>
            <w:pPr>
              <w:spacing w:after="0"/>
              <w:rPr>
                <w:sz w:val="16"/>
                <w:szCs w:val="16"/>
                <w:color w:val="auto"/>
              </w:rPr>
            </w:pPr>
          </w:p>
        </w:tc>
        <w:tc>
          <w:tcPr>
            <w:tcW w:w="4340" w:type="dxa"/>
            <w:vAlign w:val="bottom"/>
          </w:tcPr>
          <w:p>
            <w:pPr>
              <w:ind w:left="480"/>
              <w:spacing w:after="0"/>
              <w:rPr>
                <w:sz w:val="20"/>
                <w:szCs w:val="20"/>
                <w:color w:val="auto"/>
              </w:rPr>
            </w:pPr>
            <w:r>
              <w:rPr>
                <w:rFonts w:ascii="Arial" w:cs="Arial" w:eastAsia="Arial" w:hAnsi="Arial"/>
                <w:sz w:val="16"/>
                <w:szCs w:val="16"/>
                <w:color w:val="auto"/>
              </w:rPr>
              <w:t>Termination</w:t>
            </w:r>
          </w:p>
        </w:tc>
      </w:tr>
      <w:tr>
        <w:trPr>
          <w:trHeight w:val="297"/>
        </w:trPr>
        <w:tc>
          <w:tcPr>
            <w:tcW w:w="1640" w:type="dxa"/>
            <w:vAlign w:val="bottom"/>
          </w:tcPr>
          <w:p>
            <w:pPr>
              <w:spacing w:after="0"/>
              <w:rPr>
                <w:sz w:val="24"/>
                <w:szCs w:val="24"/>
                <w:color w:val="auto"/>
              </w:rPr>
            </w:pPr>
          </w:p>
        </w:tc>
        <w:tc>
          <w:tcPr>
            <w:tcW w:w="4340" w:type="dxa"/>
            <w:vAlign w:val="bottom"/>
          </w:tcPr>
          <w:p>
            <w:pPr>
              <w:ind w:left="460"/>
              <w:spacing w:after="0" w:line="296" w:lineRule="exact"/>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Unvested Performance Share Awards</w:t>
            </w:r>
            <w:r>
              <w:rPr>
                <w:rFonts w:ascii="Arial" w:cs="Arial" w:eastAsia="Arial" w:hAnsi="Arial"/>
                <w:sz w:val="19"/>
                <w:szCs w:val="19"/>
                <w:color w:val="auto"/>
                <w:vertAlign w:val="superscript"/>
              </w:rPr>
              <w:t>(1)(2)(3)</w:t>
            </w:r>
          </w:p>
        </w:tc>
      </w:tr>
      <w:tr>
        <w:trPr>
          <w:trHeight w:val="284"/>
        </w:trPr>
        <w:tc>
          <w:tcPr>
            <w:tcW w:w="1640" w:type="dxa"/>
            <w:vAlign w:val="bottom"/>
          </w:tcPr>
          <w:p>
            <w:pPr>
              <w:spacing w:after="0"/>
              <w:rPr>
                <w:sz w:val="24"/>
                <w:szCs w:val="24"/>
                <w:color w:val="auto"/>
              </w:rPr>
            </w:pPr>
          </w:p>
        </w:tc>
        <w:tc>
          <w:tcPr>
            <w:tcW w:w="4340" w:type="dxa"/>
            <w:vAlign w:val="bottom"/>
          </w:tcPr>
          <w:p>
            <w:pPr>
              <w:ind w:left="460"/>
              <w:spacing w:after="0" w:line="283" w:lineRule="exact"/>
              <w:rPr>
                <w:sz w:val="20"/>
                <w:szCs w:val="20"/>
                <w:color w:val="auto"/>
              </w:rPr>
            </w:pPr>
            <w:r>
              <w:rPr>
                <w:rFonts w:ascii="Arial" w:cs="Arial" w:eastAsia="Arial" w:hAnsi="Arial"/>
                <w:sz w:val="32"/>
                <w:szCs w:val="32"/>
                <w:b w:val="1"/>
                <w:bCs w:val="1"/>
                <w:color w:val="auto"/>
                <w:vertAlign w:val="superscript"/>
              </w:rPr>
              <w:t>​</w:t>
            </w:r>
            <w:r>
              <w:rPr>
                <w:rFonts w:ascii="Arial" w:cs="Arial" w:eastAsia="Arial" w:hAnsi="Arial"/>
                <w:sz w:val="16"/>
                <w:szCs w:val="16"/>
                <w:b w:val="1"/>
                <w:bCs w:val="1"/>
                <w:color w:val="auto"/>
              </w:rPr>
              <w:t>Total</w:t>
            </w:r>
          </w:p>
        </w:tc>
      </w:tr>
      <w:tr>
        <w:trPr>
          <w:trHeight w:val="406"/>
        </w:trPr>
        <w:tc>
          <w:tcPr>
            <w:tcW w:w="1640" w:type="dxa"/>
            <w:vAlign w:val="bottom"/>
          </w:tcPr>
          <w:p>
            <w:pPr>
              <w:spacing w:after="0"/>
              <w:rPr>
                <w:sz w:val="24"/>
                <w:szCs w:val="24"/>
                <w:color w:val="auto"/>
              </w:rPr>
            </w:pPr>
          </w:p>
        </w:tc>
        <w:tc>
          <w:tcPr>
            <w:tcW w:w="4340" w:type="dxa"/>
            <w:vAlign w:val="bottom"/>
          </w:tcPr>
          <w:p>
            <w:pPr>
              <w:ind w:left="460"/>
              <w:spacing w:after="0"/>
              <w:rPr>
                <w:sz w:val="20"/>
                <w:szCs w:val="20"/>
                <w:color w:val="auto"/>
              </w:rPr>
            </w:pPr>
            <w:r>
              <w:rPr>
                <w:rFonts w:ascii="Arial" w:cs="Arial" w:eastAsia="Arial" w:hAnsi="Arial"/>
                <w:sz w:val="32"/>
                <w:szCs w:val="32"/>
                <w:b w:val="1"/>
                <w:bCs w:val="1"/>
                <w:color w:val="auto"/>
                <w:vertAlign w:val="superscript"/>
              </w:rPr>
              <w:t>​</w:t>
            </w:r>
            <w:r>
              <w:rPr>
                <w:rFonts w:ascii="Arial" w:cs="Arial" w:eastAsia="Arial" w:hAnsi="Arial"/>
                <w:sz w:val="16"/>
                <w:szCs w:val="16"/>
                <w:b w:val="1"/>
                <w:bCs w:val="1"/>
                <w:color w:val="auto"/>
              </w:rPr>
              <w:t>TOTAL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-1336675</wp:posOffset>
            </wp:positionV>
            <wp:extent cx="6180455" cy="13373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180455" cy="1337310"/>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-3531235</wp:posOffset>
            </wp:positionV>
            <wp:extent cx="6180455" cy="109728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180455" cy="109728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162560</wp:posOffset>
            </wp:positionV>
            <wp:extent cx="123444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20"/>
        </w:trPr>
        <w:tc>
          <w:tcPr>
            <w:tcW w:w="2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w:t>
            </w:r>
          </w:p>
        </w:tc>
        <w:tc>
          <w:tcPr>
            <w:tcW w:w="16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1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w:t>
            </w:r>
          </w:p>
        </w:tc>
        <w:tc>
          <w:tcPr>
            <w:tcW w:w="780" w:type="dxa"/>
            <w:vAlign w:val="bottom"/>
            <w:gridSpan w:val="4"/>
            <w:shd w:val="clear" w:color="auto" w:fill="000000"/>
          </w:tcPr>
          <w:p>
            <w:pPr>
              <w:spacing w:after="0" w:line="20" w:lineRule="exact"/>
              <w:rPr>
                <w:sz w:val="1"/>
                <w:szCs w:val="1"/>
                <w:color w:val="auto"/>
              </w:rPr>
            </w:pPr>
          </w:p>
        </w:tc>
        <w:tc>
          <w:tcPr>
            <w:tcW w:w="8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line="20" w:lineRule="exact"/>
              <w:rPr>
                <w:sz w:val="1"/>
                <w:szCs w:val="1"/>
                <w:color w:val="auto"/>
              </w:rPr>
            </w:pPr>
          </w:p>
        </w:tc>
      </w:tr>
      <w:tr>
        <w:trPr>
          <w:trHeight w:val="230"/>
        </w:trPr>
        <w:tc>
          <w:tcPr>
            <w:tcW w:w="260" w:type="dxa"/>
            <w:vAlign w:val="bottom"/>
            <w:vMerge w:val="continue"/>
          </w:tcPr>
          <w:p>
            <w:pPr>
              <w:spacing w:after="0"/>
              <w:rPr>
                <w:sz w:val="20"/>
                <w:szCs w:val="20"/>
                <w:color w:val="auto"/>
              </w:rPr>
            </w:pPr>
          </w:p>
        </w:tc>
        <w:tc>
          <w:tcPr>
            <w:tcW w:w="160" w:type="dxa"/>
            <w:vAlign w:val="bottom"/>
            <w:vMerge w:val="continue"/>
          </w:tcPr>
          <w:p>
            <w:pPr>
              <w:spacing w:after="0"/>
              <w:rPr>
                <w:sz w:val="20"/>
                <w:szCs w:val="20"/>
                <w:color w:val="auto"/>
              </w:rPr>
            </w:pPr>
          </w:p>
        </w:tc>
        <w:tc>
          <w:tcPr>
            <w:tcW w:w="180" w:type="dxa"/>
            <w:vAlign w:val="bottom"/>
          </w:tcPr>
          <w:p>
            <w:pPr>
              <w:spacing w:after="0" w:line="230" w:lineRule="exact"/>
              <w:rPr>
                <w:sz w:val="20"/>
                <w:szCs w:val="20"/>
                <w:color w:val="auto"/>
              </w:rPr>
            </w:pPr>
            <w:r>
              <w:rPr>
                <w:rFonts w:ascii="Arial" w:cs="Arial" w:eastAsia="Arial" w:hAnsi="Arial"/>
                <w:sz w:val="26"/>
                <w:szCs w:val="26"/>
                <w:b w:val="1"/>
                <w:bCs w:val="1"/>
                <w:color w:val="auto"/>
                <w:vertAlign w:val="superscript"/>
              </w:rPr>
              <w:t>​</w:t>
            </w:r>
            <w:r>
              <w:rPr>
                <w:rFonts w:ascii="Arial" w:cs="Arial" w:eastAsia="Arial" w:hAnsi="Arial"/>
                <w:sz w:val="14"/>
                <w:szCs w:val="14"/>
                <w:b w:val="1"/>
                <w:bCs w:val="1"/>
                <w:color w:val="auto"/>
              </w:rPr>
              <w:t>​—</w:t>
            </w:r>
          </w:p>
        </w:tc>
        <w:tc>
          <w:tcPr>
            <w:tcW w:w="180" w:type="dxa"/>
            <w:vAlign w:val="bottom"/>
            <w:vMerge w:val="continue"/>
          </w:tcPr>
          <w:p>
            <w:pPr>
              <w:spacing w:after="0"/>
              <w:rPr>
                <w:sz w:val="20"/>
                <w:szCs w:val="20"/>
                <w:color w:val="auto"/>
              </w:rPr>
            </w:pPr>
          </w:p>
        </w:tc>
        <w:tc>
          <w:tcPr>
            <w:tcW w:w="1040" w:type="dxa"/>
            <w:vAlign w:val="bottom"/>
            <w:gridSpan w:val="3"/>
          </w:tcPr>
          <w:p>
            <w:pPr>
              <w:ind w:left="160"/>
              <w:spacing w:after="0" w:line="230" w:lineRule="exact"/>
              <w:rPr>
                <w:sz w:val="20"/>
                <w:szCs w:val="20"/>
                <w:color w:val="auto"/>
              </w:rPr>
            </w:pPr>
            <w:r>
              <w:rPr>
                <w:rFonts w:ascii="Arial" w:cs="Arial" w:eastAsia="Arial" w:hAnsi="Arial"/>
                <w:sz w:val="26"/>
                <w:szCs w:val="26"/>
                <w:b w:val="1"/>
                <w:bCs w:val="1"/>
                <w:color w:val="auto"/>
                <w:vertAlign w:val="superscript"/>
              </w:rPr>
              <w:t>​​</w:t>
            </w:r>
            <w:r>
              <w:rPr>
                <w:rFonts w:ascii="Arial" w:cs="Arial" w:eastAsia="Arial" w:hAnsi="Arial"/>
                <w:sz w:val="14"/>
                <w:szCs w:val="14"/>
                <w:b w:val="1"/>
                <w:bCs w:val="1"/>
                <w:color w:val="auto"/>
              </w:rPr>
              <w:t>​ 2,888,108</w:t>
            </w:r>
          </w:p>
        </w:tc>
        <w:tc>
          <w:tcPr>
            <w:tcW w:w="960" w:type="dxa"/>
            <w:vAlign w:val="bottom"/>
            <w:gridSpan w:val="3"/>
          </w:tcPr>
          <w:p>
            <w:pPr>
              <w:ind w:left="60"/>
              <w:spacing w:after="0" w:line="230" w:lineRule="exact"/>
              <w:rPr>
                <w:sz w:val="20"/>
                <w:szCs w:val="20"/>
                <w:color w:val="auto"/>
              </w:rPr>
            </w:pPr>
            <w:r>
              <w:rPr>
                <w:rFonts w:ascii="Arial" w:cs="Arial" w:eastAsia="Arial" w:hAnsi="Arial"/>
                <w:sz w:val="26"/>
                <w:szCs w:val="26"/>
                <w:b w:val="1"/>
                <w:bCs w:val="1"/>
                <w:color w:val="auto"/>
                <w:vertAlign w:val="superscript"/>
              </w:rPr>
              <w:t>​​​​</w:t>
            </w:r>
            <w:r>
              <w:rPr>
                <w:rFonts w:ascii="Arial" w:cs="Arial" w:eastAsia="Arial" w:hAnsi="Arial"/>
                <w:sz w:val="14"/>
                <w:szCs w:val="14"/>
                <w:b w:val="1"/>
                <w:bCs w:val="1"/>
                <w:color w:val="auto"/>
              </w:rPr>
              <w:t>​ 1,892,845</w:t>
            </w:r>
          </w:p>
        </w:tc>
        <w:tc>
          <w:tcPr>
            <w:tcW w:w="160" w:type="dxa"/>
            <w:vAlign w:val="bottom"/>
            <w:vMerge w:val="continue"/>
          </w:tcPr>
          <w:p>
            <w:pPr>
              <w:spacing w:after="0"/>
              <w:rPr>
                <w:sz w:val="20"/>
                <w:szCs w:val="20"/>
                <w:color w:val="auto"/>
              </w:rPr>
            </w:pPr>
          </w:p>
        </w:tc>
        <w:tc>
          <w:tcPr>
            <w:tcW w:w="780" w:type="dxa"/>
            <w:vAlign w:val="bottom"/>
            <w:gridSpan w:val="4"/>
          </w:tcPr>
          <w:p>
            <w:pPr>
              <w:jc w:val="right"/>
              <w:ind w:right="40"/>
              <w:spacing w:after="0" w:line="230" w:lineRule="exact"/>
              <w:rPr>
                <w:sz w:val="20"/>
                <w:szCs w:val="20"/>
                <w:color w:val="auto"/>
              </w:rPr>
            </w:pPr>
            <w:r>
              <w:rPr>
                <w:rFonts w:ascii="Arial" w:cs="Arial" w:eastAsia="Arial" w:hAnsi="Arial"/>
                <w:sz w:val="26"/>
                <w:szCs w:val="26"/>
                <w:b w:val="1"/>
                <w:bCs w:val="1"/>
                <w:color w:val="auto"/>
                <w:vertAlign w:val="superscript"/>
              </w:rPr>
              <w:t>​</w:t>
            </w:r>
            <w:r>
              <w:rPr>
                <w:rFonts w:ascii="Arial" w:cs="Arial" w:eastAsia="Arial" w:hAnsi="Arial"/>
                <w:sz w:val="14"/>
                <w:szCs w:val="14"/>
                <w:b w:val="1"/>
                <w:bCs w:val="1"/>
                <w:color w:val="auto"/>
              </w:rPr>
              <w:t>​1,892,845</w:t>
            </w:r>
          </w:p>
        </w:tc>
        <w:tc>
          <w:tcPr>
            <w:tcW w:w="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0" w:type="dxa"/>
            <w:vAlign w:val="bottom"/>
            <w:vMerge w:val="restart"/>
          </w:tcPr>
          <w:p>
            <w:pPr>
              <w:jc w:val="right"/>
              <w:ind w:right="59"/>
              <w:spacing w:after="0"/>
              <w:rPr>
                <w:sz w:val="20"/>
                <w:szCs w:val="20"/>
                <w:color w:val="auto"/>
              </w:rPr>
            </w:pPr>
            <w:r>
              <w:rPr>
                <w:rFonts w:ascii="Arial" w:cs="Arial" w:eastAsia="Arial" w:hAnsi="Arial"/>
                <w:sz w:val="16"/>
                <w:szCs w:val="16"/>
                <w:color w:val="auto"/>
              </w:rPr>
              <w:t>​​</w:t>
            </w:r>
          </w:p>
        </w:tc>
        <w:tc>
          <w:tcPr>
            <w:tcW w:w="16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line="20" w:lineRule="exact"/>
              <w:rPr>
                <w:sz w:val="1"/>
                <w:szCs w:val="1"/>
                <w:color w:val="auto"/>
              </w:rPr>
            </w:pPr>
          </w:p>
        </w:tc>
      </w:tr>
      <w:tr>
        <w:trPr>
          <w:trHeight w:val="208"/>
        </w:trPr>
        <w:tc>
          <w:tcPr>
            <w:tcW w:w="260" w:type="dxa"/>
            <w:vAlign w:val="bottom"/>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180" w:type="dxa"/>
            <w:vAlign w:val="bottom"/>
            <w:vMerge w:val="continue"/>
          </w:tcPr>
          <w:p>
            <w:pPr>
              <w:spacing w:after="0"/>
              <w:rPr>
                <w:sz w:val="18"/>
                <w:szCs w:val="18"/>
                <w:color w:val="auto"/>
              </w:rPr>
            </w:pPr>
          </w:p>
        </w:tc>
        <w:tc>
          <w:tcPr>
            <w:tcW w:w="36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18"/>
                <w:szCs w:val="18"/>
                <w:color w:val="auto"/>
              </w:rPr>
            </w:pPr>
          </w:p>
        </w:tc>
        <w:tc>
          <w:tcPr>
            <w:tcW w:w="30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vMerge w:val="continue"/>
          </w:tcPr>
          <w:p>
            <w:pPr>
              <w:spacing w:after="0"/>
              <w:rPr>
                <w:sz w:val="18"/>
                <w:szCs w:val="18"/>
                <w:color w:val="auto"/>
              </w:rPr>
            </w:pPr>
          </w:p>
        </w:tc>
        <w:tc>
          <w:tcPr>
            <w:tcW w:w="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gridSpan w:val="2"/>
          </w:tcPr>
          <w:p>
            <w:pPr>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236,403</w:t>
            </w:r>
          </w:p>
        </w:tc>
        <w:tc>
          <w:tcPr>
            <w:tcW w:w="160" w:type="dxa"/>
            <w:vAlign w:val="bottom"/>
          </w:tcPr>
          <w:p>
            <w:pPr>
              <w:spacing w:after="0"/>
              <w:rPr>
                <w:sz w:val="17"/>
                <w:szCs w:val="17"/>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236,403</w:t>
            </w:r>
          </w:p>
        </w:tc>
        <w:tc>
          <w:tcPr>
            <w:tcW w:w="1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6"/>
                <w:szCs w:val="16"/>
                <w:color w:val="auto"/>
              </w:rPr>
              <w:t>236,403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7"/>
        </w:trPr>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520" w:type="dxa"/>
            <w:vAlign w:val="bottom"/>
            <w:gridSpan w:val="3"/>
          </w:tcPr>
          <w:p>
            <w:pPr>
              <w:ind w:left="160"/>
              <w:spacing w:after="0" w:line="296" w:lineRule="exact"/>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w:t>
            </w:r>
          </w:p>
        </w:tc>
        <w:tc>
          <w:tcPr>
            <w:tcW w:w="360" w:type="dxa"/>
            <w:vAlign w:val="bottom"/>
            <w:gridSpan w:val="2"/>
          </w:tcPr>
          <w:p>
            <w:pPr>
              <w:ind w:left="160"/>
              <w:spacing w:after="0" w:line="296" w:lineRule="exact"/>
              <w:rPr>
                <w:sz w:val="20"/>
                <w:szCs w:val="20"/>
                <w:color w:val="auto"/>
              </w:rPr>
            </w:pPr>
            <w:r>
              <w:rPr>
                <w:rFonts w:ascii="Arial" w:cs="Arial" w:eastAsia="Arial" w:hAnsi="Arial"/>
                <w:sz w:val="16"/>
                <w:szCs w:val="16"/>
                <w:color w:val="auto"/>
              </w:rPr>
              <w:t>​​</w:t>
            </w:r>
            <w:r>
              <w:rPr>
                <w:rFonts w:ascii="Arial" w:cs="Arial" w:eastAsia="Arial" w:hAnsi="Arial"/>
                <w:sz w:val="32"/>
                <w:szCs w:val="32"/>
                <w:color w:val="auto"/>
                <w:vertAlign w:val="subscript"/>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415,000</w:t>
            </w:r>
          </w:p>
        </w:tc>
        <w:tc>
          <w:tcPr>
            <w:tcW w:w="300" w:type="dxa"/>
            <w:vAlign w:val="bottom"/>
            <w:gridSpan w:val="2"/>
          </w:tcPr>
          <w:p>
            <w:pPr>
              <w:ind w:left="60"/>
              <w:spacing w:after="0" w:line="296" w:lineRule="exact"/>
              <w:rPr>
                <w:sz w:val="20"/>
                <w:szCs w:val="20"/>
                <w:color w:val="auto"/>
              </w:rPr>
            </w:pPr>
            <w:r>
              <w:rPr>
                <w:rFonts w:ascii="Arial" w:cs="Arial" w:eastAsia="Arial" w:hAnsi="Arial"/>
                <w:sz w:val="16"/>
                <w:szCs w:val="16"/>
                <w:color w:val="auto"/>
              </w:rPr>
              <w:t>​​​​</w:t>
            </w:r>
            <w:r>
              <w:rPr>
                <w:rFonts w:ascii="Arial" w:cs="Arial" w:eastAsia="Arial" w:hAnsi="Arial"/>
                <w:sz w:val="32"/>
                <w:szCs w:val="32"/>
                <w:color w:val="auto"/>
                <w:vertAlign w:val="subscript"/>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415,000</w:t>
            </w:r>
          </w:p>
        </w:tc>
        <w:tc>
          <w:tcPr>
            <w:tcW w:w="260" w:type="dxa"/>
            <w:vAlign w:val="bottom"/>
            <w:gridSpan w:val="2"/>
          </w:tcPr>
          <w:p>
            <w:pPr>
              <w:jc w:val="right"/>
              <w:spacing w:after="0" w:line="296" w:lineRule="exact"/>
              <w:rPr>
                <w:sz w:val="20"/>
                <w:szCs w:val="20"/>
                <w:color w:val="auto"/>
              </w:rPr>
            </w:pPr>
            <w:r>
              <w:rPr>
                <w:rFonts w:ascii="Arial" w:cs="Arial" w:eastAsia="Arial" w:hAnsi="Arial"/>
                <w:sz w:val="16"/>
                <w:szCs w:val="16"/>
                <w:color w:val="auto"/>
              </w:rPr>
              <w:t>​​​ ​</w:t>
            </w:r>
            <w:r>
              <w:rPr>
                <w:rFonts w:ascii="Arial" w:cs="Arial" w:eastAsia="Arial" w:hAnsi="Arial"/>
                <w:sz w:val="32"/>
                <w:szCs w:val="32"/>
                <w:color w:val="auto"/>
                <w:vertAlign w:val="subscript"/>
              </w:rPr>
              <w:t>​</w:t>
            </w:r>
          </w:p>
        </w:tc>
        <w:tc>
          <w:tcPr>
            <w:tcW w:w="760" w:type="dxa"/>
            <w:vAlign w:val="bottom"/>
            <w:gridSpan w:val="5"/>
          </w:tcPr>
          <w:p>
            <w:pPr>
              <w:jc w:val="right"/>
              <w:spacing w:after="0" w:line="296" w:lineRule="exact"/>
              <w:rPr>
                <w:sz w:val="20"/>
                <w:szCs w:val="20"/>
                <w:color w:val="auto"/>
              </w:rPr>
            </w:pPr>
            <w:r>
              <w:rPr>
                <w:rFonts w:ascii="Arial" w:cs="Arial" w:eastAsia="Arial" w:hAnsi="Arial"/>
                <w:sz w:val="16"/>
                <w:szCs w:val="16"/>
                <w:color w:val="auto"/>
              </w:rPr>
              <w:t xml:space="preserve">— </w:t>
            </w:r>
            <w:r>
              <w:rPr>
                <w:rFonts w:ascii="Arial" w:cs="Arial" w:eastAsia="Arial" w:hAnsi="Arial"/>
                <w:sz w:val="32"/>
                <w:szCs w:val="32"/>
                <w:b w:val="1"/>
                <w:bCs w:val="1"/>
                <w:color w:val="auto"/>
                <w:vertAlign w:val="superscript"/>
              </w:rPr>
              <w:t>​</w:t>
            </w:r>
          </w:p>
        </w:tc>
        <w:tc>
          <w:tcPr>
            <w:tcW w:w="0" w:type="dxa"/>
            <w:vAlign w:val="bottom"/>
          </w:tcPr>
          <w:p>
            <w:pPr>
              <w:spacing w:after="0"/>
              <w:rPr>
                <w:sz w:val="1"/>
                <w:szCs w:val="1"/>
                <w:color w:val="auto"/>
              </w:rPr>
            </w:pPr>
          </w:p>
        </w:tc>
      </w:tr>
      <w:tr>
        <w:trPr>
          <w:trHeight w:val="418"/>
        </w:trPr>
        <w:tc>
          <w:tcPr>
            <w:tcW w:w="260" w:type="dxa"/>
            <w:vAlign w:val="bottom"/>
            <w:tcBorders>
              <w:left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520" w:type="dxa"/>
            <w:vAlign w:val="bottom"/>
            <w:gridSpan w:val="3"/>
            <w:shd w:val="clear" w:color="auto" w:fill="CCEEFF"/>
          </w:tcPr>
          <w:p>
            <w:pPr>
              <w:ind w:left="160"/>
              <w:spacing w:after="0"/>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w:t>
            </w: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r>
              <w:rPr>
                <w:rFonts w:ascii="Arial" w:cs="Arial" w:eastAsia="Arial" w:hAnsi="Arial"/>
                <w:sz w:val="32"/>
                <w:szCs w:val="32"/>
                <w:color w:val="auto"/>
                <w:vertAlign w:val="subscript"/>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311,250</w:t>
            </w:r>
          </w:p>
        </w:tc>
        <w:tc>
          <w:tcPr>
            <w:tcW w:w="300" w:type="dxa"/>
            <w:vAlign w:val="bottom"/>
            <w:tcBorders>
              <w:left w:val="single" w:sz="8" w:color="CCEEFF"/>
            </w:tcBorders>
            <w:gridSpan w:val="2"/>
            <w:shd w:val="clear" w:color="auto" w:fill="CCEEFF"/>
          </w:tcPr>
          <w:p>
            <w:pPr>
              <w:ind w:left="60"/>
              <w:spacing w:after="0"/>
              <w:rPr>
                <w:sz w:val="20"/>
                <w:szCs w:val="20"/>
                <w:color w:val="auto"/>
              </w:rPr>
            </w:pPr>
            <w:r>
              <w:rPr>
                <w:rFonts w:ascii="Arial" w:cs="Arial" w:eastAsia="Arial" w:hAnsi="Arial"/>
                <w:sz w:val="16"/>
                <w:szCs w:val="16"/>
                <w:color w:val="auto"/>
              </w:rPr>
              <w:t>​​​​</w:t>
            </w:r>
            <w:r>
              <w:rPr>
                <w:rFonts w:ascii="Arial" w:cs="Arial" w:eastAsia="Arial" w:hAnsi="Arial"/>
                <w:sz w:val="32"/>
                <w:szCs w:val="32"/>
                <w:color w:val="auto"/>
                <w:vertAlign w:val="subscript"/>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311,250</w:t>
            </w:r>
          </w:p>
        </w:tc>
        <w:tc>
          <w:tcPr>
            <w:tcW w:w="2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32"/>
                <w:szCs w:val="32"/>
                <w:color w:val="auto"/>
                <w:vertAlign w:val="subscript"/>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311,250</w:t>
            </w: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11"/>
        </w:trPr>
        <w:tc>
          <w:tcPr>
            <w:tcW w:w="260" w:type="dxa"/>
            <w:vAlign w:val="bottom"/>
            <w:tcBorders>
              <w:left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360" w:type="dxa"/>
            <w:vAlign w:val="bottom"/>
            <w:gridSpan w:val="2"/>
            <w:shd w:val="clear" w:color="auto" w:fill="CCEEFF"/>
          </w:tcPr>
          <w:p>
            <w:pPr>
              <w:spacing w:after="0" w:line="310" w:lineRule="exact"/>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w:t>
            </w:r>
          </w:p>
        </w:tc>
        <w:tc>
          <w:tcPr>
            <w:tcW w:w="360" w:type="dxa"/>
            <w:vAlign w:val="bottom"/>
            <w:gridSpan w:val="2"/>
            <w:shd w:val="clear" w:color="auto" w:fill="CCEEFF"/>
          </w:tcPr>
          <w:p>
            <w:pPr>
              <w:ind w:left="160"/>
              <w:spacing w:after="0" w:line="310" w:lineRule="exact"/>
              <w:rPr>
                <w:sz w:val="20"/>
                <w:szCs w:val="20"/>
                <w:color w:val="auto"/>
              </w:rPr>
            </w:pPr>
            <w:r>
              <w:rPr>
                <w:rFonts w:ascii="Arial" w:cs="Arial" w:eastAsia="Arial" w:hAnsi="Arial"/>
                <w:sz w:val="16"/>
                <w:szCs w:val="16"/>
                <w:color w:val="auto"/>
              </w:rPr>
              <w:t>​​</w:t>
            </w:r>
            <w:r>
              <w:rPr>
                <w:rFonts w:ascii="Arial" w:cs="Arial" w:eastAsia="Arial" w:hAnsi="Arial"/>
                <w:sz w:val="32"/>
                <w:szCs w:val="32"/>
                <w:color w:val="auto"/>
                <w:vertAlign w:val="subscript"/>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422,951</w:t>
            </w:r>
          </w:p>
        </w:tc>
        <w:tc>
          <w:tcPr>
            <w:tcW w:w="300" w:type="dxa"/>
            <w:vAlign w:val="bottom"/>
            <w:tcBorders>
              <w:left w:val="single" w:sz="8" w:color="CCEEFF"/>
            </w:tcBorders>
            <w:gridSpan w:val="2"/>
            <w:shd w:val="clear" w:color="auto" w:fill="CCEEFF"/>
          </w:tcPr>
          <w:p>
            <w:pPr>
              <w:ind w:left="60"/>
              <w:spacing w:after="0" w:line="310" w:lineRule="exact"/>
              <w:rPr>
                <w:sz w:val="20"/>
                <w:szCs w:val="20"/>
                <w:color w:val="auto"/>
              </w:rPr>
            </w:pPr>
            <w:r>
              <w:rPr>
                <w:rFonts w:ascii="Arial" w:cs="Arial" w:eastAsia="Arial" w:hAnsi="Arial"/>
                <w:sz w:val="16"/>
                <w:szCs w:val="16"/>
                <w:color w:val="auto"/>
              </w:rPr>
              <w:t>​​​​</w:t>
            </w:r>
            <w:r>
              <w:rPr>
                <w:rFonts w:ascii="Arial" w:cs="Arial" w:eastAsia="Arial" w:hAnsi="Arial"/>
                <w:sz w:val="32"/>
                <w:szCs w:val="32"/>
                <w:color w:val="auto"/>
                <w:vertAlign w:val="subscript"/>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281,968</w:t>
            </w:r>
          </w:p>
        </w:tc>
        <w:tc>
          <w:tcPr>
            <w:tcW w:w="260" w:type="dxa"/>
            <w:vAlign w:val="bottom"/>
            <w:tcBorders>
              <w:left w:val="single" w:sz="8" w:color="CCEEFF"/>
            </w:tcBorders>
            <w:gridSpan w:val="2"/>
            <w:shd w:val="clear" w:color="auto" w:fill="CCEEFF"/>
          </w:tcPr>
          <w:p>
            <w:pPr>
              <w:jc w:val="right"/>
              <w:spacing w:after="0" w:line="310" w:lineRule="exact"/>
              <w:rPr>
                <w:sz w:val="20"/>
                <w:szCs w:val="20"/>
                <w:color w:val="auto"/>
              </w:rPr>
            </w:pPr>
            <w:r>
              <w:rPr>
                <w:rFonts w:ascii="Arial" w:cs="Arial" w:eastAsia="Arial" w:hAnsi="Arial"/>
                <w:sz w:val="16"/>
                <w:szCs w:val="16"/>
                <w:color w:val="auto"/>
              </w:rPr>
              <w:t>​​​ ​</w:t>
            </w:r>
            <w:r>
              <w:rPr>
                <w:rFonts w:ascii="Arial" w:cs="Arial" w:eastAsia="Arial" w:hAnsi="Arial"/>
                <w:sz w:val="32"/>
                <w:szCs w:val="32"/>
                <w:color w:val="auto"/>
                <w:vertAlign w:val="subscript"/>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281,968</w:t>
            </w: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
        </w:trPr>
        <w:tc>
          <w:tcPr>
            <w:tcW w:w="260" w:type="dxa"/>
            <w:vAlign w:val="bottom"/>
            <w:tcBorders>
              <w:left w:val="single" w:sz="8" w:color="CCEEFF"/>
            </w:tcBorders>
            <w:vMerge w:val="restart"/>
          </w:tcPr>
          <w:p>
            <w:pPr>
              <w:jc w:val="right"/>
              <w:ind w:right="59"/>
              <w:spacing w:after="0"/>
              <w:rPr>
                <w:sz w:val="20"/>
                <w:szCs w:val="20"/>
                <w:color w:val="auto"/>
              </w:rPr>
            </w:pPr>
            <w:r>
              <w:rPr>
                <w:rFonts w:ascii="Arial" w:cs="Arial" w:eastAsia="Arial" w:hAnsi="Arial"/>
                <w:sz w:val="16"/>
                <w:szCs w:val="16"/>
                <w:b w:val="1"/>
                <w:bCs w:val="1"/>
                <w:color w:val="auto"/>
              </w:rPr>
              <w:t>​​</w:t>
            </w:r>
          </w:p>
        </w:tc>
        <w:tc>
          <w:tcPr>
            <w:tcW w:w="16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line="20" w:lineRule="exact"/>
              <w:rPr>
                <w:sz w:val="1"/>
                <w:szCs w:val="1"/>
                <w:color w:val="auto"/>
              </w:rPr>
            </w:pPr>
          </w:p>
        </w:tc>
      </w:tr>
      <w:tr>
        <w:trPr>
          <w:trHeight w:val="250"/>
        </w:trPr>
        <w:tc>
          <w:tcPr>
            <w:tcW w:w="260" w:type="dxa"/>
            <w:vAlign w:val="bottom"/>
            <w:tcBorders>
              <w:left w:val="single" w:sz="8" w:color="CCEEFF"/>
            </w:tcBorders>
            <w:vMerge w:val="continue"/>
          </w:tcPr>
          <w:p>
            <w:pPr>
              <w:spacing w:after="0"/>
              <w:rPr>
                <w:sz w:val="21"/>
                <w:szCs w:val="21"/>
                <w:color w:val="auto"/>
              </w:rPr>
            </w:pPr>
          </w:p>
        </w:tc>
        <w:tc>
          <w:tcPr>
            <w:tcW w:w="160" w:type="dxa"/>
            <w:vAlign w:val="bottom"/>
            <w:vMerge w:val="continue"/>
          </w:tcPr>
          <w:p>
            <w:pPr>
              <w:spacing w:after="0"/>
              <w:rPr>
                <w:sz w:val="21"/>
                <w:szCs w:val="21"/>
                <w:color w:val="auto"/>
              </w:rPr>
            </w:pPr>
          </w:p>
        </w:tc>
        <w:tc>
          <w:tcPr>
            <w:tcW w:w="180" w:type="dxa"/>
            <w:vAlign w:val="bottom"/>
          </w:tcPr>
          <w:p>
            <w:pPr>
              <w:spacing w:after="0" w:line="250" w:lineRule="exact"/>
              <w:rPr>
                <w:sz w:val="20"/>
                <w:szCs w:val="20"/>
                <w:color w:val="auto"/>
              </w:rPr>
            </w:pPr>
            <w:r>
              <w:rPr>
                <w:rFonts w:ascii="Arial" w:cs="Arial" w:eastAsia="Arial" w:hAnsi="Arial"/>
                <w:sz w:val="28"/>
                <w:szCs w:val="28"/>
                <w:b w:val="1"/>
                <w:bCs w:val="1"/>
                <w:color w:val="auto"/>
                <w:vertAlign w:val="superscript"/>
              </w:rPr>
              <w:t>​</w:t>
            </w:r>
            <w:r>
              <w:rPr>
                <w:rFonts w:ascii="Arial" w:cs="Arial" w:eastAsia="Arial" w:hAnsi="Arial"/>
                <w:sz w:val="15"/>
                <w:szCs w:val="15"/>
                <w:b w:val="1"/>
                <w:bCs w:val="1"/>
                <w:color w:val="auto"/>
              </w:rPr>
              <w:t>​—</w:t>
            </w:r>
          </w:p>
        </w:tc>
        <w:tc>
          <w:tcPr>
            <w:tcW w:w="180" w:type="dxa"/>
            <w:vAlign w:val="bottom"/>
          </w:tcPr>
          <w:p>
            <w:pPr>
              <w:spacing w:after="0"/>
              <w:rPr>
                <w:sz w:val="21"/>
                <w:szCs w:val="21"/>
                <w:color w:val="auto"/>
              </w:rPr>
            </w:pPr>
          </w:p>
        </w:tc>
        <w:tc>
          <w:tcPr>
            <w:tcW w:w="1040" w:type="dxa"/>
            <w:vAlign w:val="bottom"/>
            <w:gridSpan w:val="3"/>
          </w:tcPr>
          <w:p>
            <w:pPr>
              <w:ind w:left="160"/>
              <w:spacing w:after="0" w:line="250" w:lineRule="exact"/>
              <w:rPr>
                <w:sz w:val="20"/>
                <w:szCs w:val="20"/>
                <w:color w:val="auto"/>
              </w:rPr>
            </w:pPr>
            <w:r>
              <w:rPr>
                <w:rFonts w:ascii="Arial" w:cs="Arial" w:eastAsia="Arial" w:hAnsi="Arial"/>
                <w:sz w:val="28"/>
                <w:szCs w:val="28"/>
                <w:b w:val="1"/>
                <w:bCs w:val="1"/>
                <w:color w:val="auto"/>
                <w:vertAlign w:val="superscript"/>
              </w:rPr>
              <w:t>​​</w:t>
            </w:r>
            <w:r>
              <w:rPr>
                <w:rFonts w:ascii="Arial" w:cs="Arial" w:eastAsia="Arial" w:hAnsi="Arial"/>
                <w:sz w:val="15"/>
                <w:szCs w:val="15"/>
                <w:b w:val="1"/>
                <w:bCs w:val="1"/>
                <w:color w:val="auto"/>
              </w:rPr>
              <w:t>​ 1,385,604</w:t>
            </w:r>
          </w:p>
        </w:tc>
        <w:tc>
          <w:tcPr>
            <w:tcW w:w="960" w:type="dxa"/>
            <w:vAlign w:val="bottom"/>
            <w:gridSpan w:val="3"/>
          </w:tcPr>
          <w:p>
            <w:pPr>
              <w:ind w:left="60"/>
              <w:spacing w:after="0" w:line="250" w:lineRule="exact"/>
              <w:rPr>
                <w:sz w:val="20"/>
                <w:szCs w:val="20"/>
                <w:color w:val="auto"/>
              </w:rPr>
            </w:pPr>
            <w:r>
              <w:rPr>
                <w:rFonts w:ascii="Arial" w:cs="Arial" w:eastAsia="Arial" w:hAnsi="Arial"/>
                <w:sz w:val="28"/>
                <w:szCs w:val="28"/>
                <w:b w:val="1"/>
                <w:bCs w:val="1"/>
                <w:color w:val="auto"/>
                <w:vertAlign w:val="superscript"/>
              </w:rPr>
              <w:t>​​​​</w:t>
            </w:r>
            <w:r>
              <w:rPr>
                <w:rFonts w:ascii="Arial" w:cs="Arial" w:eastAsia="Arial" w:hAnsi="Arial"/>
                <w:sz w:val="15"/>
                <w:szCs w:val="15"/>
                <w:b w:val="1"/>
                <w:bCs w:val="1"/>
                <w:color w:val="auto"/>
              </w:rPr>
              <w:t>​ 1,244,621</w:t>
            </w:r>
          </w:p>
        </w:tc>
        <w:tc>
          <w:tcPr>
            <w:tcW w:w="160" w:type="dxa"/>
            <w:vAlign w:val="bottom"/>
          </w:tcPr>
          <w:p>
            <w:pPr>
              <w:ind w:left="2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jc w:val="right"/>
              <w:spacing w:after="0" w:line="250" w:lineRule="exact"/>
              <w:rPr>
                <w:sz w:val="20"/>
                <w:szCs w:val="20"/>
                <w:color w:val="auto"/>
              </w:rPr>
            </w:pPr>
            <w:r>
              <w:rPr>
                <w:rFonts w:ascii="Arial" w:cs="Arial" w:eastAsia="Arial" w:hAnsi="Arial"/>
                <w:sz w:val="15"/>
                <w:szCs w:val="15"/>
                <w:b w:val="1"/>
                <w:bCs w:val="1"/>
                <w:color w:val="auto"/>
              </w:rPr>
              <w:t>​</w:t>
            </w:r>
            <w:r>
              <w:rPr>
                <w:rFonts w:ascii="Arial" w:cs="Arial" w:eastAsia="Arial" w:hAnsi="Arial"/>
                <w:sz w:val="28"/>
                <w:szCs w:val="28"/>
                <w:b w:val="1"/>
                <w:bCs w:val="1"/>
                <w:color w:val="auto"/>
                <w:vertAlign w:val="subscript"/>
              </w:rPr>
              <w:t>​</w:t>
            </w:r>
          </w:p>
        </w:tc>
        <w:tc>
          <w:tcPr>
            <w:tcW w:w="66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829,621</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60" w:type="dxa"/>
            <w:vAlign w:val="bottom"/>
            <w:tcBorders>
              <w:left w:val="single" w:sz="8" w:color="CCEE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line="20" w:lineRule="exact"/>
              <w:rPr>
                <w:sz w:val="1"/>
                <w:szCs w:val="1"/>
                <w:color w:val="auto"/>
              </w:rPr>
            </w:pPr>
          </w:p>
        </w:tc>
      </w:tr>
      <w:tr>
        <w:trPr>
          <w:trHeight w:val="202"/>
        </w:trPr>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36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17"/>
                <w:szCs w:val="17"/>
                <w:color w:val="auto"/>
              </w:rPr>
            </w:pPr>
          </w:p>
        </w:tc>
        <w:tc>
          <w:tcPr>
            <w:tcW w:w="30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7"/>
                <w:szCs w:val="17"/>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gridSpan w:val="2"/>
          </w:tcPr>
          <w:p>
            <w:pPr>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406,916</w:t>
            </w:r>
          </w:p>
        </w:tc>
        <w:tc>
          <w:tcPr>
            <w:tcW w:w="160" w:type="dxa"/>
            <w:vAlign w:val="bottom"/>
          </w:tcPr>
          <w:p>
            <w:pPr>
              <w:spacing w:after="0"/>
              <w:rPr>
                <w:sz w:val="16"/>
                <w:szCs w:val="16"/>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406,916</w:t>
            </w:r>
          </w:p>
        </w:tc>
        <w:tc>
          <w:tcPr>
            <w:tcW w:w="1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6"/>
                <w:szCs w:val="16"/>
                <w:color w:val="auto"/>
              </w:rPr>
              <w:t>406,916</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520" w:type="dxa"/>
            <w:vAlign w:val="bottom"/>
            <w:gridSpan w:val="3"/>
          </w:tcPr>
          <w:p>
            <w:pPr>
              <w:ind w:left="160"/>
              <w:spacing w:after="0" w:line="283" w:lineRule="exact"/>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w:t>
            </w:r>
          </w:p>
        </w:tc>
        <w:tc>
          <w:tcPr>
            <w:tcW w:w="360" w:type="dxa"/>
            <w:vAlign w:val="bottom"/>
            <w:gridSpan w:val="2"/>
          </w:tcPr>
          <w:p>
            <w:pPr>
              <w:ind w:left="160"/>
              <w:spacing w:after="0" w:line="283" w:lineRule="exact"/>
              <w:rPr>
                <w:sz w:val="20"/>
                <w:szCs w:val="20"/>
                <w:color w:val="auto"/>
              </w:rPr>
            </w:pPr>
            <w:r>
              <w:rPr>
                <w:rFonts w:ascii="Arial" w:cs="Arial" w:eastAsia="Arial" w:hAnsi="Arial"/>
                <w:sz w:val="16"/>
                <w:szCs w:val="16"/>
                <w:color w:val="auto"/>
              </w:rPr>
              <w:t>​​</w:t>
            </w:r>
            <w:r>
              <w:rPr>
                <w:rFonts w:ascii="Arial" w:cs="Arial" w:eastAsia="Arial" w:hAnsi="Arial"/>
                <w:sz w:val="32"/>
                <w:szCs w:val="32"/>
                <w:color w:val="auto"/>
                <w:vertAlign w:val="subscript"/>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335,000</w:t>
            </w:r>
          </w:p>
        </w:tc>
        <w:tc>
          <w:tcPr>
            <w:tcW w:w="300" w:type="dxa"/>
            <w:vAlign w:val="bottom"/>
            <w:gridSpan w:val="2"/>
          </w:tcPr>
          <w:p>
            <w:pPr>
              <w:ind w:left="60"/>
              <w:spacing w:after="0" w:line="283" w:lineRule="exact"/>
              <w:rPr>
                <w:sz w:val="20"/>
                <w:szCs w:val="20"/>
                <w:color w:val="auto"/>
              </w:rPr>
            </w:pPr>
            <w:r>
              <w:rPr>
                <w:rFonts w:ascii="Arial" w:cs="Arial" w:eastAsia="Arial" w:hAnsi="Arial"/>
                <w:sz w:val="16"/>
                <w:szCs w:val="16"/>
                <w:color w:val="auto"/>
              </w:rPr>
              <w:t>​​​​</w:t>
            </w:r>
            <w:r>
              <w:rPr>
                <w:rFonts w:ascii="Arial" w:cs="Arial" w:eastAsia="Arial" w:hAnsi="Arial"/>
                <w:sz w:val="32"/>
                <w:szCs w:val="32"/>
                <w:color w:val="auto"/>
                <w:vertAlign w:val="subscript"/>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line="283" w:lineRule="exact"/>
              <w:rPr>
                <w:sz w:val="20"/>
                <w:szCs w:val="20"/>
                <w:color w:val="auto"/>
              </w:rPr>
            </w:pPr>
            <w:r>
              <w:rPr>
                <w:rFonts w:ascii="Arial" w:cs="Arial" w:eastAsia="Arial" w:hAnsi="Arial"/>
                <w:sz w:val="16"/>
                <w:szCs w:val="16"/>
                <w:color w:val="auto"/>
              </w:rPr>
              <w:t>​​​ ​</w:t>
            </w:r>
            <w:r>
              <w:rPr>
                <w:rFonts w:ascii="Arial" w:cs="Arial" w:eastAsia="Arial" w:hAnsi="Arial"/>
                <w:sz w:val="32"/>
                <w:szCs w:val="32"/>
                <w:color w:val="auto"/>
                <w:vertAlign w:val="subscript"/>
              </w:rPr>
              <w:t>​</w:t>
            </w:r>
          </w:p>
        </w:tc>
        <w:tc>
          <w:tcPr>
            <w:tcW w:w="760" w:type="dxa"/>
            <w:vAlign w:val="bottom"/>
            <w:gridSpan w:val="5"/>
          </w:tcPr>
          <w:p>
            <w:pPr>
              <w:jc w:val="right"/>
              <w:spacing w:after="0" w:line="283" w:lineRule="exact"/>
              <w:rPr>
                <w:sz w:val="20"/>
                <w:szCs w:val="20"/>
                <w:color w:val="auto"/>
              </w:rPr>
            </w:pPr>
            <w:r>
              <w:rPr>
                <w:rFonts w:ascii="Arial" w:cs="Arial" w:eastAsia="Arial" w:hAnsi="Arial"/>
                <w:sz w:val="16"/>
                <w:szCs w:val="16"/>
                <w:color w:val="auto"/>
              </w:rPr>
              <w:t xml:space="preserve">— </w:t>
            </w:r>
            <w:r>
              <w:rPr>
                <w:rFonts w:ascii="Arial" w:cs="Arial" w:eastAsia="Arial" w:hAnsi="Arial"/>
                <w:sz w:val="32"/>
                <w:szCs w:val="32"/>
                <w:b w:val="1"/>
                <w:bCs w:val="1"/>
                <w:color w:val="auto"/>
                <w:vertAlign w:val="superscript"/>
              </w:rPr>
              <w:t>​</w:t>
            </w:r>
          </w:p>
        </w:tc>
        <w:tc>
          <w:tcPr>
            <w:tcW w:w="0" w:type="dxa"/>
            <w:vAlign w:val="bottom"/>
          </w:tcPr>
          <w:p>
            <w:pPr>
              <w:spacing w:after="0"/>
              <w:rPr>
                <w:sz w:val="1"/>
                <w:szCs w:val="1"/>
                <w:color w:val="auto"/>
              </w:rPr>
            </w:pPr>
          </w:p>
        </w:tc>
      </w:tr>
      <w:tr>
        <w:trPr>
          <w:trHeight w:val="432"/>
        </w:trPr>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520" w:type="dxa"/>
            <w:vAlign w:val="bottom"/>
            <w:gridSpan w:val="3"/>
          </w:tcPr>
          <w:p>
            <w:pPr>
              <w:ind w:left="160"/>
              <w:spacing w:after="0"/>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w:t>
            </w:r>
          </w:p>
        </w:tc>
        <w:tc>
          <w:tcPr>
            <w:tcW w:w="360" w:type="dxa"/>
            <w:vAlign w:val="bottom"/>
            <w:gridSpan w:val="2"/>
          </w:tcPr>
          <w:p>
            <w:pPr>
              <w:ind w:left="160"/>
              <w:spacing w:after="0"/>
              <w:rPr>
                <w:sz w:val="20"/>
                <w:szCs w:val="20"/>
                <w:color w:val="auto"/>
              </w:rPr>
            </w:pPr>
            <w:r>
              <w:rPr>
                <w:rFonts w:ascii="Arial" w:cs="Arial" w:eastAsia="Arial" w:hAnsi="Arial"/>
                <w:sz w:val="16"/>
                <w:szCs w:val="16"/>
                <w:color w:val="auto"/>
              </w:rPr>
              <w:t>​​</w:t>
            </w:r>
            <w:r>
              <w:rPr>
                <w:rFonts w:ascii="Arial" w:cs="Arial" w:eastAsia="Arial" w:hAnsi="Arial"/>
                <w:sz w:val="32"/>
                <w:szCs w:val="32"/>
                <w:color w:val="auto"/>
                <w:vertAlign w:val="subscript"/>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251,250</w:t>
            </w:r>
          </w:p>
        </w:tc>
        <w:tc>
          <w:tcPr>
            <w:tcW w:w="300" w:type="dxa"/>
            <w:vAlign w:val="bottom"/>
            <w:gridSpan w:val="2"/>
          </w:tcPr>
          <w:p>
            <w:pPr>
              <w:ind w:left="60"/>
              <w:spacing w:after="0"/>
              <w:rPr>
                <w:sz w:val="20"/>
                <w:szCs w:val="20"/>
                <w:color w:val="auto"/>
              </w:rPr>
            </w:pPr>
            <w:r>
              <w:rPr>
                <w:rFonts w:ascii="Arial" w:cs="Arial" w:eastAsia="Arial" w:hAnsi="Arial"/>
                <w:sz w:val="16"/>
                <w:szCs w:val="16"/>
                <w:color w:val="auto"/>
              </w:rPr>
              <w:t>​​​​</w:t>
            </w:r>
            <w:r>
              <w:rPr>
                <w:rFonts w:ascii="Arial" w:cs="Arial" w:eastAsia="Arial" w:hAnsi="Arial"/>
                <w:sz w:val="32"/>
                <w:szCs w:val="32"/>
                <w:color w:val="auto"/>
                <w:vertAlign w:val="subscript"/>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251,250</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32"/>
                <w:szCs w:val="32"/>
                <w:color w:val="auto"/>
                <w:vertAlign w:val="subscript"/>
              </w:rPr>
              <w:t>​</w:t>
            </w:r>
          </w:p>
        </w:tc>
        <w:tc>
          <w:tcPr>
            <w:tcW w:w="660" w:type="dxa"/>
            <w:vAlign w:val="bottom"/>
            <w:gridSpan w:val="2"/>
          </w:tcPr>
          <w:p>
            <w:pPr>
              <w:jc w:val="right"/>
              <w:ind w:right="20"/>
              <w:spacing w:after="0"/>
              <w:rPr>
                <w:sz w:val="20"/>
                <w:szCs w:val="20"/>
                <w:color w:val="auto"/>
              </w:rPr>
            </w:pPr>
            <w:r>
              <w:rPr>
                <w:rFonts w:ascii="Arial" w:cs="Arial" w:eastAsia="Arial" w:hAnsi="Arial"/>
                <w:sz w:val="16"/>
                <w:szCs w:val="16"/>
                <w:color w:val="auto"/>
              </w:rPr>
              <w:t>251,250</w:t>
            </w:r>
          </w:p>
        </w:tc>
        <w:tc>
          <w:tcPr>
            <w:tcW w:w="20" w:type="dxa"/>
            <w:vAlign w:val="bottom"/>
          </w:tcPr>
          <w:p>
            <w:pPr>
              <w:spacing w:after="0"/>
              <w:rPr>
                <w:sz w:val="24"/>
                <w:szCs w:val="24"/>
                <w:color w:val="auto"/>
              </w:rPr>
            </w:pPr>
          </w:p>
        </w:tc>
        <w:tc>
          <w:tcPr>
            <w:tcW w:w="8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11"/>
        </w:trPr>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360" w:type="dxa"/>
            <w:vAlign w:val="bottom"/>
            <w:gridSpan w:val="2"/>
          </w:tcPr>
          <w:p>
            <w:pPr>
              <w:spacing w:after="0" w:line="310" w:lineRule="exact"/>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w:t>
            </w:r>
          </w:p>
        </w:tc>
        <w:tc>
          <w:tcPr>
            <w:tcW w:w="1040" w:type="dxa"/>
            <w:vAlign w:val="bottom"/>
            <w:gridSpan w:val="3"/>
          </w:tcPr>
          <w:p>
            <w:pPr>
              <w:ind w:left="160"/>
              <w:spacing w:after="0" w:line="310" w:lineRule="exact"/>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 1,013,277</w:t>
            </w:r>
          </w:p>
        </w:tc>
        <w:tc>
          <w:tcPr>
            <w:tcW w:w="300" w:type="dxa"/>
            <w:vAlign w:val="bottom"/>
            <w:gridSpan w:val="2"/>
          </w:tcPr>
          <w:p>
            <w:pPr>
              <w:ind w:left="60"/>
              <w:spacing w:after="0" w:line="310" w:lineRule="exact"/>
              <w:rPr>
                <w:sz w:val="20"/>
                <w:szCs w:val="20"/>
                <w:color w:val="auto"/>
              </w:rPr>
            </w:pPr>
            <w:r>
              <w:rPr>
                <w:rFonts w:ascii="Arial" w:cs="Arial" w:eastAsia="Arial" w:hAnsi="Arial"/>
                <w:sz w:val="16"/>
                <w:szCs w:val="16"/>
                <w:color w:val="auto"/>
              </w:rPr>
              <w:t>​​​​</w:t>
            </w:r>
            <w:r>
              <w:rPr>
                <w:rFonts w:ascii="Arial" w:cs="Arial" w:eastAsia="Arial" w:hAnsi="Arial"/>
                <w:sz w:val="32"/>
                <w:szCs w:val="32"/>
                <w:color w:val="auto"/>
                <w:vertAlign w:val="subscript"/>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675,518</w:t>
            </w:r>
          </w:p>
        </w:tc>
        <w:tc>
          <w:tcPr>
            <w:tcW w:w="260" w:type="dxa"/>
            <w:vAlign w:val="bottom"/>
            <w:gridSpan w:val="2"/>
          </w:tcPr>
          <w:p>
            <w:pPr>
              <w:jc w:val="right"/>
              <w:spacing w:after="0" w:line="310" w:lineRule="exact"/>
              <w:rPr>
                <w:sz w:val="20"/>
                <w:szCs w:val="20"/>
                <w:color w:val="auto"/>
              </w:rPr>
            </w:pPr>
            <w:r>
              <w:rPr>
                <w:rFonts w:ascii="Arial" w:cs="Arial" w:eastAsia="Arial" w:hAnsi="Arial"/>
                <w:sz w:val="16"/>
                <w:szCs w:val="16"/>
                <w:color w:val="auto"/>
              </w:rPr>
              <w:t>​​​ ​</w:t>
            </w:r>
            <w:r>
              <w:rPr>
                <w:rFonts w:ascii="Arial" w:cs="Arial" w:eastAsia="Arial" w:hAnsi="Arial"/>
                <w:sz w:val="32"/>
                <w:szCs w:val="32"/>
                <w:color w:val="auto"/>
                <w:vertAlign w:val="subscript"/>
              </w:rPr>
              <w:t>​</w:t>
            </w:r>
          </w:p>
        </w:tc>
        <w:tc>
          <w:tcPr>
            <w:tcW w:w="660" w:type="dxa"/>
            <w:vAlign w:val="bottom"/>
            <w:gridSpan w:val="2"/>
          </w:tcPr>
          <w:p>
            <w:pPr>
              <w:jc w:val="right"/>
              <w:ind w:right="20"/>
              <w:spacing w:after="0"/>
              <w:rPr>
                <w:sz w:val="20"/>
                <w:szCs w:val="20"/>
                <w:color w:val="auto"/>
              </w:rPr>
            </w:pPr>
            <w:r>
              <w:rPr>
                <w:rFonts w:ascii="Arial" w:cs="Arial" w:eastAsia="Arial" w:hAnsi="Arial"/>
                <w:sz w:val="16"/>
                <w:szCs w:val="16"/>
                <w:color w:val="auto"/>
              </w:rPr>
              <w:t>675,518</w:t>
            </w:r>
          </w:p>
        </w:tc>
        <w:tc>
          <w:tcPr>
            <w:tcW w:w="20" w:type="dxa"/>
            <w:vAlign w:val="bottom"/>
          </w:tcPr>
          <w:p>
            <w:pPr>
              <w:spacing w:after="0"/>
              <w:rPr>
                <w:sz w:val="24"/>
                <w:szCs w:val="24"/>
                <w:color w:val="auto"/>
              </w:rPr>
            </w:pPr>
          </w:p>
        </w:tc>
        <w:tc>
          <w:tcPr>
            <w:tcW w:w="8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
        </w:trPr>
        <w:tc>
          <w:tcPr>
            <w:tcW w:w="2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w:t>
            </w:r>
          </w:p>
        </w:tc>
        <w:tc>
          <w:tcPr>
            <w:tcW w:w="16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1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w:t>
            </w:r>
          </w:p>
        </w:tc>
        <w:tc>
          <w:tcPr>
            <w:tcW w:w="760" w:type="dxa"/>
            <w:vAlign w:val="bottom"/>
            <w:gridSpan w:val="3"/>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line="20" w:lineRule="exact"/>
              <w:rPr>
                <w:sz w:val="1"/>
                <w:szCs w:val="1"/>
                <w:color w:val="auto"/>
              </w:rPr>
            </w:pPr>
          </w:p>
        </w:tc>
      </w:tr>
      <w:tr>
        <w:trPr>
          <w:trHeight w:val="250"/>
        </w:trPr>
        <w:tc>
          <w:tcPr>
            <w:tcW w:w="260" w:type="dxa"/>
            <w:vAlign w:val="bottom"/>
            <w:vMerge w:val="continue"/>
          </w:tcPr>
          <w:p>
            <w:pPr>
              <w:spacing w:after="0"/>
              <w:rPr>
                <w:sz w:val="21"/>
                <w:szCs w:val="21"/>
                <w:color w:val="auto"/>
              </w:rPr>
            </w:pPr>
          </w:p>
        </w:tc>
        <w:tc>
          <w:tcPr>
            <w:tcW w:w="160" w:type="dxa"/>
            <w:vAlign w:val="bottom"/>
            <w:vMerge w:val="continue"/>
          </w:tcPr>
          <w:p>
            <w:pPr>
              <w:spacing w:after="0"/>
              <w:rPr>
                <w:sz w:val="21"/>
                <w:szCs w:val="21"/>
                <w:color w:val="auto"/>
              </w:rPr>
            </w:pPr>
          </w:p>
        </w:tc>
        <w:tc>
          <w:tcPr>
            <w:tcW w:w="180" w:type="dxa"/>
            <w:vAlign w:val="bottom"/>
          </w:tcPr>
          <w:p>
            <w:pPr>
              <w:spacing w:after="0" w:line="250" w:lineRule="exact"/>
              <w:rPr>
                <w:sz w:val="20"/>
                <w:szCs w:val="20"/>
                <w:color w:val="auto"/>
              </w:rPr>
            </w:pPr>
            <w:r>
              <w:rPr>
                <w:rFonts w:ascii="Arial" w:cs="Arial" w:eastAsia="Arial" w:hAnsi="Arial"/>
                <w:sz w:val="28"/>
                <w:szCs w:val="28"/>
                <w:b w:val="1"/>
                <w:bCs w:val="1"/>
                <w:color w:val="auto"/>
                <w:vertAlign w:val="superscript"/>
              </w:rPr>
              <w:t>​</w:t>
            </w:r>
            <w:r>
              <w:rPr>
                <w:rFonts w:ascii="Arial" w:cs="Arial" w:eastAsia="Arial" w:hAnsi="Arial"/>
                <w:sz w:val="15"/>
                <w:szCs w:val="15"/>
                <w:b w:val="1"/>
                <w:bCs w:val="1"/>
                <w:color w:val="auto"/>
              </w:rPr>
              <w:t>​—</w:t>
            </w:r>
          </w:p>
        </w:tc>
        <w:tc>
          <w:tcPr>
            <w:tcW w:w="180" w:type="dxa"/>
            <w:vAlign w:val="bottom"/>
            <w:vMerge w:val="continue"/>
          </w:tcPr>
          <w:p>
            <w:pPr>
              <w:spacing w:after="0"/>
              <w:rPr>
                <w:sz w:val="21"/>
                <w:szCs w:val="21"/>
                <w:color w:val="auto"/>
              </w:rPr>
            </w:pPr>
          </w:p>
        </w:tc>
        <w:tc>
          <w:tcPr>
            <w:tcW w:w="1040" w:type="dxa"/>
            <w:vAlign w:val="bottom"/>
            <w:gridSpan w:val="3"/>
          </w:tcPr>
          <w:p>
            <w:pPr>
              <w:ind w:left="160"/>
              <w:spacing w:after="0" w:line="250" w:lineRule="exact"/>
              <w:rPr>
                <w:sz w:val="20"/>
                <w:szCs w:val="20"/>
                <w:color w:val="auto"/>
              </w:rPr>
            </w:pPr>
            <w:r>
              <w:rPr>
                <w:rFonts w:ascii="Arial" w:cs="Arial" w:eastAsia="Arial" w:hAnsi="Arial"/>
                <w:sz w:val="28"/>
                <w:szCs w:val="28"/>
                <w:b w:val="1"/>
                <w:bCs w:val="1"/>
                <w:color w:val="auto"/>
                <w:vertAlign w:val="superscript"/>
              </w:rPr>
              <w:t>​​</w:t>
            </w:r>
            <w:r>
              <w:rPr>
                <w:rFonts w:ascii="Arial" w:cs="Arial" w:eastAsia="Arial" w:hAnsi="Arial"/>
                <w:sz w:val="15"/>
                <w:szCs w:val="15"/>
                <w:b w:val="1"/>
                <w:bCs w:val="1"/>
                <w:color w:val="auto"/>
              </w:rPr>
              <w:t>​ 2,006,443</w:t>
            </w:r>
          </w:p>
        </w:tc>
        <w:tc>
          <w:tcPr>
            <w:tcW w:w="960" w:type="dxa"/>
            <w:vAlign w:val="bottom"/>
            <w:gridSpan w:val="3"/>
          </w:tcPr>
          <w:p>
            <w:pPr>
              <w:ind w:left="60"/>
              <w:spacing w:after="0" w:line="250" w:lineRule="exact"/>
              <w:rPr>
                <w:sz w:val="20"/>
                <w:szCs w:val="20"/>
                <w:color w:val="auto"/>
              </w:rPr>
            </w:pPr>
            <w:r>
              <w:rPr>
                <w:rFonts w:ascii="Arial" w:cs="Arial" w:eastAsia="Arial" w:hAnsi="Arial"/>
                <w:sz w:val="28"/>
                <w:szCs w:val="28"/>
                <w:b w:val="1"/>
                <w:bCs w:val="1"/>
                <w:color w:val="auto"/>
                <w:vertAlign w:val="superscript"/>
              </w:rPr>
              <w:t>​​​​</w:t>
            </w:r>
            <w:r>
              <w:rPr>
                <w:rFonts w:ascii="Arial" w:cs="Arial" w:eastAsia="Arial" w:hAnsi="Arial"/>
                <w:sz w:val="15"/>
                <w:szCs w:val="15"/>
                <w:b w:val="1"/>
                <w:bCs w:val="1"/>
                <w:color w:val="auto"/>
              </w:rPr>
              <w:t>​ 1,333,684</w:t>
            </w:r>
          </w:p>
        </w:tc>
        <w:tc>
          <w:tcPr>
            <w:tcW w:w="160" w:type="dxa"/>
            <w:vAlign w:val="bottom"/>
            <w:vMerge w:val="continue"/>
          </w:tcPr>
          <w:p>
            <w:pPr>
              <w:spacing w:after="0"/>
              <w:rPr>
                <w:sz w:val="21"/>
                <w:szCs w:val="21"/>
                <w:color w:val="auto"/>
              </w:rPr>
            </w:pPr>
          </w:p>
        </w:tc>
        <w:tc>
          <w:tcPr>
            <w:tcW w:w="760" w:type="dxa"/>
            <w:vAlign w:val="bottom"/>
            <w:gridSpan w:val="3"/>
          </w:tcPr>
          <w:p>
            <w:pPr>
              <w:jc w:val="right"/>
              <w:ind w:right="20"/>
              <w:spacing w:after="0" w:line="250" w:lineRule="exact"/>
              <w:rPr>
                <w:sz w:val="20"/>
                <w:szCs w:val="20"/>
                <w:color w:val="auto"/>
              </w:rPr>
            </w:pPr>
            <w:r>
              <w:rPr>
                <w:rFonts w:ascii="Arial" w:cs="Arial" w:eastAsia="Arial" w:hAnsi="Arial"/>
                <w:sz w:val="28"/>
                <w:szCs w:val="28"/>
                <w:b w:val="1"/>
                <w:bCs w:val="1"/>
                <w:color w:val="auto"/>
                <w:vertAlign w:val="superscript"/>
              </w:rPr>
              <w:t>​</w:t>
            </w:r>
            <w:r>
              <w:rPr>
                <w:rFonts w:ascii="Arial" w:cs="Arial" w:eastAsia="Arial" w:hAnsi="Arial"/>
                <w:sz w:val="15"/>
                <w:szCs w:val="15"/>
                <w:b w:val="1"/>
                <w:bCs w:val="1"/>
                <w:color w:val="auto"/>
              </w:rPr>
              <w:t>​1,333,684</w:t>
            </w:r>
          </w:p>
        </w:tc>
        <w:tc>
          <w:tcPr>
            <w:tcW w:w="20" w:type="dxa"/>
            <w:vAlign w:val="bottom"/>
            <w:vMerge w:val="continue"/>
          </w:tcPr>
          <w:p>
            <w:pPr>
              <w:spacing w:after="0"/>
              <w:rPr>
                <w:sz w:val="21"/>
                <w:szCs w:val="21"/>
                <w:color w:val="auto"/>
              </w:rPr>
            </w:pPr>
          </w:p>
        </w:tc>
        <w:tc>
          <w:tcPr>
            <w:tcW w:w="8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60" w:type="dxa"/>
            <w:vAlign w:val="bottom"/>
            <w:vMerge w:val="restart"/>
          </w:tcPr>
          <w:p>
            <w:pPr>
              <w:jc w:val="right"/>
              <w:ind w:right="59"/>
              <w:spacing w:after="0"/>
              <w:rPr>
                <w:sz w:val="20"/>
                <w:szCs w:val="20"/>
                <w:color w:val="auto"/>
              </w:rPr>
            </w:pPr>
            <w:r>
              <w:rPr>
                <w:rFonts w:ascii="Arial" w:cs="Arial" w:eastAsia="Arial" w:hAnsi="Arial"/>
                <w:sz w:val="16"/>
                <w:szCs w:val="16"/>
                <w:color w:val="auto"/>
              </w:rPr>
              <w:t>​​</w:t>
            </w:r>
          </w:p>
        </w:tc>
        <w:tc>
          <w:tcPr>
            <w:tcW w:w="16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line="20" w:lineRule="exact"/>
              <w:rPr>
                <w:sz w:val="1"/>
                <w:szCs w:val="1"/>
                <w:color w:val="auto"/>
              </w:rPr>
            </w:pPr>
          </w:p>
        </w:tc>
      </w:tr>
      <w:tr>
        <w:trPr>
          <w:trHeight w:val="208"/>
        </w:trPr>
        <w:tc>
          <w:tcPr>
            <w:tcW w:w="260" w:type="dxa"/>
            <w:vAlign w:val="bottom"/>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180" w:type="dxa"/>
            <w:vAlign w:val="bottom"/>
            <w:vMerge w:val="continue"/>
          </w:tcPr>
          <w:p>
            <w:pPr>
              <w:spacing w:after="0"/>
              <w:rPr>
                <w:sz w:val="18"/>
                <w:szCs w:val="18"/>
                <w:color w:val="auto"/>
              </w:rPr>
            </w:pPr>
          </w:p>
        </w:tc>
        <w:tc>
          <w:tcPr>
            <w:tcW w:w="36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18"/>
                <w:szCs w:val="18"/>
                <w:color w:val="auto"/>
              </w:rPr>
            </w:pPr>
          </w:p>
        </w:tc>
        <w:tc>
          <w:tcPr>
            <w:tcW w:w="30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vMerge w:val="continue"/>
          </w:tcPr>
          <w:p>
            <w:pPr>
              <w:spacing w:after="0"/>
              <w:rPr>
                <w:sz w:val="18"/>
                <w:szCs w:val="18"/>
                <w:color w:val="auto"/>
              </w:rPr>
            </w:pPr>
          </w:p>
        </w:tc>
        <w:tc>
          <w:tcPr>
            <w:tcW w:w="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gridSpan w:val="2"/>
          </w:tcPr>
          <w:p>
            <w:pPr>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290,841</w:t>
            </w:r>
          </w:p>
        </w:tc>
        <w:tc>
          <w:tcPr>
            <w:tcW w:w="160" w:type="dxa"/>
            <w:vAlign w:val="bottom"/>
          </w:tcPr>
          <w:p>
            <w:pPr>
              <w:spacing w:after="0"/>
              <w:rPr>
                <w:sz w:val="17"/>
                <w:szCs w:val="17"/>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290,841</w:t>
            </w:r>
          </w:p>
        </w:tc>
        <w:tc>
          <w:tcPr>
            <w:tcW w:w="1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6"/>
                <w:szCs w:val="16"/>
                <w:color w:val="auto"/>
              </w:rPr>
              <w:t>290,841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7"/>
        </w:trPr>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520" w:type="dxa"/>
            <w:vAlign w:val="bottom"/>
            <w:gridSpan w:val="3"/>
          </w:tcPr>
          <w:p>
            <w:pPr>
              <w:ind w:left="160"/>
              <w:spacing w:after="0" w:line="296" w:lineRule="exact"/>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w:t>
            </w:r>
          </w:p>
        </w:tc>
        <w:tc>
          <w:tcPr>
            <w:tcW w:w="360" w:type="dxa"/>
            <w:vAlign w:val="bottom"/>
            <w:gridSpan w:val="2"/>
          </w:tcPr>
          <w:p>
            <w:pPr>
              <w:ind w:left="160"/>
              <w:spacing w:after="0" w:line="296" w:lineRule="exact"/>
              <w:rPr>
                <w:sz w:val="20"/>
                <w:szCs w:val="20"/>
                <w:color w:val="auto"/>
              </w:rPr>
            </w:pPr>
            <w:r>
              <w:rPr>
                <w:rFonts w:ascii="Arial" w:cs="Arial" w:eastAsia="Arial" w:hAnsi="Arial"/>
                <w:sz w:val="16"/>
                <w:szCs w:val="16"/>
                <w:color w:val="auto"/>
              </w:rPr>
              <w:t>​​</w:t>
            </w:r>
            <w:r>
              <w:rPr>
                <w:rFonts w:ascii="Arial" w:cs="Arial" w:eastAsia="Arial" w:hAnsi="Arial"/>
                <w:sz w:val="32"/>
                <w:szCs w:val="32"/>
                <w:color w:val="auto"/>
                <w:vertAlign w:val="subscript"/>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300,000</w:t>
            </w:r>
          </w:p>
        </w:tc>
        <w:tc>
          <w:tcPr>
            <w:tcW w:w="300" w:type="dxa"/>
            <w:vAlign w:val="bottom"/>
            <w:gridSpan w:val="2"/>
          </w:tcPr>
          <w:p>
            <w:pPr>
              <w:ind w:left="60"/>
              <w:spacing w:after="0" w:line="296" w:lineRule="exact"/>
              <w:rPr>
                <w:sz w:val="20"/>
                <w:szCs w:val="20"/>
                <w:color w:val="auto"/>
              </w:rPr>
            </w:pPr>
            <w:r>
              <w:rPr>
                <w:rFonts w:ascii="Arial" w:cs="Arial" w:eastAsia="Arial" w:hAnsi="Arial"/>
                <w:sz w:val="16"/>
                <w:szCs w:val="16"/>
                <w:color w:val="auto"/>
              </w:rPr>
              <w:t>​​​​</w:t>
            </w:r>
            <w:r>
              <w:rPr>
                <w:rFonts w:ascii="Arial" w:cs="Arial" w:eastAsia="Arial" w:hAnsi="Arial"/>
                <w:sz w:val="32"/>
                <w:szCs w:val="32"/>
                <w:color w:val="auto"/>
                <w:vertAlign w:val="subscript"/>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line="296" w:lineRule="exact"/>
              <w:rPr>
                <w:sz w:val="20"/>
                <w:szCs w:val="20"/>
                <w:color w:val="auto"/>
              </w:rPr>
            </w:pPr>
            <w:r>
              <w:rPr>
                <w:rFonts w:ascii="Arial" w:cs="Arial" w:eastAsia="Arial" w:hAnsi="Arial"/>
                <w:sz w:val="16"/>
                <w:szCs w:val="16"/>
                <w:color w:val="auto"/>
              </w:rPr>
              <w:t>​​​ ​</w:t>
            </w:r>
            <w:r>
              <w:rPr>
                <w:rFonts w:ascii="Arial" w:cs="Arial" w:eastAsia="Arial" w:hAnsi="Arial"/>
                <w:sz w:val="32"/>
                <w:szCs w:val="32"/>
                <w:color w:val="auto"/>
                <w:vertAlign w:val="subscript"/>
              </w:rPr>
              <w:t>​</w:t>
            </w:r>
          </w:p>
        </w:tc>
        <w:tc>
          <w:tcPr>
            <w:tcW w:w="760" w:type="dxa"/>
            <w:vAlign w:val="bottom"/>
            <w:gridSpan w:val="5"/>
          </w:tcPr>
          <w:p>
            <w:pPr>
              <w:jc w:val="right"/>
              <w:spacing w:after="0" w:line="296" w:lineRule="exact"/>
              <w:rPr>
                <w:sz w:val="20"/>
                <w:szCs w:val="20"/>
                <w:color w:val="auto"/>
              </w:rPr>
            </w:pPr>
            <w:r>
              <w:rPr>
                <w:rFonts w:ascii="Arial" w:cs="Arial" w:eastAsia="Arial" w:hAnsi="Arial"/>
                <w:sz w:val="16"/>
                <w:szCs w:val="16"/>
                <w:color w:val="auto"/>
              </w:rPr>
              <w:t xml:space="preserve">— </w:t>
            </w:r>
            <w:r>
              <w:rPr>
                <w:rFonts w:ascii="Arial" w:cs="Arial" w:eastAsia="Arial" w:hAnsi="Arial"/>
                <w:sz w:val="32"/>
                <w:szCs w:val="32"/>
                <w:b w:val="1"/>
                <w:bCs w:val="1"/>
                <w:color w:val="auto"/>
                <w:vertAlign w:val="superscript"/>
              </w:rPr>
              <w:t>​</w:t>
            </w:r>
          </w:p>
        </w:tc>
        <w:tc>
          <w:tcPr>
            <w:tcW w:w="0" w:type="dxa"/>
            <w:vAlign w:val="bottom"/>
          </w:tcPr>
          <w:p>
            <w:pPr>
              <w:spacing w:after="0"/>
              <w:rPr>
                <w:sz w:val="1"/>
                <w:szCs w:val="1"/>
                <w:color w:val="auto"/>
              </w:rPr>
            </w:pPr>
          </w:p>
        </w:tc>
      </w:tr>
      <w:tr>
        <w:trPr>
          <w:trHeight w:val="418"/>
        </w:trPr>
        <w:tc>
          <w:tcPr>
            <w:tcW w:w="260" w:type="dxa"/>
            <w:vAlign w:val="bottom"/>
            <w:tcBorders>
              <w:left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520" w:type="dxa"/>
            <w:vAlign w:val="bottom"/>
            <w:gridSpan w:val="3"/>
            <w:shd w:val="clear" w:color="auto" w:fill="CCEEFF"/>
          </w:tcPr>
          <w:p>
            <w:pPr>
              <w:ind w:left="160"/>
              <w:spacing w:after="0"/>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w:t>
            </w: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r>
              <w:rPr>
                <w:rFonts w:ascii="Arial" w:cs="Arial" w:eastAsia="Arial" w:hAnsi="Arial"/>
                <w:sz w:val="32"/>
                <w:szCs w:val="32"/>
                <w:color w:val="auto"/>
                <w:vertAlign w:val="subscript"/>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225,000</w:t>
            </w:r>
          </w:p>
        </w:tc>
        <w:tc>
          <w:tcPr>
            <w:tcW w:w="300" w:type="dxa"/>
            <w:vAlign w:val="bottom"/>
            <w:tcBorders>
              <w:left w:val="single" w:sz="8" w:color="CCEEFF"/>
            </w:tcBorders>
            <w:gridSpan w:val="2"/>
            <w:shd w:val="clear" w:color="auto" w:fill="CCEEFF"/>
          </w:tcPr>
          <w:p>
            <w:pPr>
              <w:ind w:left="60"/>
              <w:spacing w:after="0"/>
              <w:rPr>
                <w:sz w:val="20"/>
                <w:szCs w:val="20"/>
                <w:color w:val="auto"/>
              </w:rPr>
            </w:pPr>
            <w:r>
              <w:rPr>
                <w:rFonts w:ascii="Arial" w:cs="Arial" w:eastAsia="Arial" w:hAnsi="Arial"/>
                <w:sz w:val="16"/>
                <w:szCs w:val="16"/>
                <w:color w:val="auto"/>
              </w:rPr>
              <w:t>​​​​</w:t>
            </w:r>
            <w:r>
              <w:rPr>
                <w:rFonts w:ascii="Arial" w:cs="Arial" w:eastAsia="Arial" w:hAnsi="Arial"/>
                <w:sz w:val="32"/>
                <w:szCs w:val="32"/>
                <w:color w:val="auto"/>
                <w:vertAlign w:val="subscript"/>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225,000</w:t>
            </w:r>
          </w:p>
        </w:tc>
        <w:tc>
          <w:tcPr>
            <w:tcW w:w="2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32"/>
                <w:szCs w:val="32"/>
                <w:color w:val="auto"/>
                <w:vertAlign w:val="subscript"/>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225,000</w:t>
            </w: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11"/>
        </w:trPr>
        <w:tc>
          <w:tcPr>
            <w:tcW w:w="260" w:type="dxa"/>
            <w:vAlign w:val="bottom"/>
            <w:tcBorders>
              <w:left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360" w:type="dxa"/>
            <w:vAlign w:val="bottom"/>
            <w:gridSpan w:val="2"/>
            <w:shd w:val="clear" w:color="auto" w:fill="CCEEFF"/>
          </w:tcPr>
          <w:p>
            <w:pPr>
              <w:spacing w:after="0" w:line="310" w:lineRule="exact"/>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w:t>
            </w:r>
          </w:p>
        </w:tc>
        <w:tc>
          <w:tcPr>
            <w:tcW w:w="360" w:type="dxa"/>
            <w:vAlign w:val="bottom"/>
            <w:gridSpan w:val="2"/>
            <w:shd w:val="clear" w:color="auto" w:fill="CCEEFF"/>
          </w:tcPr>
          <w:p>
            <w:pPr>
              <w:ind w:left="160"/>
              <w:spacing w:after="0" w:line="310" w:lineRule="exact"/>
              <w:rPr>
                <w:sz w:val="20"/>
                <w:szCs w:val="20"/>
                <w:color w:val="auto"/>
              </w:rPr>
            </w:pPr>
            <w:r>
              <w:rPr>
                <w:rFonts w:ascii="Arial" w:cs="Arial" w:eastAsia="Arial" w:hAnsi="Arial"/>
                <w:sz w:val="16"/>
                <w:szCs w:val="16"/>
                <w:color w:val="auto"/>
              </w:rPr>
              <w:t>​​</w:t>
            </w:r>
            <w:r>
              <w:rPr>
                <w:rFonts w:ascii="Arial" w:cs="Arial" w:eastAsia="Arial" w:hAnsi="Arial"/>
                <w:sz w:val="32"/>
                <w:szCs w:val="32"/>
                <w:color w:val="auto"/>
                <w:vertAlign w:val="subscript"/>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613,854</w:t>
            </w:r>
          </w:p>
        </w:tc>
        <w:tc>
          <w:tcPr>
            <w:tcW w:w="300" w:type="dxa"/>
            <w:vAlign w:val="bottom"/>
            <w:tcBorders>
              <w:left w:val="single" w:sz="8" w:color="CCEEFF"/>
            </w:tcBorders>
            <w:gridSpan w:val="2"/>
            <w:shd w:val="clear" w:color="auto" w:fill="CCEEFF"/>
          </w:tcPr>
          <w:p>
            <w:pPr>
              <w:ind w:left="60"/>
              <w:spacing w:after="0" w:line="310" w:lineRule="exact"/>
              <w:rPr>
                <w:sz w:val="20"/>
                <w:szCs w:val="20"/>
                <w:color w:val="auto"/>
              </w:rPr>
            </w:pPr>
            <w:r>
              <w:rPr>
                <w:rFonts w:ascii="Arial" w:cs="Arial" w:eastAsia="Arial" w:hAnsi="Arial"/>
                <w:sz w:val="16"/>
                <w:szCs w:val="16"/>
                <w:color w:val="auto"/>
              </w:rPr>
              <w:t>​​​​</w:t>
            </w:r>
            <w:r>
              <w:rPr>
                <w:rFonts w:ascii="Arial" w:cs="Arial" w:eastAsia="Arial" w:hAnsi="Arial"/>
                <w:sz w:val="32"/>
                <w:szCs w:val="32"/>
                <w:color w:val="auto"/>
                <w:vertAlign w:val="subscript"/>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409,236</w:t>
            </w:r>
          </w:p>
        </w:tc>
        <w:tc>
          <w:tcPr>
            <w:tcW w:w="260" w:type="dxa"/>
            <w:vAlign w:val="bottom"/>
            <w:tcBorders>
              <w:left w:val="single" w:sz="8" w:color="CCEEFF"/>
            </w:tcBorders>
            <w:gridSpan w:val="2"/>
            <w:shd w:val="clear" w:color="auto" w:fill="CCEEFF"/>
          </w:tcPr>
          <w:p>
            <w:pPr>
              <w:jc w:val="right"/>
              <w:spacing w:after="0" w:line="310" w:lineRule="exact"/>
              <w:rPr>
                <w:sz w:val="20"/>
                <w:szCs w:val="20"/>
                <w:color w:val="auto"/>
              </w:rPr>
            </w:pPr>
            <w:r>
              <w:rPr>
                <w:rFonts w:ascii="Arial" w:cs="Arial" w:eastAsia="Arial" w:hAnsi="Arial"/>
                <w:sz w:val="16"/>
                <w:szCs w:val="16"/>
                <w:color w:val="auto"/>
              </w:rPr>
              <w:t>​​​ ​</w:t>
            </w:r>
            <w:r>
              <w:rPr>
                <w:rFonts w:ascii="Arial" w:cs="Arial" w:eastAsia="Arial" w:hAnsi="Arial"/>
                <w:sz w:val="32"/>
                <w:szCs w:val="32"/>
                <w:color w:val="auto"/>
                <w:vertAlign w:val="subscript"/>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409,236</w:t>
            </w: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
        </w:trPr>
        <w:tc>
          <w:tcPr>
            <w:tcW w:w="260" w:type="dxa"/>
            <w:vAlign w:val="bottom"/>
            <w:tcBorders>
              <w:left w:val="single" w:sz="8" w:color="CCEEFF"/>
            </w:tcBorders>
            <w:vMerge w:val="restart"/>
          </w:tcPr>
          <w:p>
            <w:pPr>
              <w:jc w:val="right"/>
              <w:ind w:right="59"/>
              <w:spacing w:after="0"/>
              <w:rPr>
                <w:sz w:val="20"/>
                <w:szCs w:val="20"/>
                <w:color w:val="auto"/>
              </w:rPr>
            </w:pPr>
            <w:r>
              <w:rPr>
                <w:rFonts w:ascii="Arial" w:cs="Arial" w:eastAsia="Arial" w:hAnsi="Arial"/>
                <w:sz w:val="16"/>
                <w:szCs w:val="16"/>
                <w:b w:val="1"/>
                <w:bCs w:val="1"/>
                <w:color w:val="auto"/>
              </w:rPr>
              <w:t>​​</w:t>
            </w:r>
          </w:p>
        </w:tc>
        <w:tc>
          <w:tcPr>
            <w:tcW w:w="16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line="20" w:lineRule="exact"/>
              <w:rPr>
                <w:sz w:val="1"/>
                <w:szCs w:val="1"/>
                <w:color w:val="auto"/>
              </w:rPr>
            </w:pPr>
          </w:p>
        </w:tc>
      </w:tr>
      <w:tr>
        <w:trPr>
          <w:trHeight w:val="250"/>
        </w:trPr>
        <w:tc>
          <w:tcPr>
            <w:tcW w:w="260" w:type="dxa"/>
            <w:vAlign w:val="bottom"/>
            <w:tcBorders>
              <w:left w:val="single" w:sz="8" w:color="CCEEFF"/>
            </w:tcBorders>
            <w:vMerge w:val="continue"/>
          </w:tcPr>
          <w:p>
            <w:pPr>
              <w:spacing w:after="0"/>
              <w:rPr>
                <w:sz w:val="21"/>
                <w:szCs w:val="21"/>
                <w:color w:val="auto"/>
              </w:rPr>
            </w:pPr>
          </w:p>
        </w:tc>
        <w:tc>
          <w:tcPr>
            <w:tcW w:w="160" w:type="dxa"/>
            <w:vAlign w:val="bottom"/>
            <w:vMerge w:val="continue"/>
          </w:tcPr>
          <w:p>
            <w:pPr>
              <w:spacing w:after="0"/>
              <w:rPr>
                <w:sz w:val="21"/>
                <w:szCs w:val="21"/>
                <w:color w:val="auto"/>
              </w:rPr>
            </w:pPr>
          </w:p>
        </w:tc>
        <w:tc>
          <w:tcPr>
            <w:tcW w:w="180" w:type="dxa"/>
            <w:vAlign w:val="bottom"/>
          </w:tcPr>
          <w:p>
            <w:pPr>
              <w:spacing w:after="0" w:line="250" w:lineRule="exact"/>
              <w:rPr>
                <w:sz w:val="20"/>
                <w:szCs w:val="20"/>
                <w:color w:val="auto"/>
              </w:rPr>
            </w:pPr>
            <w:r>
              <w:rPr>
                <w:rFonts w:ascii="Arial" w:cs="Arial" w:eastAsia="Arial" w:hAnsi="Arial"/>
                <w:sz w:val="28"/>
                <w:szCs w:val="28"/>
                <w:b w:val="1"/>
                <w:bCs w:val="1"/>
                <w:color w:val="auto"/>
                <w:vertAlign w:val="superscript"/>
              </w:rPr>
              <w:t>​</w:t>
            </w:r>
            <w:r>
              <w:rPr>
                <w:rFonts w:ascii="Arial" w:cs="Arial" w:eastAsia="Arial" w:hAnsi="Arial"/>
                <w:sz w:val="15"/>
                <w:szCs w:val="15"/>
                <w:b w:val="1"/>
                <w:bCs w:val="1"/>
                <w:color w:val="auto"/>
              </w:rPr>
              <w:t>​—</w:t>
            </w:r>
          </w:p>
        </w:tc>
        <w:tc>
          <w:tcPr>
            <w:tcW w:w="180" w:type="dxa"/>
            <w:vAlign w:val="bottom"/>
          </w:tcPr>
          <w:p>
            <w:pPr>
              <w:spacing w:after="0"/>
              <w:rPr>
                <w:sz w:val="21"/>
                <w:szCs w:val="21"/>
                <w:color w:val="auto"/>
              </w:rPr>
            </w:pPr>
          </w:p>
        </w:tc>
        <w:tc>
          <w:tcPr>
            <w:tcW w:w="1040" w:type="dxa"/>
            <w:vAlign w:val="bottom"/>
            <w:gridSpan w:val="3"/>
          </w:tcPr>
          <w:p>
            <w:pPr>
              <w:ind w:left="160"/>
              <w:spacing w:after="0" w:line="250" w:lineRule="exact"/>
              <w:rPr>
                <w:sz w:val="20"/>
                <w:szCs w:val="20"/>
                <w:color w:val="auto"/>
              </w:rPr>
            </w:pPr>
            <w:r>
              <w:rPr>
                <w:rFonts w:ascii="Arial" w:cs="Arial" w:eastAsia="Arial" w:hAnsi="Arial"/>
                <w:sz w:val="28"/>
                <w:szCs w:val="28"/>
                <w:b w:val="1"/>
                <w:bCs w:val="1"/>
                <w:color w:val="auto"/>
                <w:vertAlign w:val="superscript"/>
              </w:rPr>
              <w:t>​​</w:t>
            </w:r>
            <w:r>
              <w:rPr>
                <w:rFonts w:ascii="Arial" w:cs="Arial" w:eastAsia="Arial" w:hAnsi="Arial"/>
                <w:sz w:val="15"/>
                <w:szCs w:val="15"/>
                <w:b w:val="1"/>
                <w:bCs w:val="1"/>
                <w:color w:val="auto"/>
              </w:rPr>
              <w:t>​ 1,429,695</w:t>
            </w:r>
          </w:p>
        </w:tc>
        <w:tc>
          <w:tcPr>
            <w:tcW w:w="300" w:type="dxa"/>
            <w:vAlign w:val="bottom"/>
            <w:gridSpan w:val="2"/>
          </w:tcPr>
          <w:p>
            <w:pPr>
              <w:ind w:left="60"/>
              <w:spacing w:after="0" w:line="250" w:lineRule="exact"/>
              <w:rPr>
                <w:sz w:val="20"/>
                <w:szCs w:val="20"/>
                <w:color w:val="auto"/>
              </w:rPr>
            </w:pPr>
            <w:r>
              <w:rPr>
                <w:rFonts w:ascii="Arial" w:cs="Arial" w:eastAsia="Arial" w:hAnsi="Arial"/>
                <w:sz w:val="15"/>
                <w:szCs w:val="15"/>
                <w:b w:val="1"/>
                <w:bCs w:val="1"/>
                <w:color w:val="auto"/>
              </w:rPr>
              <w:t>​​​​</w:t>
            </w:r>
            <w:r>
              <w:rPr>
                <w:rFonts w:ascii="Arial" w:cs="Arial" w:eastAsia="Arial" w:hAnsi="Arial"/>
                <w:sz w:val="28"/>
                <w:szCs w:val="28"/>
                <w:b w:val="1"/>
                <w:bCs w:val="1"/>
                <w:color w:val="auto"/>
                <w:vertAlign w:val="subscript"/>
              </w:rPr>
              <w:t>​</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925,077</w:t>
            </w:r>
          </w:p>
        </w:tc>
        <w:tc>
          <w:tcPr>
            <w:tcW w:w="160" w:type="dxa"/>
            <w:vAlign w:val="bottom"/>
          </w:tcPr>
          <w:p>
            <w:pPr>
              <w:ind w:left="2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jc w:val="right"/>
              <w:spacing w:after="0" w:line="250" w:lineRule="exact"/>
              <w:rPr>
                <w:sz w:val="20"/>
                <w:szCs w:val="20"/>
                <w:color w:val="auto"/>
              </w:rPr>
            </w:pPr>
            <w:r>
              <w:rPr>
                <w:rFonts w:ascii="Arial" w:cs="Arial" w:eastAsia="Arial" w:hAnsi="Arial"/>
                <w:sz w:val="28"/>
                <w:szCs w:val="28"/>
                <w:b w:val="1"/>
                <w:bCs w:val="1"/>
                <w:color w:val="auto"/>
                <w:vertAlign w:val="superscript"/>
              </w:rPr>
              <w:t>​</w:t>
            </w:r>
            <w:r>
              <w:rPr>
                <w:rFonts w:ascii="Arial" w:cs="Arial" w:eastAsia="Arial" w:hAnsi="Arial"/>
                <w:sz w:val="15"/>
                <w:szCs w:val="15"/>
                <w:b w:val="1"/>
                <w:bCs w:val="1"/>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925,077</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60" w:type="dxa"/>
            <w:vAlign w:val="bottom"/>
            <w:tcBorders>
              <w:left w:val="single" w:sz="8" w:color="CCEE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line="20" w:lineRule="exact"/>
              <w:rPr>
                <w:sz w:val="1"/>
                <w:szCs w:val="1"/>
                <w:color w:val="auto"/>
              </w:rPr>
            </w:pPr>
          </w:p>
        </w:tc>
      </w:tr>
      <w:tr>
        <w:trPr>
          <w:trHeight w:val="338"/>
        </w:trPr>
        <w:tc>
          <w:tcPr>
            <w:tcW w:w="260" w:type="dxa"/>
            <w:vAlign w:val="bottom"/>
            <w:tcBorders>
              <w:left w:val="single" w:sz="8" w:color="CCEEFF"/>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24"/>
                <w:szCs w:val="24"/>
                <w:color w:val="auto"/>
              </w:rPr>
            </w:pPr>
          </w:p>
        </w:tc>
        <w:tc>
          <w:tcPr>
            <w:tcW w:w="180" w:type="dxa"/>
            <w:vAlign w:val="bottom"/>
            <w:shd w:val="clear" w:color="auto" w:fill="CCEEFF"/>
          </w:tcPr>
          <w:p>
            <w:pPr>
              <w:spacing w:after="0" w:line="318" w:lineRule="exact"/>
              <w:rPr>
                <w:sz w:val="20"/>
                <w:szCs w:val="20"/>
                <w:color w:val="auto"/>
              </w:rPr>
            </w:pPr>
            <w:r>
              <w:rPr>
                <w:rFonts w:ascii="Arial" w:cs="Arial" w:eastAsia="Arial" w:hAnsi="Arial"/>
                <w:sz w:val="32"/>
                <w:szCs w:val="32"/>
                <w:b w:val="1"/>
                <w:bCs w:val="1"/>
                <w:color w:val="auto"/>
                <w:w w:val="99"/>
                <w:vertAlign w:val="superscript"/>
              </w:rPr>
              <w:t>​</w:t>
            </w:r>
            <w:r>
              <w:rPr>
                <w:rFonts w:ascii="Arial" w:cs="Arial" w:eastAsia="Arial" w:hAnsi="Arial"/>
                <w:sz w:val="16"/>
                <w:szCs w:val="16"/>
                <w:b w:val="1"/>
                <w:bCs w:val="1"/>
                <w:color w:val="auto"/>
                <w:w w:val="99"/>
              </w:rPr>
              <w:t>​—</w:t>
            </w:r>
          </w:p>
        </w:tc>
        <w:tc>
          <w:tcPr>
            <w:tcW w:w="180" w:type="dxa"/>
            <w:vAlign w:val="bottom"/>
            <w:shd w:val="clear" w:color="auto" w:fill="CCEEFF"/>
          </w:tcPr>
          <w:p>
            <w:pPr>
              <w:spacing w:after="0"/>
              <w:rPr>
                <w:sz w:val="24"/>
                <w:szCs w:val="24"/>
                <w:color w:val="auto"/>
              </w:rPr>
            </w:pPr>
          </w:p>
        </w:tc>
        <w:tc>
          <w:tcPr>
            <w:tcW w:w="1040" w:type="dxa"/>
            <w:vAlign w:val="bottom"/>
            <w:gridSpan w:val="3"/>
            <w:shd w:val="clear" w:color="auto" w:fill="CCEEFF"/>
          </w:tcPr>
          <w:p>
            <w:pPr>
              <w:ind w:left="160"/>
              <w:spacing w:after="0" w:line="318" w:lineRule="exact"/>
              <w:rPr>
                <w:sz w:val="20"/>
                <w:szCs w:val="20"/>
                <w:color w:val="auto"/>
              </w:rPr>
            </w:pPr>
            <w:r>
              <w:rPr>
                <w:rFonts w:ascii="Arial" w:cs="Arial" w:eastAsia="Arial" w:hAnsi="Arial"/>
                <w:sz w:val="32"/>
                <w:szCs w:val="32"/>
                <w:b w:val="1"/>
                <w:bCs w:val="1"/>
                <w:color w:val="auto"/>
                <w:vertAlign w:val="superscript"/>
              </w:rPr>
              <w:t>​​</w:t>
            </w:r>
            <w:r>
              <w:rPr>
                <w:rFonts w:ascii="Arial" w:cs="Arial" w:eastAsia="Arial" w:hAnsi="Arial"/>
                <w:sz w:val="16"/>
                <w:szCs w:val="16"/>
                <w:b w:val="1"/>
                <w:bCs w:val="1"/>
                <w:color w:val="auto"/>
              </w:rPr>
              <w:t>​17,307,945</w:t>
            </w:r>
          </w:p>
        </w:tc>
        <w:tc>
          <w:tcPr>
            <w:tcW w:w="960" w:type="dxa"/>
            <w:vAlign w:val="bottom"/>
            <w:tcBorders>
              <w:left w:val="single" w:sz="8" w:color="CCEEFF"/>
            </w:tcBorders>
            <w:gridSpan w:val="3"/>
            <w:shd w:val="clear" w:color="auto" w:fill="CCEEFF"/>
          </w:tcPr>
          <w:p>
            <w:pPr>
              <w:ind w:left="60"/>
              <w:spacing w:after="0" w:line="318" w:lineRule="exact"/>
              <w:rPr>
                <w:sz w:val="20"/>
                <w:szCs w:val="20"/>
                <w:color w:val="auto"/>
              </w:rPr>
            </w:pPr>
            <w:r>
              <w:rPr>
                <w:rFonts w:ascii="Arial" w:cs="Arial" w:eastAsia="Arial" w:hAnsi="Arial"/>
                <w:sz w:val="32"/>
                <w:szCs w:val="32"/>
                <w:b w:val="1"/>
                <w:bCs w:val="1"/>
                <w:color w:val="auto"/>
                <w:vertAlign w:val="superscript"/>
              </w:rPr>
              <w:t>​​​​</w:t>
            </w:r>
            <w:r>
              <w:rPr>
                <w:rFonts w:ascii="Arial" w:cs="Arial" w:eastAsia="Arial" w:hAnsi="Arial"/>
                <w:sz w:val="16"/>
                <w:szCs w:val="16"/>
                <w:b w:val="1"/>
                <w:bCs w:val="1"/>
                <w:color w:val="auto"/>
              </w:rPr>
              <w:t>​11,634,196</w:t>
            </w:r>
          </w:p>
        </w:tc>
        <w:tc>
          <w:tcPr>
            <w:tcW w:w="160" w:type="dxa"/>
            <w:vAlign w:val="bottom"/>
            <w:tcBorders>
              <w:left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740" w:type="dxa"/>
            <w:vAlign w:val="bottom"/>
            <w:gridSpan w:val="2"/>
            <w:shd w:val="clear" w:color="auto" w:fill="CCEEFF"/>
          </w:tcPr>
          <w:p>
            <w:pPr>
              <w:jc w:val="right"/>
              <w:spacing w:after="0" w:line="318" w:lineRule="exact"/>
              <w:rPr>
                <w:sz w:val="20"/>
                <w:szCs w:val="20"/>
                <w:color w:val="auto"/>
              </w:rPr>
            </w:pPr>
            <w:r>
              <w:rPr>
                <w:rFonts w:ascii="Arial" w:cs="Arial" w:eastAsia="Arial" w:hAnsi="Arial"/>
                <w:sz w:val="32"/>
                <w:szCs w:val="32"/>
                <w:b w:val="1"/>
                <w:bCs w:val="1"/>
                <w:color w:val="auto"/>
                <w:vertAlign w:val="superscript"/>
              </w:rPr>
              <w:t>​</w:t>
            </w:r>
            <w:r>
              <w:rPr>
                <w:rFonts w:ascii="Arial" w:cs="Arial" w:eastAsia="Arial" w:hAnsi="Arial"/>
                <w:sz w:val="16"/>
                <w:szCs w:val="16"/>
                <w:b w:val="1"/>
                <w:bCs w:val="1"/>
                <w:color w:val="auto"/>
              </w:rPr>
              <w:t>​9,479,196</w:t>
            </w:r>
          </w:p>
        </w:tc>
        <w:tc>
          <w:tcPr>
            <w:tcW w:w="40" w:type="dxa"/>
            <w:vAlign w:val="bottom"/>
            <w:gridSpan w:val="2"/>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-2442210</wp:posOffset>
            </wp:positionV>
            <wp:extent cx="206565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480" w:space="0"/>
            <w:col w:w="3800"/>
          </w:cols>
          <w:pgMar w:left="580" w:top="97" w:right="1039" w:bottom="1440" w:gutter="0" w:footer="0" w:header="0"/>
          <w:type w:val="continuous"/>
        </w:sectPr>
      </w:pPr>
    </w:p>
    <w:p>
      <w:pPr>
        <w:spacing w:after="0" w:line="209" w:lineRule="exact"/>
        <w:rPr>
          <w:sz w:val="20"/>
          <w:szCs w:val="20"/>
          <w:color w:val="auto"/>
        </w:rPr>
      </w:pPr>
    </w:p>
    <w:p>
      <w:pPr>
        <w:ind w:left="1620" w:right="820" w:hanging="360"/>
        <w:spacing w:after="0" w:line="305" w:lineRule="auto"/>
        <w:tabs>
          <w:tab w:leader="none" w:pos="1620" w:val="left"/>
        </w:tabs>
        <w:numPr>
          <w:ilvl w:val="0"/>
          <w:numId w:val="50"/>
        </w:numPr>
        <w:rPr>
          <w:rFonts w:ascii="Arial" w:cs="Arial" w:eastAsia="Arial" w:hAnsi="Arial"/>
          <w:sz w:val="14"/>
          <w:szCs w:val="14"/>
          <w:color w:val="auto"/>
        </w:rPr>
      </w:pPr>
      <w:r>
        <w:rPr>
          <w:rFonts w:ascii="Arial" w:cs="Arial" w:eastAsia="Arial" w:hAnsi="Arial"/>
          <w:sz w:val="14"/>
          <w:szCs w:val="14"/>
          <w:color w:val="auto"/>
        </w:rPr>
        <w:t>Values are calculated as if a change in control and/or termination had taken place on December 31, 2025 (the last business day of 2025), using the closing market price per share of our stock on that date of $18.41.</w:t>
      </w:r>
    </w:p>
    <w:p>
      <w:pPr>
        <w:sectPr>
          <w:pgSz w:w="11900" w:h="16838" w:orient="portrait"/>
          <w:cols w:equalWidth="0" w:num="1">
            <w:col w:w="10280"/>
          </w:cols>
          <w:pgMar w:left="580" w:top="97" w:right="1039" w:bottom="1440" w:gutter="0" w:footer="0" w:header="0"/>
          <w:type w:val="continuous"/>
        </w:sectPr>
      </w:pPr>
    </w:p>
    <w:p>
      <w:pPr>
        <w:spacing w:after="0" w:line="337"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80"/>
          </w:cols>
          <w:pgMar w:left="580" w:top="97" w:right="1039" w:bottom="1440" w:gutter="0" w:footer="0" w:header="0"/>
          <w:type w:val="continuous"/>
        </w:sectPr>
      </w:pPr>
    </w:p>
    <w:bookmarkStart w:id="56" w:name="page57"/>
    <w:bookmarkEnd w:id="5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620" w:right="419" w:hanging="360"/>
        <w:spacing w:after="0" w:line="322" w:lineRule="auto"/>
        <w:tabs>
          <w:tab w:leader="none" w:pos="1620" w:val="left"/>
        </w:tabs>
        <w:numPr>
          <w:ilvl w:val="0"/>
          <w:numId w:val="51"/>
        </w:numPr>
        <w:rPr>
          <w:rFonts w:ascii="Arial" w:cs="Arial" w:eastAsia="Arial" w:hAnsi="Arial"/>
          <w:sz w:val="14"/>
          <w:szCs w:val="14"/>
          <w:color w:val="auto"/>
        </w:rPr>
      </w:pPr>
      <w:r>
        <w:rPr>
          <w:rFonts w:ascii="Arial" w:cs="Arial" w:eastAsia="Arial" w:hAnsi="Arial"/>
          <w:sz w:val="14"/>
          <w:szCs w:val="14"/>
          <w:color w:val="auto"/>
        </w:rPr>
        <w:t>In the event of termination without cause or with good reason after change in control, the value attributable to the performance shares outstanding as of 12/31/2025 assumes full vesting, i.e., at 150% of target.</w:t>
      </w:r>
    </w:p>
    <w:p>
      <w:pPr>
        <w:jc w:val="both"/>
        <w:ind w:left="1620" w:right="419" w:hanging="360"/>
        <w:spacing w:after="0" w:line="277" w:lineRule="auto"/>
        <w:tabs>
          <w:tab w:leader="none" w:pos="1620" w:val="left"/>
        </w:tabs>
        <w:numPr>
          <w:ilvl w:val="0"/>
          <w:numId w:val="51"/>
        </w:numPr>
        <w:rPr>
          <w:rFonts w:ascii="Arial" w:cs="Arial" w:eastAsia="Arial" w:hAnsi="Arial"/>
          <w:sz w:val="14"/>
          <w:szCs w:val="14"/>
          <w:color w:val="auto"/>
        </w:rPr>
      </w:pPr>
      <w:r>
        <w:rPr>
          <w:rFonts w:ascii="Arial" w:cs="Arial" w:eastAsia="Arial" w:hAnsi="Arial"/>
          <w:sz w:val="14"/>
          <w:szCs w:val="14"/>
          <w:color w:val="auto"/>
        </w:rPr>
        <w:t>In the event of termination without cause absent change in control, the value attributable to the performance shares outstanding as of 12/31/2025 assumes vesting at 100% of target; however, pursuant to the underlying performance share award agreements, vesting upon termination without cause absent change in control would be the greater of (i) 100% of target or (ii) the percentage of target that would vest based on the Relative TSR achieved as if the applicable performance period had ended on the date of the Qualifying Termination, as determined and certified by the Compensation Committee, multiplied by a fraction, the denominator of which is the total number of days in the original performance period and the numerator of which is the number of days from the beginning of the performance period to the date of the Qualifying Termination.</w:t>
      </w:r>
    </w:p>
    <w:p>
      <w:pPr>
        <w:spacing w:after="0" w:line="350"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PAY RATIO</w:t>
      </w:r>
    </w:p>
    <w:p>
      <w:pPr>
        <w:spacing w:after="0" w:line="158" w:lineRule="exact"/>
        <w:rPr>
          <w:sz w:val="20"/>
          <w:szCs w:val="20"/>
          <w:color w:val="auto"/>
        </w:rPr>
      </w:pPr>
    </w:p>
    <w:p>
      <w:pPr>
        <w:jc w:val="both"/>
        <w:ind w:left="1260" w:right="419"/>
        <w:spacing w:after="0" w:line="268" w:lineRule="auto"/>
        <w:rPr>
          <w:sz w:val="20"/>
          <w:szCs w:val="20"/>
          <w:color w:val="auto"/>
        </w:rPr>
      </w:pPr>
      <w:r>
        <w:rPr>
          <w:rFonts w:ascii="Arial" w:cs="Arial" w:eastAsia="Arial" w:hAnsi="Arial"/>
          <w:sz w:val="18"/>
          <w:szCs w:val="18"/>
          <w:color w:val="auto"/>
        </w:rPr>
        <w:t>We are providing the following estimate of the ratio of the annual total compensation of our CEO to the median of the annual total compensation of all other employees in accordance with applicable SEC rules.</w:t>
      </w:r>
    </w:p>
    <w:p>
      <w:pPr>
        <w:spacing w:after="0" w:line="90" w:lineRule="exact"/>
        <w:rPr>
          <w:sz w:val="20"/>
          <w:szCs w:val="20"/>
          <w:color w:val="auto"/>
        </w:rPr>
      </w:pPr>
    </w:p>
    <w:p>
      <w:pPr>
        <w:jc w:val="both"/>
        <w:ind w:left="1260" w:right="419"/>
        <w:spacing w:after="0" w:line="253" w:lineRule="auto"/>
        <w:rPr>
          <w:sz w:val="20"/>
          <w:szCs w:val="20"/>
          <w:color w:val="auto"/>
        </w:rPr>
      </w:pPr>
      <w:r>
        <w:rPr>
          <w:rFonts w:ascii="Arial" w:cs="Arial" w:eastAsia="Arial" w:hAnsi="Arial"/>
          <w:sz w:val="18"/>
          <w:szCs w:val="18"/>
          <w:color w:val="auto"/>
        </w:rPr>
        <w:t xml:space="preserve">We determined our median employee based on total compensation (including base salary, year-end bonus, and equity compensation (in each case annualized with respect to any full- and part-time employees who joined the Company during 2025)) of each of our 42 employees (excluding the CEO) as of December 31, 2025. Once we identified our median employee, we combined all of the elements of such employee’s compensation for 2025 in accordance with the requirements of Item 402(c)(2)(x) of Regulation S-K, resulting in annual total compensation of $131,224. As disclosed in the Summary Compensation Table appearing on page </w:t>
      </w:r>
      <w:r>
        <w:rPr>
          <w:rFonts w:ascii="Arial" w:cs="Arial" w:eastAsia="Arial" w:hAnsi="Arial"/>
          <w:sz w:val="18"/>
          <w:szCs w:val="18"/>
          <w:u w:val="single" w:color="auto"/>
          <w:color w:val="0000EE"/>
        </w:rPr>
        <w:t>43</w:t>
      </w:r>
      <w:r>
        <w:rPr>
          <w:rFonts w:ascii="Arial" w:cs="Arial" w:eastAsia="Arial" w:hAnsi="Arial"/>
          <w:sz w:val="18"/>
          <w:szCs w:val="18"/>
          <w:color w:val="auto"/>
        </w:rPr>
        <w:t xml:space="preserve"> above, our current CEO’s annual total compensation for 2025 was $3,905,735. Our current CEO has served in this capacity since August 1, 2011, which period of service includes December 31, 2025, the date of determination for the median employee. Based on the foregoing, our estimate of the ratio of the annual total compensation of our CEO to the median of the annual total compensation of all other employees was 29.8. Given the different methodologies that various public companies will use to determine an estimate of their pay ratio, the estimated ratio reported above may not be appropriate as a basis for comparison between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7" w:name="page58"/>
    <w:bookmarkEnd w:id="5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PAY VERSUS PERFORMANCE</w:t>
      </w:r>
    </w:p>
    <w:p>
      <w:pPr>
        <w:spacing w:after="0" w:line="158" w:lineRule="exact"/>
        <w:rPr>
          <w:sz w:val="20"/>
          <w:szCs w:val="20"/>
          <w:color w:val="auto"/>
        </w:rPr>
      </w:pPr>
    </w:p>
    <w:p>
      <w:pPr>
        <w:jc w:val="both"/>
        <w:ind w:left="1260" w:right="419"/>
        <w:spacing w:after="0" w:line="271" w:lineRule="auto"/>
        <w:rPr>
          <w:sz w:val="20"/>
          <w:szCs w:val="20"/>
          <w:color w:val="auto"/>
        </w:rPr>
      </w:pPr>
      <w:r>
        <w:rPr>
          <w:rFonts w:ascii="Arial" w:cs="Arial" w:eastAsia="Arial" w:hAnsi="Arial"/>
          <w:sz w:val="17"/>
          <w:szCs w:val="17"/>
          <w:color w:val="auto"/>
        </w:rPr>
        <w:t>The table below is provided in accordance with Item 402(v) of Regulation S-K. This information is being provided for compliance purposes. Neither the Compensation Committee nor the executives of our Company use the information in this table when making compensation decisions. In determining the “compensation actually paid” to our NEOs, we are required to make various adjustments to amounts that have been previously reported in the Summary Compensation Table in previous years, as the SEC’s valuation methods for this section differ from those required in the Summary Compensation Table. The table below summarizes compensation values both previously reported in our Summary Compensation Table, as well as the adjusted values required in this section for the 2021, 2022, 2023, 2024 and 2025 fiscal years. Note that for our NEOs other than our principal executive officer (the “PEO”), compensation is reported as an average of each of the NEOs’ total compensation for the respective fiscal year.</w:t>
      </w:r>
    </w:p>
    <w:p>
      <w:pPr>
        <w:spacing w:after="0" w:line="13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tcPr>
          <w:p>
            <w:pPr>
              <w:jc w:val="center"/>
              <w:spacing w:after="0"/>
              <w:rPr>
                <w:sz w:val="20"/>
                <w:szCs w:val="20"/>
                <w:color w:val="auto"/>
              </w:rPr>
            </w:pPr>
            <w:r>
              <w:rPr>
                <w:rFonts w:ascii="Arial" w:cs="Arial" w:eastAsia="Arial" w:hAnsi="Arial"/>
                <w:sz w:val="14"/>
                <w:szCs w:val="14"/>
                <w:b w:val="1"/>
                <w:bCs w:val="1"/>
                <w:color w:val="auto"/>
              </w:rPr>
              <w:t>Value of Initial</w:t>
            </w: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tcPr>
          <w:p>
            <w:pPr>
              <w:jc w:val="center"/>
              <w:spacing w:after="0"/>
              <w:rPr>
                <w:sz w:val="20"/>
                <w:szCs w:val="20"/>
                <w:color w:val="auto"/>
              </w:rPr>
            </w:pPr>
            <w:r>
              <w:rPr>
                <w:rFonts w:ascii="Arial" w:cs="Arial" w:eastAsia="Arial" w:hAnsi="Arial"/>
                <w:sz w:val="14"/>
                <w:szCs w:val="14"/>
                <w:b w:val="1"/>
                <w:bCs w:val="1"/>
                <w:color w:val="auto"/>
              </w:rPr>
              <w:t>Fixed $100</w:t>
            </w: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vMerge w:val="restart"/>
          </w:tcPr>
          <w:p>
            <w:pPr>
              <w:jc w:val="center"/>
              <w:ind w:right="4"/>
              <w:spacing w:after="0"/>
              <w:rPr>
                <w:sz w:val="20"/>
                <w:szCs w:val="20"/>
                <w:color w:val="auto"/>
              </w:rPr>
            </w:pPr>
            <w:r>
              <w:rPr>
                <w:rFonts w:ascii="Arial" w:cs="Arial" w:eastAsia="Arial" w:hAnsi="Arial"/>
                <w:sz w:val="14"/>
                <w:szCs w:val="14"/>
                <w:b w:val="1"/>
                <w:bCs w:val="1"/>
                <w:color w:val="auto"/>
              </w:rPr>
              <w:t>Average</w:t>
            </w:r>
          </w:p>
        </w:tc>
        <w:tc>
          <w:tcPr>
            <w:tcW w:w="120" w:type="dxa"/>
            <w:vAlign w:val="bottom"/>
          </w:tcPr>
          <w:p>
            <w:pPr>
              <w:spacing w:after="0"/>
              <w:rPr>
                <w:sz w:val="14"/>
                <w:szCs w:val="14"/>
                <w:color w:val="auto"/>
              </w:rPr>
            </w:pPr>
          </w:p>
        </w:tc>
        <w:tc>
          <w:tcPr>
            <w:tcW w:w="1000" w:type="dxa"/>
            <w:vAlign w:val="bottom"/>
            <w:vMerge w:val="restart"/>
          </w:tcPr>
          <w:p>
            <w:pPr>
              <w:jc w:val="center"/>
              <w:ind w:right="7"/>
              <w:spacing w:after="0"/>
              <w:rPr>
                <w:sz w:val="20"/>
                <w:szCs w:val="20"/>
                <w:color w:val="auto"/>
              </w:rPr>
            </w:pPr>
            <w:r>
              <w:rPr>
                <w:rFonts w:ascii="Arial" w:cs="Arial" w:eastAsia="Arial" w:hAnsi="Arial"/>
                <w:sz w:val="14"/>
                <w:szCs w:val="14"/>
                <w:b w:val="1"/>
                <w:bCs w:val="1"/>
                <w:color w:val="auto"/>
              </w:rPr>
              <w:t>Average</w:t>
            </w:r>
          </w:p>
        </w:tc>
        <w:tc>
          <w:tcPr>
            <w:tcW w:w="100" w:type="dxa"/>
            <w:vAlign w:val="bottom"/>
          </w:tcPr>
          <w:p>
            <w:pPr>
              <w:spacing w:after="0"/>
              <w:rPr>
                <w:sz w:val="14"/>
                <w:szCs w:val="14"/>
                <w:color w:val="auto"/>
              </w:rPr>
            </w:pPr>
          </w:p>
        </w:tc>
        <w:tc>
          <w:tcPr>
            <w:tcW w:w="1000" w:type="dxa"/>
            <w:vAlign w:val="bottom"/>
            <w:gridSpan w:val="3"/>
          </w:tcPr>
          <w:p>
            <w:pPr>
              <w:jc w:val="center"/>
              <w:spacing w:after="0"/>
              <w:rPr>
                <w:sz w:val="20"/>
                <w:szCs w:val="20"/>
                <w:color w:val="auto"/>
              </w:rPr>
            </w:pPr>
            <w:r>
              <w:rPr>
                <w:rFonts w:ascii="Arial" w:cs="Arial" w:eastAsia="Arial" w:hAnsi="Arial"/>
                <w:sz w:val="14"/>
                <w:szCs w:val="14"/>
                <w:b w:val="1"/>
                <w:bCs w:val="1"/>
                <w:color w:val="auto"/>
              </w:rPr>
              <w:t>Investment</w:t>
            </w:r>
          </w:p>
        </w:tc>
        <w:tc>
          <w:tcPr>
            <w:tcW w:w="100" w:type="dxa"/>
            <w:vAlign w:val="bottom"/>
          </w:tcPr>
          <w:p>
            <w:pPr>
              <w:spacing w:after="0"/>
              <w:rPr>
                <w:sz w:val="14"/>
                <w:szCs w:val="14"/>
                <w:color w:val="auto"/>
              </w:rPr>
            </w:pP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Net Income</w:t>
            </w:r>
          </w:p>
        </w:tc>
        <w:tc>
          <w:tcPr>
            <w:tcW w:w="100" w:type="dxa"/>
            <w:vAlign w:val="bottom"/>
          </w:tcPr>
          <w:p>
            <w:pPr>
              <w:spacing w:after="0"/>
              <w:rPr>
                <w:sz w:val="14"/>
                <w:szCs w:val="14"/>
                <w:color w:val="auto"/>
              </w:rPr>
            </w:pPr>
          </w:p>
        </w:tc>
        <w:tc>
          <w:tcPr>
            <w:tcW w:w="6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Adjusted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720" w:type="dxa"/>
            <w:vAlign w:val="bottom"/>
          </w:tcPr>
          <w:p>
            <w:pPr>
              <w:spacing w:after="0"/>
              <w:rPr>
                <w:sz w:val="7"/>
                <w:szCs w:val="7"/>
                <w:color w:val="auto"/>
              </w:rPr>
            </w:pPr>
          </w:p>
        </w:tc>
        <w:tc>
          <w:tcPr>
            <w:tcW w:w="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rPr>
              <w:t>Based On:</w:t>
            </w:r>
          </w:p>
        </w:tc>
        <w:tc>
          <w:tcPr>
            <w:tcW w:w="1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720" w:type="dxa"/>
            <w:vAlign w:val="bottom"/>
          </w:tcPr>
          <w:p>
            <w:pPr>
              <w:spacing w:after="0"/>
              <w:rPr>
                <w:sz w:val="10"/>
                <w:szCs w:val="10"/>
                <w:color w:val="auto"/>
              </w:rPr>
            </w:pPr>
          </w:p>
        </w:tc>
        <w:tc>
          <w:tcPr>
            <w:tcW w:w="160" w:type="dxa"/>
            <w:vAlign w:val="bottom"/>
            <w:gridSpan w:val="2"/>
            <w:vMerge w:val="continue"/>
          </w:tcPr>
          <w:p>
            <w:pPr>
              <w:spacing w:after="0"/>
              <w:rPr>
                <w:sz w:val="10"/>
                <w:szCs w:val="10"/>
                <w:color w:val="auto"/>
              </w:rPr>
            </w:pPr>
          </w:p>
        </w:tc>
        <w:tc>
          <w:tcPr>
            <w:tcW w:w="960" w:type="dxa"/>
            <w:vAlign w:val="bottom"/>
            <w:vMerge w:val="restart"/>
          </w:tcPr>
          <w:p>
            <w:pPr>
              <w:jc w:val="center"/>
              <w:ind w:right="24"/>
              <w:spacing w:after="0"/>
              <w:rPr>
                <w:sz w:val="20"/>
                <w:szCs w:val="20"/>
                <w:color w:val="auto"/>
              </w:rPr>
            </w:pPr>
            <w:r>
              <w:rPr>
                <w:rFonts w:ascii="Arial" w:cs="Arial" w:eastAsia="Arial" w:hAnsi="Arial"/>
                <w:sz w:val="14"/>
                <w:szCs w:val="14"/>
                <w:b w:val="1"/>
                <w:bCs w:val="1"/>
                <w:color w:val="auto"/>
              </w:rPr>
              <w:t>Summary</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Summary</w:t>
            </w:r>
          </w:p>
        </w:tc>
        <w:tc>
          <w:tcPr>
            <w:tcW w:w="120" w:type="dxa"/>
            <w:vAlign w:val="bottom"/>
            <w:vMerge w:val="restart"/>
          </w:tcPr>
          <w:p>
            <w:pPr>
              <w:spacing w:after="0"/>
              <w:rPr>
                <w:sz w:val="10"/>
                <w:szCs w:val="10"/>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Compensation</w:t>
            </w:r>
          </w:p>
        </w:tc>
        <w:tc>
          <w:tcPr>
            <w:tcW w:w="100" w:type="dxa"/>
            <w:vAlign w:val="bottom"/>
            <w:vMerge w:val="continue"/>
          </w:tcPr>
          <w:p>
            <w:pPr>
              <w:spacing w:after="0"/>
              <w:rPr>
                <w:sz w:val="10"/>
                <w:szCs w:val="10"/>
                <w:color w:val="auto"/>
              </w:rPr>
            </w:pPr>
          </w:p>
        </w:tc>
        <w:tc>
          <w:tcPr>
            <w:tcW w:w="1000" w:type="dxa"/>
            <w:vAlign w:val="bottom"/>
            <w:gridSpan w:val="3"/>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(Loss)</w:t>
            </w:r>
          </w:p>
        </w:tc>
        <w:tc>
          <w:tcPr>
            <w:tcW w:w="100" w:type="dxa"/>
            <w:vAlign w:val="bottom"/>
          </w:tcPr>
          <w:p>
            <w:pPr>
              <w:spacing w:after="0"/>
              <w:rPr>
                <w:sz w:val="10"/>
                <w:szCs w:val="10"/>
                <w:color w:val="auto"/>
              </w:rPr>
            </w:pPr>
          </w:p>
        </w:tc>
        <w:tc>
          <w:tcPr>
            <w:tcW w:w="6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FFO Per</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
        </w:trPr>
        <w:tc>
          <w:tcPr>
            <w:tcW w:w="720" w:type="dxa"/>
            <w:vAlign w:val="bottom"/>
          </w:tcPr>
          <w:p>
            <w:pPr>
              <w:spacing w:after="0"/>
              <w:rPr>
                <w:sz w:val="2"/>
                <w:szCs w:val="2"/>
                <w:color w:val="auto"/>
              </w:rPr>
            </w:pPr>
          </w:p>
        </w:tc>
        <w:tc>
          <w:tcPr>
            <w:tcW w:w="160" w:type="dxa"/>
            <w:vAlign w:val="bottom"/>
            <w:gridSpan w:val="2"/>
            <w:vMerge w:val="continue"/>
          </w:tcPr>
          <w:p>
            <w:pPr>
              <w:spacing w:after="0"/>
              <w:rPr>
                <w:sz w:val="2"/>
                <w:szCs w:val="2"/>
                <w:color w:val="auto"/>
              </w:rPr>
            </w:pPr>
          </w:p>
        </w:tc>
        <w:tc>
          <w:tcPr>
            <w:tcW w:w="96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100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100" w:type="dxa"/>
            <w:vAlign w:val="bottom"/>
            <w:vMerge w:val="continue"/>
          </w:tcPr>
          <w:p>
            <w:pPr>
              <w:spacing w:after="0"/>
              <w:rPr>
                <w:sz w:val="2"/>
                <w:szCs w:val="2"/>
                <w:color w:val="auto"/>
              </w:rPr>
            </w:pPr>
          </w:p>
        </w:tc>
        <w:tc>
          <w:tcPr>
            <w:tcW w:w="96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rPr>
              <w:t>Compensation</w:t>
            </w:r>
          </w:p>
        </w:tc>
        <w:tc>
          <w:tcPr>
            <w:tcW w:w="1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8"/>
              </w:rPr>
              <w:t>Compensation</w:t>
            </w:r>
          </w:p>
        </w:tc>
        <w:tc>
          <w:tcPr>
            <w:tcW w:w="120" w:type="dxa"/>
            <w:vAlign w:val="bottom"/>
          </w:tcPr>
          <w:p>
            <w:pPr>
              <w:spacing w:after="0"/>
              <w:rPr>
                <w:sz w:val="14"/>
                <w:szCs w:val="14"/>
                <w:color w:val="auto"/>
              </w:rPr>
            </w:pPr>
          </w:p>
        </w:tc>
        <w:tc>
          <w:tcPr>
            <w:tcW w:w="1080" w:type="dxa"/>
            <w:vAlign w:val="bottom"/>
          </w:tcPr>
          <w:p>
            <w:pPr>
              <w:jc w:val="center"/>
              <w:ind w:right="4"/>
              <w:spacing w:after="0"/>
              <w:rPr>
                <w:sz w:val="20"/>
                <w:szCs w:val="20"/>
                <w:color w:val="auto"/>
              </w:rPr>
            </w:pPr>
            <w:r>
              <w:rPr>
                <w:rFonts w:ascii="Arial" w:cs="Arial" w:eastAsia="Arial" w:hAnsi="Arial"/>
                <w:sz w:val="14"/>
                <w:szCs w:val="14"/>
                <w:b w:val="1"/>
                <w:bCs w:val="1"/>
                <w:color w:val="auto"/>
              </w:rPr>
              <w:t>Compensation</w:t>
            </w:r>
          </w:p>
        </w:tc>
        <w:tc>
          <w:tcPr>
            <w:tcW w:w="120" w:type="dxa"/>
            <w:vAlign w:val="bottom"/>
          </w:tcPr>
          <w:p>
            <w:pPr>
              <w:spacing w:after="0"/>
              <w:rPr>
                <w:sz w:val="14"/>
                <w:szCs w:val="14"/>
                <w:color w:val="auto"/>
              </w:rPr>
            </w:pPr>
          </w:p>
        </w:tc>
        <w:tc>
          <w:tcPr>
            <w:tcW w:w="1000" w:type="dxa"/>
            <w:vAlign w:val="bottom"/>
          </w:tcPr>
          <w:p>
            <w:pPr>
              <w:jc w:val="center"/>
              <w:ind w:right="27"/>
              <w:spacing w:after="0"/>
              <w:rPr>
                <w:sz w:val="20"/>
                <w:szCs w:val="20"/>
                <w:color w:val="auto"/>
              </w:rPr>
            </w:pPr>
            <w:r>
              <w:rPr>
                <w:rFonts w:ascii="Arial" w:cs="Arial" w:eastAsia="Arial" w:hAnsi="Arial"/>
                <w:sz w:val="14"/>
                <w:szCs w:val="14"/>
                <w:b w:val="1"/>
                <w:bCs w:val="1"/>
                <w:color w:val="auto"/>
              </w:rPr>
              <w:t>Actually Paid</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rPr>
              <w:t>Peer</w:t>
            </w:r>
          </w:p>
        </w:tc>
        <w:tc>
          <w:tcPr>
            <w:tcW w:w="1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Attributable</w:t>
            </w:r>
          </w:p>
        </w:tc>
        <w:tc>
          <w:tcPr>
            <w:tcW w:w="10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7"/>
              </w:rPr>
              <w:t>Fully</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center"/>
              <w:ind w:right="24"/>
              <w:spacing w:after="0"/>
              <w:rPr>
                <w:sz w:val="20"/>
                <w:szCs w:val="20"/>
                <w:color w:val="auto"/>
              </w:rPr>
            </w:pPr>
            <w:r>
              <w:rPr>
                <w:rFonts w:ascii="Arial" w:cs="Arial" w:eastAsia="Arial" w:hAnsi="Arial"/>
                <w:sz w:val="14"/>
                <w:szCs w:val="14"/>
                <w:b w:val="1"/>
                <w:bCs w:val="1"/>
                <w:color w:val="auto"/>
              </w:rPr>
              <w:t>Table Total</w:t>
            </w:r>
          </w:p>
        </w:tc>
        <w:tc>
          <w:tcPr>
            <w:tcW w:w="1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Actually Paid</w:t>
            </w:r>
          </w:p>
        </w:tc>
        <w:tc>
          <w:tcPr>
            <w:tcW w:w="120" w:type="dxa"/>
            <w:vAlign w:val="bottom"/>
          </w:tcPr>
          <w:p>
            <w:pPr>
              <w:spacing w:after="0"/>
              <w:rPr>
                <w:sz w:val="14"/>
                <w:szCs w:val="14"/>
                <w:color w:val="auto"/>
              </w:rPr>
            </w:pPr>
          </w:p>
        </w:tc>
        <w:tc>
          <w:tcPr>
            <w:tcW w:w="1080" w:type="dxa"/>
            <w:vAlign w:val="bottom"/>
          </w:tcPr>
          <w:p>
            <w:pPr>
              <w:jc w:val="center"/>
              <w:ind w:right="4"/>
              <w:spacing w:after="0"/>
              <w:rPr>
                <w:sz w:val="20"/>
                <w:szCs w:val="20"/>
                <w:color w:val="auto"/>
              </w:rPr>
            </w:pPr>
            <w:r>
              <w:rPr>
                <w:rFonts w:ascii="Arial" w:cs="Arial" w:eastAsia="Arial" w:hAnsi="Arial"/>
                <w:sz w:val="14"/>
                <w:szCs w:val="14"/>
                <w:b w:val="1"/>
                <w:bCs w:val="1"/>
                <w:color w:val="auto"/>
                <w:w w:val="99"/>
              </w:rPr>
              <w:t>Table Total for</w:t>
            </w:r>
          </w:p>
        </w:tc>
        <w:tc>
          <w:tcPr>
            <w:tcW w:w="120" w:type="dxa"/>
            <w:vAlign w:val="bottom"/>
          </w:tcPr>
          <w:p>
            <w:pPr>
              <w:spacing w:after="0"/>
              <w:rPr>
                <w:sz w:val="14"/>
                <w:szCs w:val="14"/>
                <w:color w:val="auto"/>
              </w:rPr>
            </w:pPr>
          </w:p>
        </w:tc>
        <w:tc>
          <w:tcPr>
            <w:tcW w:w="1000" w:type="dxa"/>
            <w:vAlign w:val="bottom"/>
          </w:tcPr>
          <w:p>
            <w:pPr>
              <w:jc w:val="center"/>
              <w:ind w:right="7"/>
              <w:spacing w:after="0"/>
              <w:rPr>
                <w:sz w:val="20"/>
                <w:szCs w:val="20"/>
                <w:color w:val="auto"/>
              </w:rPr>
            </w:pPr>
            <w:r>
              <w:rPr>
                <w:rFonts w:ascii="Arial" w:cs="Arial" w:eastAsia="Arial" w:hAnsi="Arial"/>
                <w:sz w:val="14"/>
                <w:szCs w:val="14"/>
                <w:b w:val="1"/>
                <w:bCs w:val="1"/>
                <w:color w:val="auto"/>
              </w:rPr>
              <w:t>to Non-PEO</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rPr>
              <w:t>Group</w:t>
            </w:r>
          </w:p>
        </w:tc>
        <w:tc>
          <w:tcPr>
            <w:tcW w:w="1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to Common</w:t>
            </w:r>
          </w:p>
        </w:tc>
        <w:tc>
          <w:tcPr>
            <w:tcW w:w="10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rPr>
              <w:t>Diluted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center"/>
              <w:ind w:right="24"/>
              <w:spacing w:after="0"/>
              <w:rPr>
                <w:sz w:val="20"/>
                <w:szCs w:val="20"/>
                <w:color w:val="auto"/>
              </w:rPr>
            </w:pPr>
            <w:r>
              <w:rPr>
                <w:rFonts w:ascii="Arial" w:cs="Arial" w:eastAsia="Arial" w:hAnsi="Arial"/>
                <w:sz w:val="14"/>
                <w:szCs w:val="14"/>
                <w:b w:val="1"/>
                <w:bCs w:val="1"/>
                <w:color w:val="auto"/>
              </w:rPr>
              <w:t>for PEO</w:t>
            </w:r>
          </w:p>
        </w:tc>
        <w:tc>
          <w:tcPr>
            <w:tcW w:w="120" w:type="dxa"/>
            <w:vAlign w:val="bottom"/>
          </w:tcPr>
          <w:p>
            <w:pPr>
              <w:spacing w:after="0"/>
              <w:rPr>
                <w:sz w:val="14"/>
                <w:szCs w:val="14"/>
                <w:color w:val="auto"/>
              </w:rPr>
            </w:pPr>
          </w:p>
        </w:tc>
        <w:tc>
          <w:tcPr>
            <w:tcW w:w="1000" w:type="dxa"/>
            <w:vAlign w:val="bottom"/>
          </w:tcPr>
          <w:p>
            <w:pPr>
              <w:jc w:val="center"/>
              <w:spacing w:after="0" w:line="162" w:lineRule="exact"/>
              <w:rPr>
                <w:sz w:val="20"/>
                <w:szCs w:val="20"/>
                <w:color w:val="auto"/>
              </w:rPr>
            </w:pPr>
            <w:r>
              <w:rPr>
                <w:rFonts w:ascii="Arial" w:cs="Arial" w:eastAsia="Arial" w:hAnsi="Arial"/>
                <w:sz w:val="18"/>
                <w:szCs w:val="18"/>
                <w:b w:val="1"/>
                <w:bCs w:val="1"/>
                <w:color w:val="auto"/>
                <w:vertAlign w:val="subscript"/>
              </w:rPr>
              <w:t>to PEO</w:t>
            </w:r>
            <w:r>
              <w:rPr>
                <w:rFonts w:ascii="Arial" w:cs="Arial" w:eastAsia="Arial" w:hAnsi="Arial"/>
                <w:sz w:val="7"/>
                <w:szCs w:val="7"/>
                <w:b w:val="1"/>
                <w:bCs w:val="1"/>
                <w:color w:val="auto"/>
              </w:rPr>
              <w:t>(1)(4)</w:t>
            </w:r>
          </w:p>
        </w:tc>
        <w:tc>
          <w:tcPr>
            <w:tcW w:w="12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Non-PEO NEOs</w:t>
            </w:r>
          </w:p>
        </w:tc>
        <w:tc>
          <w:tcPr>
            <w:tcW w:w="120" w:type="dxa"/>
            <w:vAlign w:val="bottom"/>
          </w:tcPr>
          <w:p>
            <w:pPr>
              <w:spacing w:after="0"/>
              <w:rPr>
                <w:sz w:val="14"/>
                <w:szCs w:val="14"/>
                <w:color w:val="auto"/>
              </w:rPr>
            </w:pPr>
          </w:p>
        </w:tc>
        <w:tc>
          <w:tcPr>
            <w:tcW w:w="1000" w:type="dxa"/>
            <w:vAlign w:val="bottom"/>
          </w:tcPr>
          <w:p>
            <w:pPr>
              <w:jc w:val="center"/>
              <w:ind w:right="7"/>
              <w:spacing w:after="0" w:line="162" w:lineRule="exact"/>
              <w:rPr>
                <w:sz w:val="20"/>
                <w:szCs w:val="20"/>
                <w:color w:val="auto"/>
              </w:rPr>
            </w:pPr>
            <w:r>
              <w:rPr>
                <w:rFonts w:ascii="Arial" w:cs="Arial" w:eastAsia="Arial" w:hAnsi="Arial"/>
                <w:sz w:val="18"/>
                <w:szCs w:val="18"/>
                <w:b w:val="1"/>
                <w:bCs w:val="1"/>
                <w:color w:val="auto"/>
                <w:vertAlign w:val="subscript"/>
              </w:rPr>
              <w:t>NEOs</w:t>
            </w:r>
            <w:r>
              <w:rPr>
                <w:rFonts w:ascii="Arial" w:cs="Arial" w:eastAsia="Arial" w:hAnsi="Arial"/>
                <w:sz w:val="7"/>
                <w:szCs w:val="7"/>
                <w:b w:val="1"/>
                <w:bCs w:val="1"/>
                <w:color w:val="auto"/>
              </w:rPr>
              <w:t>(1)(4)</w:t>
            </w:r>
          </w:p>
        </w:tc>
        <w:tc>
          <w:tcPr>
            <w:tcW w:w="100" w:type="dxa"/>
            <w:vAlign w:val="bottom"/>
          </w:tcPr>
          <w:p>
            <w:pPr>
              <w:spacing w:after="0"/>
              <w:rPr>
                <w:sz w:val="14"/>
                <w:szCs w:val="14"/>
                <w:color w:val="auto"/>
              </w:rPr>
            </w:pPr>
          </w:p>
        </w:tc>
        <w:tc>
          <w:tcPr>
            <w:tcW w:w="4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9"/>
              </w:rPr>
              <w:t>TSR</w:t>
            </w:r>
          </w:p>
        </w:tc>
        <w:tc>
          <w:tcPr>
            <w:tcW w:w="520" w:type="dxa"/>
            <w:vAlign w:val="bottom"/>
          </w:tcPr>
          <w:p>
            <w:pPr>
              <w:jc w:val="center"/>
              <w:spacing w:after="0" w:line="162" w:lineRule="exact"/>
              <w:rPr>
                <w:sz w:val="20"/>
                <w:szCs w:val="20"/>
                <w:color w:val="auto"/>
              </w:rPr>
            </w:pPr>
            <w:r>
              <w:rPr>
                <w:rFonts w:ascii="Arial" w:cs="Arial" w:eastAsia="Arial" w:hAnsi="Arial"/>
                <w:sz w:val="14"/>
                <w:szCs w:val="14"/>
                <w:b w:val="1"/>
                <w:bCs w:val="1"/>
                <w:color w:val="auto"/>
                <w:w w:val="95"/>
              </w:rPr>
              <w:t>TSR</w:t>
            </w:r>
            <w:r>
              <w:rPr>
                <w:rFonts w:ascii="Arial" w:cs="Arial" w:eastAsia="Arial" w:hAnsi="Arial"/>
                <w:sz w:val="17"/>
                <w:szCs w:val="17"/>
                <w:b w:val="1"/>
                <w:bCs w:val="1"/>
                <w:color w:val="auto"/>
                <w:w w:val="95"/>
                <w:vertAlign w:val="superscript"/>
              </w:rPr>
              <w:t>(2)</w:t>
            </w:r>
          </w:p>
        </w:tc>
        <w:tc>
          <w:tcPr>
            <w:tcW w:w="1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Stockholders</w:t>
            </w:r>
          </w:p>
        </w:tc>
        <w:tc>
          <w:tcPr>
            <w:tcW w:w="100" w:type="dxa"/>
            <w:vAlign w:val="bottom"/>
          </w:tcPr>
          <w:p>
            <w:pPr>
              <w:spacing w:after="0"/>
              <w:rPr>
                <w:sz w:val="14"/>
                <w:szCs w:val="14"/>
                <w:color w:val="auto"/>
              </w:rPr>
            </w:pPr>
          </w:p>
        </w:tc>
        <w:tc>
          <w:tcPr>
            <w:tcW w:w="660" w:type="dxa"/>
            <w:vAlign w:val="bottom"/>
          </w:tcPr>
          <w:p>
            <w:pPr>
              <w:jc w:val="center"/>
              <w:spacing w:after="0" w:line="162" w:lineRule="exact"/>
              <w:rPr>
                <w:sz w:val="20"/>
                <w:szCs w:val="20"/>
                <w:color w:val="auto"/>
              </w:rPr>
            </w:pPr>
            <w:r>
              <w:rPr>
                <w:rFonts w:ascii="Arial" w:cs="Arial" w:eastAsia="Arial" w:hAnsi="Arial"/>
                <w:sz w:val="14"/>
                <w:szCs w:val="14"/>
                <w:b w:val="1"/>
                <w:bCs w:val="1"/>
                <w:color w:val="auto"/>
                <w:w w:val="98"/>
              </w:rPr>
              <w:t>Share</w:t>
            </w:r>
            <w:r>
              <w:rPr>
                <w:rFonts w:ascii="Arial" w:cs="Arial" w:eastAsia="Arial" w:hAnsi="Arial"/>
                <w:sz w:val="17"/>
                <w:szCs w:val="17"/>
                <w:b w:val="1"/>
                <w:bCs w:val="1"/>
                <w:color w:val="auto"/>
                <w:w w:val="98"/>
                <w:vertAlign w:val="superscript"/>
              </w:rPr>
              <w:t>(3)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720" w:type="dxa"/>
            <w:vAlign w:val="bottom"/>
          </w:tcPr>
          <w:p>
            <w:pPr>
              <w:spacing w:after="0"/>
              <w:rPr>
                <w:sz w:val="20"/>
                <w:szCs w:val="20"/>
                <w:color w:val="auto"/>
              </w:rPr>
            </w:pPr>
            <w:r>
              <w:rPr>
                <w:rFonts w:ascii="Arial" w:cs="Arial" w:eastAsia="Arial" w:hAnsi="Arial"/>
                <w:sz w:val="14"/>
                <w:szCs w:val="14"/>
                <w:b w:val="1"/>
                <w:bCs w:val="1"/>
                <w:color w:val="auto"/>
              </w:rPr>
              <w:t>Year</w:t>
            </w:r>
          </w:p>
        </w:tc>
        <w:tc>
          <w:tcPr>
            <w:tcW w:w="160" w:type="dxa"/>
            <w:vAlign w:val="bottom"/>
            <w:gridSpan w:val="2"/>
          </w:tcPr>
          <w:p>
            <w:pPr>
              <w:ind w:left="20"/>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7"/>
                <w:szCs w:val="17"/>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9"/>
              </w:rPr>
              <w:t>($ in 000’s)</w:t>
            </w:r>
          </w:p>
        </w:tc>
        <w:tc>
          <w:tcPr>
            <w:tcW w:w="100" w:type="dxa"/>
            <w:vAlign w:val="bottom"/>
          </w:tcPr>
          <w:p>
            <w:pPr>
              <w:spacing w:after="0"/>
              <w:rPr>
                <w:sz w:val="17"/>
                <w:szCs w:val="17"/>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20" w:type="dxa"/>
            <w:vAlign w:val="bottom"/>
          </w:tcPr>
          <w:p>
            <w:pPr>
              <w:spacing w:after="0"/>
              <w:rPr>
                <w:sz w:val="20"/>
                <w:szCs w:val="20"/>
                <w:color w:val="auto"/>
              </w:rPr>
            </w:pPr>
            <w:r>
              <w:rPr>
                <w:rFonts w:ascii="Arial" w:cs="Arial" w:eastAsia="Arial" w:hAnsi="Arial"/>
                <w:sz w:val="14"/>
                <w:szCs w:val="14"/>
                <w:b w:val="1"/>
                <w:bCs w:val="1"/>
                <w:color w:val="auto"/>
              </w:rPr>
              <w:t>(a)</w:t>
            </w:r>
          </w:p>
        </w:tc>
        <w:tc>
          <w:tcPr>
            <w:tcW w:w="160" w:type="dxa"/>
            <w:vAlign w:val="bottom"/>
            <w:gridSpan w:val="2"/>
          </w:tcPr>
          <w:p>
            <w:pPr>
              <w:ind w:left="20"/>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(b)</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(c)</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(d)</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3"/>
              </w:rPr>
              <w:t>(e)</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9"/>
              </w:rPr>
              <w:t>(f)</w:t>
            </w: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rPr>
              <w:t>(g)</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(h)</w:t>
            </w:r>
          </w:p>
        </w:tc>
        <w:tc>
          <w:tcPr>
            <w:tcW w:w="10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rPr>
              <w:t>(i)</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20" w:type="dxa"/>
            <w:vAlign w:val="bottom"/>
          </w:tcPr>
          <w:p>
            <w:pPr>
              <w:spacing w:after="0"/>
              <w:rPr>
                <w:sz w:val="20"/>
                <w:szCs w:val="20"/>
                <w:color w:val="auto"/>
              </w:rPr>
            </w:pPr>
            <w:r>
              <w:rPr>
                <w:rFonts w:ascii="Arial" w:cs="Arial" w:eastAsia="Arial" w:hAnsi="Arial"/>
                <w:sz w:val="16"/>
                <w:szCs w:val="16"/>
                <w:color w:val="auto"/>
              </w:rPr>
              <w:t>2025</w:t>
            </w:r>
          </w:p>
        </w:tc>
        <w:tc>
          <w:tcPr>
            <w:tcW w:w="16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960" w:type="dxa"/>
            <w:vAlign w:val="bottom"/>
          </w:tcPr>
          <w:p>
            <w:pPr>
              <w:jc w:val="center"/>
              <w:ind w:right="4"/>
              <w:spacing w:after="0"/>
              <w:rPr>
                <w:sz w:val="20"/>
                <w:szCs w:val="20"/>
                <w:color w:val="auto"/>
              </w:rPr>
            </w:pPr>
            <w:r>
              <w:rPr>
                <w:rFonts w:ascii="Arial" w:cs="Arial" w:eastAsia="Arial" w:hAnsi="Arial"/>
                <w:sz w:val="16"/>
                <w:szCs w:val="16"/>
                <w:color w:val="auto"/>
              </w:rPr>
              <w:t>​3,905,735</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center"/>
              <w:spacing w:after="0"/>
              <w:rPr>
                <w:sz w:val="20"/>
                <w:szCs w:val="20"/>
                <w:color w:val="auto"/>
              </w:rPr>
            </w:pPr>
            <w:r>
              <w:rPr>
                <w:rFonts w:ascii="Arial" w:cs="Arial" w:eastAsia="Arial" w:hAnsi="Arial"/>
                <w:sz w:val="16"/>
                <w:szCs w:val="16"/>
                <w:color w:val="auto"/>
              </w:rPr>
              <w:t>​3,966,825</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center"/>
              <w:spacing w:after="0"/>
              <w:rPr>
                <w:sz w:val="20"/>
                <w:szCs w:val="20"/>
                <w:color w:val="auto"/>
              </w:rPr>
            </w:pPr>
            <w:r>
              <w:rPr>
                <w:rFonts w:ascii="Arial" w:cs="Arial" w:eastAsia="Arial" w:hAnsi="Arial"/>
                <w:sz w:val="16"/>
                <w:szCs w:val="16"/>
                <w:color w:val="auto"/>
              </w:rPr>
              <w:t>​1,397,063</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center"/>
              <w:spacing w:after="0"/>
              <w:rPr>
                <w:sz w:val="20"/>
                <w:szCs w:val="20"/>
                <w:color w:val="auto"/>
              </w:rPr>
            </w:pPr>
            <w:r>
              <w:rPr>
                <w:rFonts w:ascii="Arial" w:cs="Arial" w:eastAsia="Arial" w:hAnsi="Arial"/>
                <w:sz w:val="16"/>
                <w:szCs w:val="16"/>
                <w:color w:val="auto"/>
              </w:rPr>
              <w:t>​1,372,815</w:t>
            </w:r>
          </w:p>
        </w:tc>
        <w:tc>
          <w:tcPr>
            <w:tcW w:w="580" w:type="dxa"/>
            <w:vAlign w:val="bottom"/>
            <w:gridSpan w:val="3"/>
          </w:tcPr>
          <w:p>
            <w:pPr>
              <w:jc w:val="center"/>
              <w:ind w:right="60"/>
              <w:spacing w:after="0"/>
              <w:rPr>
                <w:sz w:val="20"/>
                <w:szCs w:val="20"/>
                <w:color w:val="auto"/>
              </w:rPr>
            </w:pPr>
            <w:r>
              <w:rPr>
                <w:rFonts w:ascii="Arial" w:cs="Arial" w:eastAsia="Arial" w:hAnsi="Arial"/>
                <w:sz w:val="16"/>
                <w:szCs w:val="16"/>
                <w:color w:val="auto"/>
              </w:rPr>
              <w:t>​​​ ​196 ​</w:t>
            </w:r>
          </w:p>
        </w:tc>
        <w:tc>
          <w:tcPr>
            <w:tcW w:w="520" w:type="dxa"/>
            <w:vAlign w:val="bottom"/>
          </w:tcPr>
          <w:p>
            <w:pPr>
              <w:jc w:val="center"/>
              <w:spacing w:after="0"/>
              <w:rPr>
                <w:sz w:val="20"/>
                <w:szCs w:val="20"/>
                <w:color w:val="auto"/>
              </w:rPr>
            </w:pPr>
            <w:r>
              <w:rPr>
                <w:rFonts w:ascii="Arial" w:cs="Arial" w:eastAsia="Arial" w:hAnsi="Arial"/>
                <w:sz w:val="16"/>
                <w:szCs w:val="16"/>
                <w:color w:val="auto"/>
              </w:rPr>
              <w:t>​122</w:t>
            </w: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ind w:left="220"/>
              <w:spacing w:after="0"/>
              <w:rPr>
                <w:sz w:val="20"/>
                <w:szCs w:val="20"/>
                <w:color w:val="auto"/>
              </w:rPr>
            </w:pPr>
            <w:r>
              <w:rPr>
                <w:rFonts w:ascii="Arial" w:cs="Arial" w:eastAsia="Arial" w:hAnsi="Arial"/>
                <w:sz w:val="16"/>
                <w:szCs w:val="16"/>
                <w:color w:val="auto"/>
              </w:rPr>
              <w:t>​ 2,580</w:t>
            </w:r>
          </w:p>
        </w:tc>
        <w:tc>
          <w:tcPr>
            <w:tcW w:w="100" w:type="dxa"/>
            <w:vAlign w:val="bottom"/>
          </w:tcPr>
          <w:p>
            <w:pPr>
              <w:spacing w:after="0"/>
              <w:rPr>
                <w:sz w:val="20"/>
                <w:szCs w:val="20"/>
                <w:color w:val="auto"/>
              </w:rPr>
            </w:pPr>
            <w:r>
              <w:rPr>
                <w:rFonts w:ascii="Arial" w:cs="Arial" w:eastAsia="Arial" w:hAnsi="Arial"/>
                <w:sz w:val="16"/>
                <w:szCs w:val="16"/>
                <w:color w:val="auto"/>
              </w:rPr>
              <w:t>​</w:t>
            </w:r>
          </w:p>
        </w:tc>
        <w:tc>
          <w:tcPr>
            <w:tcW w:w="660" w:type="dxa"/>
            <w:vAlign w:val="bottom"/>
          </w:tcPr>
          <w:p>
            <w:pPr>
              <w:jc w:val="center"/>
              <w:spacing w:after="0"/>
              <w:rPr>
                <w:sz w:val="20"/>
                <w:szCs w:val="20"/>
                <w:color w:val="auto"/>
              </w:rPr>
            </w:pPr>
            <w:r>
              <w:rPr>
                <w:rFonts w:ascii="Arial" w:cs="Arial" w:eastAsia="Arial" w:hAnsi="Arial"/>
                <w:sz w:val="16"/>
                <w:szCs w:val="16"/>
                <w:color w:val="auto"/>
              </w:rPr>
              <w:t>​1.97</w:t>
            </w:r>
          </w:p>
        </w:tc>
        <w:tc>
          <w:tcPr>
            <w:tcW w:w="40" w:type="dxa"/>
            <w:vAlign w:val="bottom"/>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720" w:type="dxa"/>
            <w:vAlign w:val="bottom"/>
          </w:tcPr>
          <w:p>
            <w:pPr>
              <w:spacing w:after="0"/>
              <w:rPr>
                <w:sz w:val="20"/>
                <w:szCs w:val="20"/>
                <w:color w:val="auto"/>
              </w:rPr>
            </w:pPr>
            <w:r>
              <w:rPr>
                <w:rFonts w:ascii="Arial" w:cs="Arial" w:eastAsia="Arial" w:hAnsi="Arial"/>
                <w:sz w:val="16"/>
                <w:szCs w:val="16"/>
                <w:color w:val="auto"/>
              </w:rPr>
              <w:t>2024</w:t>
            </w:r>
          </w:p>
        </w:tc>
        <w:tc>
          <w:tcPr>
            <w:tcW w:w="16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960" w:type="dxa"/>
            <w:vAlign w:val="bottom"/>
          </w:tcPr>
          <w:p>
            <w:pPr>
              <w:jc w:val="center"/>
              <w:ind w:right="4"/>
              <w:spacing w:after="0"/>
              <w:rPr>
                <w:sz w:val="20"/>
                <w:szCs w:val="20"/>
                <w:color w:val="auto"/>
              </w:rPr>
            </w:pPr>
            <w:r>
              <w:rPr>
                <w:rFonts w:ascii="Arial" w:cs="Arial" w:eastAsia="Arial" w:hAnsi="Arial"/>
                <w:sz w:val="16"/>
                <w:szCs w:val="16"/>
                <w:color w:val="auto"/>
              </w:rPr>
              <w:t>​3,047,109</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center"/>
              <w:spacing w:after="0"/>
              <w:rPr>
                <w:sz w:val="20"/>
                <w:szCs w:val="20"/>
                <w:color w:val="auto"/>
              </w:rPr>
            </w:pPr>
            <w:r>
              <w:rPr>
                <w:rFonts w:ascii="Arial" w:cs="Arial" w:eastAsia="Arial" w:hAnsi="Arial"/>
                <w:sz w:val="16"/>
                <w:szCs w:val="16"/>
                <w:color w:val="auto"/>
              </w:rPr>
              <w:t>​4,181,015</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center"/>
              <w:spacing w:after="0"/>
              <w:rPr>
                <w:sz w:val="20"/>
                <w:szCs w:val="20"/>
                <w:color w:val="auto"/>
              </w:rPr>
            </w:pPr>
            <w:r>
              <w:rPr>
                <w:rFonts w:ascii="Arial" w:cs="Arial" w:eastAsia="Arial" w:hAnsi="Arial"/>
                <w:sz w:val="16"/>
                <w:szCs w:val="16"/>
                <w:color w:val="auto"/>
              </w:rPr>
              <w:t>​  942,183</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center"/>
              <w:spacing w:after="0"/>
              <w:rPr>
                <w:sz w:val="20"/>
                <w:szCs w:val="20"/>
                <w:color w:val="auto"/>
              </w:rPr>
            </w:pPr>
            <w:r>
              <w:rPr>
                <w:rFonts w:ascii="Arial" w:cs="Arial" w:eastAsia="Arial" w:hAnsi="Arial"/>
                <w:sz w:val="16"/>
                <w:szCs w:val="16"/>
                <w:color w:val="auto"/>
              </w:rPr>
              <w:t>​ 825,555</w:t>
            </w:r>
          </w:p>
        </w:tc>
        <w:tc>
          <w:tcPr>
            <w:tcW w:w="580" w:type="dxa"/>
            <w:vAlign w:val="bottom"/>
            <w:gridSpan w:val="3"/>
          </w:tcPr>
          <w:p>
            <w:pPr>
              <w:jc w:val="center"/>
              <w:ind w:right="60"/>
              <w:spacing w:after="0"/>
              <w:rPr>
                <w:sz w:val="20"/>
                <w:szCs w:val="20"/>
                <w:color w:val="auto"/>
              </w:rPr>
            </w:pPr>
            <w:r>
              <w:rPr>
                <w:rFonts w:ascii="Arial" w:cs="Arial" w:eastAsia="Arial" w:hAnsi="Arial"/>
                <w:sz w:val="16"/>
                <w:szCs w:val="16"/>
                <w:color w:val="auto"/>
              </w:rPr>
              <w:t>​​​ ​193 ​</w:t>
            </w:r>
          </w:p>
        </w:tc>
        <w:tc>
          <w:tcPr>
            <w:tcW w:w="520" w:type="dxa"/>
            <w:vAlign w:val="bottom"/>
          </w:tcPr>
          <w:p>
            <w:pPr>
              <w:jc w:val="center"/>
              <w:spacing w:after="0"/>
              <w:rPr>
                <w:sz w:val="20"/>
                <w:szCs w:val="20"/>
                <w:color w:val="auto"/>
              </w:rPr>
            </w:pPr>
            <w:r>
              <w:rPr>
                <w:rFonts w:ascii="Arial" w:cs="Arial" w:eastAsia="Arial" w:hAnsi="Arial"/>
                <w:sz w:val="16"/>
                <w:szCs w:val="16"/>
                <w:color w:val="auto"/>
              </w:rPr>
              <w:t>​124</w:t>
            </w: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ind w:left="220"/>
              <w:spacing w:after="0"/>
              <w:rPr>
                <w:sz w:val="20"/>
                <w:szCs w:val="20"/>
                <w:color w:val="auto"/>
              </w:rPr>
            </w:pPr>
            <w:r>
              <w:rPr>
                <w:rFonts w:ascii="Arial" w:cs="Arial" w:eastAsia="Arial" w:hAnsi="Arial"/>
                <w:sz w:val="16"/>
                <w:szCs w:val="16"/>
                <w:color w:val="auto"/>
              </w:rPr>
              <w:t>​(8,779)</w:t>
            </w:r>
          </w:p>
        </w:tc>
        <w:tc>
          <w:tcPr>
            <w:tcW w:w="100" w:type="dxa"/>
            <w:vAlign w:val="bottom"/>
          </w:tcPr>
          <w:p>
            <w:pPr>
              <w:spacing w:after="0"/>
              <w:rPr>
                <w:sz w:val="20"/>
                <w:szCs w:val="20"/>
                <w:color w:val="auto"/>
              </w:rPr>
            </w:pPr>
            <w:r>
              <w:rPr>
                <w:rFonts w:ascii="Arial" w:cs="Arial" w:eastAsia="Arial" w:hAnsi="Arial"/>
                <w:sz w:val="16"/>
                <w:szCs w:val="16"/>
                <w:color w:val="auto"/>
              </w:rPr>
              <w:t>​</w:t>
            </w:r>
          </w:p>
        </w:tc>
        <w:tc>
          <w:tcPr>
            <w:tcW w:w="660" w:type="dxa"/>
            <w:vAlign w:val="bottom"/>
          </w:tcPr>
          <w:p>
            <w:pPr>
              <w:jc w:val="center"/>
              <w:spacing w:after="0"/>
              <w:rPr>
                <w:sz w:val="20"/>
                <w:szCs w:val="20"/>
                <w:color w:val="auto"/>
              </w:rPr>
            </w:pPr>
            <w:r>
              <w:rPr>
                <w:rFonts w:ascii="Arial" w:cs="Arial" w:eastAsia="Arial" w:hAnsi="Arial"/>
                <w:sz w:val="16"/>
                <w:szCs w:val="16"/>
                <w:color w:val="auto"/>
              </w:rPr>
              <w:t>​2.00</w:t>
            </w:r>
          </w:p>
        </w:tc>
        <w:tc>
          <w:tcPr>
            <w:tcW w:w="40" w:type="dxa"/>
            <w:vAlign w:val="bottom"/>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720" w:type="dxa"/>
            <w:vAlign w:val="bottom"/>
          </w:tcPr>
          <w:p>
            <w:pPr>
              <w:spacing w:after="0"/>
              <w:rPr>
                <w:sz w:val="20"/>
                <w:szCs w:val="20"/>
                <w:color w:val="auto"/>
              </w:rPr>
            </w:pPr>
            <w:r>
              <w:rPr>
                <w:rFonts w:ascii="Arial" w:cs="Arial" w:eastAsia="Arial" w:hAnsi="Arial"/>
                <w:sz w:val="16"/>
                <w:szCs w:val="16"/>
                <w:color w:val="auto"/>
              </w:rPr>
              <w:t>2023</w:t>
            </w:r>
          </w:p>
        </w:tc>
        <w:tc>
          <w:tcPr>
            <w:tcW w:w="16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960" w:type="dxa"/>
            <w:vAlign w:val="bottom"/>
          </w:tcPr>
          <w:p>
            <w:pPr>
              <w:jc w:val="center"/>
              <w:ind w:right="4"/>
              <w:spacing w:after="0"/>
              <w:rPr>
                <w:sz w:val="20"/>
                <w:szCs w:val="20"/>
                <w:color w:val="auto"/>
              </w:rPr>
            </w:pPr>
            <w:r>
              <w:rPr>
                <w:rFonts w:ascii="Arial" w:cs="Arial" w:eastAsia="Arial" w:hAnsi="Arial"/>
                <w:sz w:val="16"/>
                <w:szCs w:val="16"/>
                <w:color w:val="auto"/>
              </w:rPr>
              <w:t>​2,622,366</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center"/>
              <w:spacing w:after="0"/>
              <w:rPr>
                <w:sz w:val="20"/>
                <w:szCs w:val="20"/>
                <w:color w:val="auto"/>
              </w:rPr>
            </w:pPr>
            <w:r>
              <w:rPr>
                <w:rFonts w:ascii="Arial" w:cs="Arial" w:eastAsia="Arial" w:hAnsi="Arial"/>
                <w:sz w:val="16"/>
                <w:szCs w:val="16"/>
                <w:color w:val="auto"/>
              </w:rPr>
              <w:t>​2,355,069</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center"/>
              <w:spacing w:after="0"/>
              <w:rPr>
                <w:sz w:val="20"/>
                <w:szCs w:val="20"/>
                <w:color w:val="auto"/>
              </w:rPr>
            </w:pPr>
            <w:r>
              <w:rPr>
                <w:rFonts w:ascii="Arial" w:cs="Arial" w:eastAsia="Arial" w:hAnsi="Arial"/>
                <w:sz w:val="16"/>
                <w:szCs w:val="16"/>
                <w:color w:val="auto"/>
              </w:rPr>
              <w:t>​1,218,942</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center"/>
              <w:spacing w:after="0"/>
              <w:rPr>
                <w:sz w:val="20"/>
                <w:szCs w:val="20"/>
                <w:color w:val="auto"/>
              </w:rPr>
            </w:pPr>
            <w:r>
              <w:rPr>
                <w:rFonts w:ascii="Arial" w:cs="Arial" w:eastAsia="Arial" w:hAnsi="Arial"/>
                <w:sz w:val="16"/>
                <w:szCs w:val="16"/>
                <w:color w:val="auto"/>
              </w:rPr>
              <w:t>​1,108,613</w:t>
            </w:r>
          </w:p>
        </w:tc>
        <w:tc>
          <w:tcPr>
            <w:tcW w:w="580" w:type="dxa"/>
            <w:vAlign w:val="bottom"/>
            <w:gridSpan w:val="3"/>
          </w:tcPr>
          <w:p>
            <w:pPr>
              <w:jc w:val="center"/>
              <w:ind w:right="60"/>
              <w:spacing w:after="0"/>
              <w:rPr>
                <w:sz w:val="20"/>
                <w:szCs w:val="20"/>
                <w:color w:val="auto"/>
              </w:rPr>
            </w:pPr>
            <w:r>
              <w:rPr>
                <w:rFonts w:ascii="Arial" w:cs="Arial" w:eastAsia="Arial" w:hAnsi="Arial"/>
                <w:sz w:val="16"/>
                <w:szCs w:val="16"/>
                <w:color w:val="auto"/>
              </w:rPr>
              <w:t>​​​ ​156 ​</w:t>
            </w:r>
          </w:p>
        </w:tc>
        <w:tc>
          <w:tcPr>
            <w:tcW w:w="520" w:type="dxa"/>
            <w:vAlign w:val="bottom"/>
          </w:tcPr>
          <w:p>
            <w:pPr>
              <w:jc w:val="center"/>
              <w:spacing w:after="0"/>
              <w:rPr>
                <w:sz w:val="20"/>
                <w:szCs w:val="20"/>
                <w:color w:val="auto"/>
              </w:rPr>
            </w:pPr>
            <w:r>
              <w:rPr>
                <w:rFonts w:ascii="Arial" w:cs="Arial" w:eastAsia="Arial" w:hAnsi="Arial"/>
                <w:sz w:val="16"/>
                <w:szCs w:val="16"/>
                <w:color w:val="auto"/>
              </w:rPr>
              <w:t>​120</w:t>
            </w: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ind w:left="220"/>
              <w:spacing w:after="0"/>
              <w:rPr>
                <w:sz w:val="20"/>
                <w:szCs w:val="20"/>
                <w:color w:val="auto"/>
              </w:rPr>
            </w:pPr>
            <w:r>
              <w:rPr>
                <w:rFonts w:ascii="Arial" w:cs="Arial" w:eastAsia="Arial" w:hAnsi="Arial"/>
                <w:sz w:val="16"/>
                <w:szCs w:val="16"/>
                <w:color w:val="auto"/>
              </w:rPr>
              <w:t>​   758</w:t>
            </w:r>
          </w:p>
        </w:tc>
        <w:tc>
          <w:tcPr>
            <w:tcW w:w="100" w:type="dxa"/>
            <w:vAlign w:val="bottom"/>
          </w:tcPr>
          <w:p>
            <w:pPr>
              <w:spacing w:after="0"/>
              <w:rPr>
                <w:sz w:val="20"/>
                <w:szCs w:val="20"/>
                <w:color w:val="auto"/>
              </w:rPr>
            </w:pPr>
            <w:r>
              <w:rPr>
                <w:rFonts w:ascii="Arial" w:cs="Arial" w:eastAsia="Arial" w:hAnsi="Arial"/>
                <w:sz w:val="16"/>
                <w:szCs w:val="16"/>
                <w:color w:val="auto"/>
              </w:rPr>
              <w:t>​</w:t>
            </w:r>
          </w:p>
        </w:tc>
        <w:tc>
          <w:tcPr>
            <w:tcW w:w="660" w:type="dxa"/>
            <w:vAlign w:val="bottom"/>
          </w:tcPr>
          <w:p>
            <w:pPr>
              <w:jc w:val="center"/>
              <w:spacing w:after="0"/>
              <w:rPr>
                <w:sz w:val="20"/>
                <w:szCs w:val="20"/>
                <w:color w:val="auto"/>
              </w:rPr>
            </w:pPr>
            <w:r>
              <w:rPr>
                <w:rFonts w:ascii="Arial" w:cs="Arial" w:eastAsia="Arial" w:hAnsi="Arial"/>
                <w:sz w:val="16"/>
                <w:szCs w:val="16"/>
                <w:color w:val="auto"/>
              </w:rPr>
              <w:t>​1.91</w:t>
            </w:r>
          </w:p>
        </w:tc>
        <w:tc>
          <w:tcPr>
            <w:tcW w:w="40" w:type="dxa"/>
            <w:vAlign w:val="bottom"/>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720" w:type="dxa"/>
            <w:vAlign w:val="bottom"/>
          </w:tcPr>
          <w:p>
            <w:pPr>
              <w:spacing w:after="0"/>
              <w:rPr>
                <w:sz w:val="20"/>
                <w:szCs w:val="20"/>
                <w:color w:val="auto"/>
              </w:rPr>
            </w:pPr>
            <w:r>
              <w:rPr>
                <w:rFonts w:ascii="Arial" w:cs="Arial" w:eastAsia="Arial" w:hAnsi="Arial"/>
                <w:sz w:val="16"/>
                <w:szCs w:val="16"/>
                <w:color w:val="auto"/>
              </w:rPr>
              <w:t>2022</w:t>
            </w:r>
          </w:p>
        </w:tc>
        <w:tc>
          <w:tcPr>
            <w:tcW w:w="16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960" w:type="dxa"/>
            <w:vAlign w:val="bottom"/>
          </w:tcPr>
          <w:p>
            <w:pPr>
              <w:jc w:val="center"/>
              <w:ind w:right="4"/>
              <w:spacing w:after="0"/>
              <w:rPr>
                <w:sz w:val="20"/>
                <w:szCs w:val="20"/>
                <w:color w:val="auto"/>
              </w:rPr>
            </w:pPr>
            <w:r>
              <w:rPr>
                <w:rFonts w:ascii="Arial" w:cs="Arial" w:eastAsia="Arial" w:hAnsi="Arial"/>
                <w:sz w:val="16"/>
                <w:szCs w:val="16"/>
                <w:color w:val="auto"/>
              </w:rPr>
              <w:t>​2,423,711</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center"/>
              <w:spacing w:after="0"/>
              <w:rPr>
                <w:sz w:val="20"/>
                <w:szCs w:val="20"/>
                <w:color w:val="auto"/>
              </w:rPr>
            </w:pPr>
            <w:r>
              <w:rPr>
                <w:rFonts w:ascii="Arial" w:cs="Arial" w:eastAsia="Arial" w:hAnsi="Arial"/>
                <w:sz w:val="16"/>
                <w:szCs w:val="16"/>
                <w:color w:val="auto"/>
              </w:rPr>
              <w:t>​2,347,865</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center"/>
              <w:spacing w:after="0"/>
              <w:rPr>
                <w:sz w:val="20"/>
                <w:szCs w:val="20"/>
                <w:color w:val="auto"/>
              </w:rPr>
            </w:pPr>
            <w:r>
              <w:rPr>
                <w:rFonts w:ascii="Arial" w:cs="Arial" w:eastAsia="Arial" w:hAnsi="Arial"/>
                <w:sz w:val="16"/>
                <w:szCs w:val="16"/>
                <w:color w:val="auto"/>
              </w:rPr>
              <w:t>​1,500,597</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center"/>
              <w:spacing w:after="0"/>
              <w:rPr>
                <w:sz w:val="20"/>
                <w:szCs w:val="20"/>
                <w:color w:val="auto"/>
              </w:rPr>
            </w:pPr>
            <w:r>
              <w:rPr>
                <w:rFonts w:ascii="Arial" w:cs="Arial" w:eastAsia="Arial" w:hAnsi="Arial"/>
                <w:sz w:val="16"/>
                <w:szCs w:val="16"/>
                <w:color w:val="auto"/>
              </w:rPr>
              <w:t>​1,435,223</w:t>
            </w:r>
          </w:p>
        </w:tc>
        <w:tc>
          <w:tcPr>
            <w:tcW w:w="580" w:type="dxa"/>
            <w:vAlign w:val="bottom"/>
            <w:gridSpan w:val="3"/>
          </w:tcPr>
          <w:p>
            <w:pPr>
              <w:jc w:val="center"/>
              <w:ind w:right="60"/>
              <w:spacing w:after="0"/>
              <w:rPr>
                <w:sz w:val="20"/>
                <w:szCs w:val="20"/>
                <w:color w:val="auto"/>
              </w:rPr>
            </w:pPr>
            <w:r>
              <w:rPr>
                <w:rFonts w:ascii="Arial" w:cs="Arial" w:eastAsia="Arial" w:hAnsi="Arial"/>
                <w:sz w:val="16"/>
                <w:szCs w:val="16"/>
                <w:color w:val="auto"/>
              </w:rPr>
              <w:t>​​​ ​151 ​</w:t>
            </w:r>
          </w:p>
        </w:tc>
        <w:tc>
          <w:tcPr>
            <w:tcW w:w="520" w:type="dxa"/>
            <w:vAlign w:val="bottom"/>
          </w:tcPr>
          <w:p>
            <w:pPr>
              <w:jc w:val="center"/>
              <w:spacing w:after="0"/>
              <w:rPr>
                <w:sz w:val="20"/>
                <w:szCs w:val="20"/>
                <w:color w:val="auto"/>
              </w:rPr>
            </w:pPr>
            <w:r>
              <w:rPr>
                <w:rFonts w:ascii="Arial" w:cs="Arial" w:eastAsia="Arial" w:hAnsi="Arial"/>
                <w:sz w:val="16"/>
                <w:szCs w:val="16"/>
                <w:color w:val="auto"/>
              </w:rPr>
              <w:t>​111</w:t>
            </w: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ind w:left="220"/>
              <w:spacing w:after="0"/>
              <w:rPr>
                <w:sz w:val="20"/>
                <w:szCs w:val="20"/>
                <w:color w:val="auto"/>
              </w:rPr>
            </w:pPr>
            <w:r>
              <w:rPr>
                <w:rFonts w:ascii="Arial" w:cs="Arial" w:eastAsia="Arial" w:hAnsi="Arial"/>
                <w:sz w:val="16"/>
                <w:szCs w:val="16"/>
                <w:color w:val="auto"/>
              </w:rPr>
              <w:t>​(1,623)</w:t>
            </w:r>
          </w:p>
        </w:tc>
        <w:tc>
          <w:tcPr>
            <w:tcW w:w="100" w:type="dxa"/>
            <w:vAlign w:val="bottom"/>
          </w:tcPr>
          <w:p>
            <w:pPr>
              <w:spacing w:after="0"/>
              <w:rPr>
                <w:sz w:val="20"/>
                <w:szCs w:val="20"/>
                <w:color w:val="auto"/>
              </w:rPr>
            </w:pPr>
            <w:r>
              <w:rPr>
                <w:rFonts w:ascii="Arial" w:cs="Arial" w:eastAsia="Arial" w:hAnsi="Arial"/>
                <w:sz w:val="16"/>
                <w:szCs w:val="16"/>
                <w:color w:val="auto"/>
              </w:rPr>
              <w:t>​</w:t>
            </w:r>
          </w:p>
        </w:tc>
        <w:tc>
          <w:tcPr>
            <w:tcW w:w="660" w:type="dxa"/>
            <w:vAlign w:val="bottom"/>
          </w:tcPr>
          <w:p>
            <w:pPr>
              <w:jc w:val="center"/>
              <w:spacing w:after="0"/>
              <w:rPr>
                <w:sz w:val="20"/>
                <w:szCs w:val="20"/>
                <w:color w:val="auto"/>
              </w:rPr>
            </w:pPr>
            <w:r>
              <w:rPr>
                <w:rFonts w:ascii="Arial" w:cs="Arial" w:eastAsia="Arial" w:hAnsi="Arial"/>
                <w:sz w:val="16"/>
                <w:szCs w:val="16"/>
                <w:color w:val="auto"/>
              </w:rPr>
              <w:t>​1.83</w:t>
            </w:r>
          </w:p>
        </w:tc>
        <w:tc>
          <w:tcPr>
            <w:tcW w:w="40" w:type="dxa"/>
            <w:vAlign w:val="bottom"/>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6"/>
        </w:trPr>
        <w:tc>
          <w:tcPr>
            <w:tcW w:w="720" w:type="dxa"/>
            <w:vAlign w:val="bottom"/>
          </w:tcPr>
          <w:p>
            <w:pPr>
              <w:spacing w:after="0"/>
              <w:rPr>
                <w:sz w:val="20"/>
                <w:szCs w:val="20"/>
                <w:color w:val="auto"/>
              </w:rPr>
            </w:pPr>
            <w:r>
              <w:rPr>
                <w:rFonts w:ascii="Arial" w:cs="Arial" w:eastAsia="Arial" w:hAnsi="Arial"/>
                <w:sz w:val="16"/>
                <w:szCs w:val="16"/>
                <w:color w:val="auto"/>
              </w:rPr>
              <w:t>2021</w:t>
            </w:r>
          </w:p>
        </w:tc>
        <w:tc>
          <w:tcPr>
            <w:tcW w:w="16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960" w:type="dxa"/>
            <w:vAlign w:val="bottom"/>
          </w:tcPr>
          <w:p>
            <w:pPr>
              <w:jc w:val="center"/>
              <w:ind w:right="4"/>
              <w:spacing w:after="0"/>
              <w:rPr>
                <w:sz w:val="20"/>
                <w:szCs w:val="20"/>
                <w:color w:val="auto"/>
              </w:rPr>
            </w:pPr>
            <w:r>
              <w:rPr>
                <w:rFonts w:ascii="Arial" w:cs="Arial" w:eastAsia="Arial" w:hAnsi="Arial"/>
                <w:sz w:val="16"/>
                <w:szCs w:val="16"/>
                <w:color w:val="auto"/>
              </w:rPr>
              <w:t>​2,357,788</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center"/>
              <w:spacing w:after="0"/>
              <w:rPr>
                <w:sz w:val="20"/>
                <w:szCs w:val="20"/>
                <w:color w:val="auto"/>
              </w:rPr>
            </w:pPr>
            <w:r>
              <w:rPr>
                <w:rFonts w:ascii="Arial" w:cs="Arial" w:eastAsia="Arial" w:hAnsi="Arial"/>
                <w:sz w:val="16"/>
                <w:szCs w:val="16"/>
                <w:color w:val="auto"/>
              </w:rPr>
              <w:t>​4,535,058</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center"/>
              <w:spacing w:after="0"/>
              <w:rPr>
                <w:sz w:val="20"/>
                <w:szCs w:val="20"/>
                <w:color w:val="auto"/>
              </w:rPr>
            </w:pPr>
            <w:r>
              <w:rPr>
                <w:rFonts w:ascii="Arial" w:cs="Arial" w:eastAsia="Arial" w:hAnsi="Arial"/>
                <w:sz w:val="16"/>
                <w:szCs w:val="16"/>
                <w:color w:val="auto"/>
              </w:rPr>
              <w:t>​  947,655</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center"/>
              <w:spacing w:after="0"/>
              <w:rPr>
                <w:sz w:val="20"/>
                <w:szCs w:val="20"/>
                <w:color w:val="auto"/>
              </w:rPr>
            </w:pPr>
            <w:r>
              <w:rPr>
                <w:rFonts w:ascii="Arial" w:cs="Arial" w:eastAsia="Arial" w:hAnsi="Arial"/>
                <w:sz w:val="16"/>
                <w:szCs w:val="16"/>
                <w:color w:val="auto"/>
              </w:rPr>
              <w:t>​1,595,876</w:t>
            </w:r>
          </w:p>
        </w:tc>
        <w:tc>
          <w:tcPr>
            <w:tcW w:w="580" w:type="dxa"/>
            <w:vAlign w:val="bottom"/>
            <w:gridSpan w:val="3"/>
          </w:tcPr>
          <w:p>
            <w:pPr>
              <w:jc w:val="center"/>
              <w:ind w:right="60"/>
              <w:spacing w:after="0"/>
              <w:rPr>
                <w:sz w:val="20"/>
                <w:szCs w:val="20"/>
                <w:color w:val="auto"/>
              </w:rPr>
            </w:pPr>
            <w:r>
              <w:rPr>
                <w:rFonts w:ascii="Arial" w:cs="Arial" w:eastAsia="Arial" w:hAnsi="Arial"/>
                <w:sz w:val="16"/>
                <w:szCs w:val="16"/>
                <w:color w:val="auto"/>
              </w:rPr>
              <w:t>​​​ ​157 ​</w:t>
            </w:r>
          </w:p>
        </w:tc>
        <w:tc>
          <w:tcPr>
            <w:tcW w:w="520" w:type="dxa"/>
            <w:vAlign w:val="bottom"/>
          </w:tcPr>
          <w:p>
            <w:pPr>
              <w:jc w:val="center"/>
              <w:spacing w:after="0"/>
              <w:rPr>
                <w:sz w:val="20"/>
                <w:szCs w:val="20"/>
                <w:color w:val="auto"/>
              </w:rPr>
            </w:pPr>
            <w:r>
              <w:rPr>
                <w:rFonts w:ascii="Arial" w:cs="Arial" w:eastAsia="Arial" w:hAnsi="Arial"/>
                <w:sz w:val="16"/>
                <w:szCs w:val="16"/>
                <w:color w:val="auto"/>
              </w:rPr>
              <w:t>​130</w:t>
            </w: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ind w:left="220"/>
              <w:spacing w:after="0"/>
              <w:rPr>
                <w:sz w:val="20"/>
                <w:szCs w:val="20"/>
                <w:color w:val="auto"/>
              </w:rPr>
            </w:pPr>
            <w:r>
              <w:rPr>
                <w:rFonts w:ascii="Arial" w:cs="Arial" w:eastAsia="Arial" w:hAnsi="Arial"/>
                <w:sz w:val="16"/>
                <w:szCs w:val="16"/>
                <w:color w:val="auto"/>
              </w:rPr>
              <w:t>​27,615</w:t>
            </w:r>
          </w:p>
        </w:tc>
        <w:tc>
          <w:tcPr>
            <w:tcW w:w="100" w:type="dxa"/>
            <w:vAlign w:val="bottom"/>
          </w:tcPr>
          <w:p>
            <w:pPr>
              <w:spacing w:after="0"/>
              <w:rPr>
                <w:sz w:val="20"/>
                <w:szCs w:val="20"/>
                <w:color w:val="auto"/>
              </w:rPr>
            </w:pPr>
            <w:r>
              <w:rPr>
                <w:rFonts w:ascii="Arial" w:cs="Arial" w:eastAsia="Arial" w:hAnsi="Arial"/>
                <w:sz w:val="16"/>
                <w:szCs w:val="16"/>
                <w:color w:val="auto"/>
              </w:rPr>
              <w:t>​</w:t>
            </w:r>
          </w:p>
        </w:tc>
        <w:tc>
          <w:tcPr>
            <w:tcW w:w="660" w:type="dxa"/>
            <w:vAlign w:val="bottom"/>
          </w:tcPr>
          <w:p>
            <w:pPr>
              <w:jc w:val="center"/>
              <w:spacing w:after="0"/>
              <w:rPr>
                <w:sz w:val="20"/>
                <w:szCs w:val="20"/>
                <w:color w:val="auto"/>
              </w:rPr>
            </w:pPr>
            <w:r>
              <w:rPr>
                <w:rFonts w:ascii="Arial" w:cs="Arial" w:eastAsia="Arial" w:hAnsi="Arial"/>
                <w:sz w:val="16"/>
                <w:szCs w:val="16"/>
                <w:color w:val="auto"/>
              </w:rPr>
              <w:t>​1.45</w:t>
            </w:r>
          </w:p>
        </w:tc>
        <w:tc>
          <w:tcPr>
            <w:tcW w:w="40" w:type="dxa"/>
            <w:vAlign w:val="bottom"/>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-779780</wp:posOffset>
            </wp:positionV>
            <wp:extent cx="5212080" cy="1543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212080" cy="15430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-470535</wp:posOffset>
            </wp:positionV>
            <wp:extent cx="5212080" cy="1543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212080" cy="15430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-161925</wp:posOffset>
            </wp:positionV>
            <wp:extent cx="5212080" cy="16256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212080" cy="16256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154305</wp:posOffset>
            </wp:positionV>
            <wp:extent cx="123444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62" w:lineRule="exact"/>
        <w:rPr>
          <w:sz w:val="20"/>
          <w:szCs w:val="20"/>
          <w:color w:val="auto"/>
        </w:rPr>
      </w:pPr>
    </w:p>
    <w:p>
      <w:pPr>
        <w:jc w:val="both"/>
        <w:ind w:left="1620" w:right="419" w:hanging="360"/>
        <w:spacing w:after="0" w:line="293" w:lineRule="auto"/>
        <w:tabs>
          <w:tab w:leader="none" w:pos="16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Amounts represent “compensation actually paid” (as​ defined below) to our PEO and the average compensation actually paid to our remaining NEOs for the relevant fiscal year, as determined under SEC rules, which includes the individuals indicated in the table below for each fiscal year:</w:t>
      </w:r>
    </w:p>
    <w:p>
      <w:pPr>
        <w:spacing w:after="0" w:line="126" w:lineRule="exact"/>
        <w:rPr>
          <w:sz w:val="20"/>
          <w:szCs w:val="20"/>
          <w:color w:val="auto"/>
        </w:rPr>
      </w:pPr>
    </w:p>
    <w:tbl>
      <w:tblPr>
        <w:tblLayout w:type="fixed"/>
        <w:tblInd w:w="1620" w:type="dxa"/>
        <w:tblCellMar>
          <w:top w:w="0" w:type="dxa"/>
          <w:left w:w="0" w:type="dxa"/>
          <w:bottom w:w="0" w:type="dxa"/>
          <w:right w:w="0" w:type="dxa"/>
        </w:tblCellMar>
      </w:tblPr>
      <w:tr>
        <w:trPr>
          <w:trHeight w:val="212"/>
        </w:trPr>
        <w:tc>
          <w:tcPr>
            <w:tcW w:w="11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Year</w:t>
            </w:r>
          </w:p>
        </w:tc>
        <w:tc>
          <w:tcPr>
            <w:tcW w:w="800" w:type="dxa"/>
            <w:vAlign w:val="bottom"/>
            <w:tcBorders>
              <w:bottom w:val="single" w:sz="8" w:color="auto"/>
            </w:tcBorders>
          </w:tcPr>
          <w:p>
            <w:pPr>
              <w:spacing w:after="0"/>
              <w:rPr>
                <w:sz w:val="18"/>
                <w:szCs w:val="18"/>
                <w:color w:val="auto"/>
              </w:rPr>
            </w:pPr>
          </w:p>
        </w:tc>
        <w:tc>
          <w:tcPr>
            <w:tcW w:w="220" w:type="dxa"/>
            <w:vAlign w:val="bottom"/>
          </w:tcPr>
          <w:p>
            <w:pPr>
              <w:ind w:left="60"/>
              <w:spacing w:after="0"/>
              <w:rPr>
                <w:sz w:val="20"/>
                <w:szCs w:val="20"/>
                <w:color w:val="auto"/>
              </w:rPr>
            </w:pPr>
            <w:r>
              <w:rPr>
                <w:rFonts w:ascii="Arial" w:cs="Arial" w:eastAsia="Arial" w:hAnsi="Arial"/>
                <w:sz w:val="14"/>
                <w:szCs w:val="14"/>
                <w:b w:val="1"/>
                <w:bCs w:val="1"/>
                <w:color w:val="auto"/>
              </w:rPr>
              <w:t>​ ​</w:t>
            </w:r>
          </w:p>
        </w:tc>
        <w:tc>
          <w:tcPr>
            <w:tcW w:w="1380" w:type="dxa"/>
            <w:vAlign w:val="bottom"/>
            <w:tcBorders>
              <w:bottom w:val="single" w:sz="8" w:color="auto"/>
            </w:tcBorders>
          </w:tcPr>
          <w:p>
            <w:pPr>
              <w:ind w:left="720"/>
              <w:spacing w:after="0"/>
              <w:rPr>
                <w:sz w:val="20"/>
                <w:szCs w:val="20"/>
                <w:color w:val="auto"/>
              </w:rPr>
            </w:pPr>
            <w:r>
              <w:rPr>
                <w:rFonts w:ascii="Arial" w:cs="Arial" w:eastAsia="Arial" w:hAnsi="Arial"/>
                <w:sz w:val="14"/>
                <w:szCs w:val="14"/>
                <w:b w:val="1"/>
                <w:bCs w:val="1"/>
                <w:color w:val="auto"/>
              </w:rPr>
              <w:t>PEO</w:t>
            </w:r>
          </w:p>
        </w:tc>
        <w:tc>
          <w:tcPr>
            <w:tcW w:w="360" w:type="dxa"/>
            <w:vAlign w:val="bottom"/>
            <w:tcBorders>
              <w:bottom w:val="single" w:sz="8" w:color="auto"/>
            </w:tcBorders>
          </w:tcPr>
          <w:p>
            <w:pPr>
              <w:spacing w:after="0"/>
              <w:rPr>
                <w:sz w:val="18"/>
                <w:szCs w:val="18"/>
                <w:color w:val="auto"/>
              </w:rPr>
            </w:pPr>
          </w:p>
        </w:tc>
        <w:tc>
          <w:tcPr>
            <w:tcW w:w="200" w:type="dxa"/>
            <w:vAlign w:val="bottom"/>
          </w:tcPr>
          <w:p>
            <w:pPr>
              <w:ind w:left="40"/>
              <w:spacing w:after="0"/>
              <w:rPr>
                <w:sz w:val="20"/>
                <w:szCs w:val="20"/>
                <w:color w:val="auto"/>
              </w:rPr>
            </w:pPr>
            <w:r>
              <w:rPr>
                <w:rFonts w:ascii="Arial" w:cs="Arial" w:eastAsia="Arial" w:hAnsi="Arial"/>
                <w:sz w:val="14"/>
                <w:szCs w:val="14"/>
                <w:b w:val="1"/>
                <w:bCs w:val="1"/>
                <w:color w:val="auto"/>
              </w:rPr>
              <w:t>​ ​</w:t>
            </w:r>
          </w:p>
        </w:tc>
        <w:tc>
          <w:tcPr>
            <w:tcW w:w="3380" w:type="dxa"/>
            <w:vAlign w:val="bottom"/>
            <w:tcBorders>
              <w:bottom w:val="single" w:sz="8" w:color="auto"/>
            </w:tcBorders>
          </w:tcPr>
          <w:p>
            <w:pPr>
              <w:ind w:left="1160"/>
              <w:spacing w:after="0"/>
              <w:rPr>
                <w:sz w:val="20"/>
                <w:szCs w:val="20"/>
                <w:color w:val="auto"/>
              </w:rPr>
            </w:pPr>
            <w:r>
              <w:rPr>
                <w:rFonts w:ascii="Arial" w:cs="Arial" w:eastAsia="Arial" w:hAnsi="Arial"/>
                <w:sz w:val="14"/>
                <w:szCs w:val="14"/>
                <w:b w:val="1"/>
                <w:bCs w:val="1"/>
                <w:color w:val="auto"/>
              </w:rPr>
              <w:t>Non-PEO NEOs</w:t>
            </w: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173"/>
        </w:trPr>
        <w:tc>
          <w:tcPr>
            <w:tcW w:w="1140" w:type="dxa"/>
            <w:vAlign w:val="bottom"/>
          </w:tcPr>
          <w:p>
            <w:pPr>
              <w:spacing w:after="0"/>
              <w:rPr>
                <w:sz w:val="20"/>
                <w:szCs w:val="20"/>
                <w:color w:val="auto"/>
              </w:rPr>
            </w:pPr>
            <w:r>
              <w:rPr>
                <w:rFonts w:ascii="Arial" w:cs="Arial" w:eastAsia="Arial" w:hAnsi="Arial"/>
                <w:sz w:val="14"/>
                <w:szCs w:val="14"/>
                <w:color w:val="auto"/>
              </w:rPr>
              <w:t>2025</w:t>
            </w:r>
          </w:p>
        </w:tc>
        <w:tc>
          <w:tcPr>
            <w:tcW w:w="800" w:type="dxa"/>
            <w:vAlign w:val="bottom"/>
          </w:tcPr>
          <w:p>
            <w:pPr>
              <w:spacing w:after="0"/>
              <w:rPr>
                <w:sz w:val="15"/>
                <w:szCs w:val="15"/>
                <w:color w:val="auto"/>
              </w:rPr>
            </w:pPr>
          </w:p>
        </w:tc>
        <w:tc>
          <w:tcPr>
            <w:tcW w:w="220" w:type="dxa"/>
            <w:vAlign w:val="bottom"/>
          </w:tcPr>
          <w:p>
            <w:pPr>
              <w:spacing w:after="0"/>
              <w:rPr>
                <w:sz w:val="20"/>
                <w:szCs w:val="20"/>
                <w:color w:val="auto"/>
              </w:rPr>
            </w:pPr>
            <w:r>
              <w:rPr>
                <w:rFonts w:ascii="Arial" w:cs="Arial" w:eastAsia="Arial" w:hAnsi="Arial"/>
                <w:sz w:val="14"/>
                <w:szCs w:val="14"/>
                <w:color w:val="auto"/>
              </w:rPr>
              <w:t>​ ​</w:t>
            </w:r>
          </w:p>
        </w:tc>
        <w:tc>
          <w:tcPr>
            <w:tcW w:w="1380" w:type="dxa"/>
            <w:vAlign w:val="bottom"/>
          </w:tcPr>
          <w:p>
            <w:pPr>
              <w:spacing w:after="0"/>
              <w:rPr>
                <w:sz w:val="20"/>
                <w:szCs w:val="20"/>
                <w:color w:val="auto"/>
              </w:rPr>
            </w:pPr>
            <w:r>
              <w:rPr>
                <w:rFonts w:ascii="Arial" w:cs="Arial" w:eastAsia="Arial" w:hAnsi="Arial"/>
                <w:sz w:val="14"/>
                <w:szCs w:val="14"/>
                <w:color w:val="auto"/>
              </w:rPr>
              <w:t>John Albright</w:t>
            </w:r>
          </w:p>
        </w:tc>
        <w:tc>
          <w:tcPr>
            <w:tcW w:w="360" w:type="dxa"/>
            <w:vAlign w:val="bottom"/>
          </w:tcPr>
          <w:p>
            <w:pPr>
              <w:spacing w:after="0"/>
              <w:rPr>
                <w:sz w:val="15"/>
                <w:szCs w:val="15"/>
                <w:color w:val="auto"/>
              </w:rPr>
            </w:pPr>
          </w:p>
        </w:tc>
        <w:tc>
          <w:tcPr>
            <w:tcW w:w="200" w:type="dxa"/>
            <w:vAlign w:val="bottom"/>
          </w:tcPr>
          <w:p>
            <w:pPr>
              <w:spacing w:after="0"/>
              <w:rPr>
                <w:sz w:val="20"/>
                <w:szCs w:val="20"/>
                <w:color w:val="auto"/>
              </w:rPr>
            </w:pPr>
            <w:r>
              <w:rPr>
                <w:rFonts w:ascii="Arial" w:cs="Arial" w:eastAsia="Arial" w:hAnsi="Arial"/>
                <w:sz w:val="14"/>
                <w:szCs w:val="14"/>
                <w:color w:val="auto"/>
              </w:rPr>
              <w:t>​ ​</w:t>
            </w:r>
          </w:p>
        </w:tc>
        <w:tc>
          <w:tcPr>
            <w:tcW w:w="3380" w:type="dxa"/>
            <w:vAlign w:val="bottom"/>
          </w:tcPr>
          <w:p>
            <w:pPr>
              <w:spacing w:after="0"/>
              <w:rPr>
                <w:sz w:val="20"/>
                <w:szCs w:val="20"/>
                <w:color w:val="auto"/>
              </w:rPr>
            </w:pPr>
            <w:r>
              <w:rPr>
                <w:rFonts w:ascii="Arial" w:cs="Arial" w:eastAsia="Arial" w:hAnsi="Arial"/>
                <w:sz w:val="14"/>
                <w:szCs w:val="14"/>
                <w:color w:val="auto"/>
              </w:rPr>
              <w:t>Steven Greathouse, Philip Mays, Daniel Smith,</w:t>
            </w:r>
          </w:p>
        </w:tc>
        <w:tc>
          <w:tcPr>
            <w:tcW w:w="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0"/>
        </w:trPr>
        <w:tc>
          <w:tcPr>
            <w:tcW w:w="1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380" w:type="dxa"/>
            <w:vAlign w:val="bottom"/>
          </w:tcPr>
          <w:p>
            <w:pPr>
              <w:spacing w:after="0"/>
              <w:rPr>
                <w:sz w:val="20"/>
                <w:szCs w:val="20"/>
                <w:color w:val="auto"/>
              </w:rPr>
            </w:pPr>
            <w:r>
              <w:rPr>
                <w:rFonts w:ascii="Arial" w:cs="Arial" w:eastAsia="Arial" w:hAnsi="Arial"/>
                <w:sz w:val="14"/>
                <w:szCs w:val="14"/>
                <w:color w:val="auto"/>
              </w:rPr>
              <w:t>Lisa Vorakoun</w:t>
            </w:r>
          </w:p>
        </w:tc>
        <w:tc>
          <w:tcPr>
            <w:tcW w:w="40" w:type="dxa"/>
            <w:vAlign w:val="bottom"/>
          </w:tcPr>
          <w:p>
            <w:pPr>
              <w:spacing w:after="0"/>
              <w:rPr>
                <w:sz w:val="16"/>
                <w:szCs w:val="16"/>
                <w:color w:val="auto"/>
              </w:rPr>
            </w:pPr>
          </w:p>
        </w:tc>
      </w:tr>
      <w:tr>
        <w:trPr>
          <w:trHeight w:val="228"/>
        </w:trPr>
        <w:tc>
          <w:tcPr>
            <w:tcW w:w="1140" w:type="dxa"/>
            <w:vAlign w:val="bottom"/>
          </w:tcPr>
          <w:p>
            <w:pPr>
              <w:spacing w:after="0"/>
              <w:rPr>
                <w:sz w:val="20"/>
                <w:szCs w:val="20"/>
                <w:color w:val="auto"/>
              </w:rPr>
            </w:pPr>
            <w:r>
              <w:rPr>
                <w:rFonts w:ascii="Arial" w:cs="Arial" w:eastAsia="Arial" w:hAnsi="Arial"/>
                <w:sz w:val="14"/>
                <w:szCs w:val="14"/>
                <w:color w:val="auto"/>
              </w:rPr>
              <w:t>2024</w:t>
            </w:r>
          </w:p>
        </w:tc>
        <w:tc>
          <w:tcPr>
            <w:tcW w:w="2400" w:type="dxa"/>
            <w:vAlign w:val="bottom"/>
            <w:gridSpan w:val="3"/>
          </w:tcPr>
          <w:p>
            <w:pPr>
              <w:ind w:left="800"/>
              <w:spacing w:after="0" w:line="228" w:lineRule="exact"/>
              <w:rPr>
                <w:sz w:val="20"/>
                <w:szCs w:val="20"/>
                <w:color w:val="auto"/>
              </w:rPr>
            </w:pPr>
            <w:r>
              <w:rPr>
                <w:rFonts w:ascii="Arial" w:cs="Arial" w:eastAsia="Arial" w:hAnsi="Arial"/>
                <w:sz w:val="26"/>
                <w:szCs w:val="26"/>
                <w:color w:val="auto"/>
                <w:vertAlign w:val="superscript"/>
              </w:rPr>
              <w:t>​ ​</w:t>
            </w:r>
            <w:r>
              <w:rPr>
                <w:rFonts w:ascii="Arial" w:cs="Arial" w:eastAsia="Arial" w:hAnsi="Arial"/>
                <w:sz w:val="14"/>
                <w:szCs w:val="14"/>
                <w:color w:val="auto"/>
              </w:rPr>
              <w:t xml:space="preserve"> John Albright</w:t>
            </w:r>
          </w:p>
        </w:tc>
        <w:tc>
          <w:tcPr>
            <w:tcW w:w="3940" w:type="dxa"/>
            <w:vAlign w:val="bottom"/>
            <w:gridSpan w:val="3"/>
          </w:tcPr>
          <w:p>
            <w:pPr>
              <w:ind w:left="340"/>
              <w:spacing w:after="0" w:line="228" w:lineRule="exact"/>
              <w:rPr>
                <w:sz w:val="20"/>
                <w:szCs w:val="20"/>
                <w:color w:val="auto"/>
              </w:rPr>
            </w:pPr>
            <w:r>
              <w:rPr>
                <w:rFonts w:ascii="Arial" w:cs="Arial" w:eastAsia="Arial" w:hAnsi="Arial"/>
                <w:sz w:val="26"/>
                <w:szCs w:val="26"/>
                <w:color w:val="auto"/>
                <w:vertAlign w:val="superscript"/>
              </w:rPr>
              <w:t>​ ​</w:t>
            </w:r>
            <w:r>
              <w:rPr>
                <w:rFonts w:ascii="Arial" w:cs="Arial" w:eastAsia="Arial" w:hAnsi="Arial"/>
                <w:sz w:val="14"/>
                <w:szCs w:val="14"/>
                <w:color w:val="auto"/>
              </w:rPr>
              <w:t xml:space="preserve"> Steven Greathouse, Philip Mays, Matthew Partridge,</w:t>
            </w:r>
          </w:p>
        </w:tc>
        <w:tc>
          <w:tcPr>
            <w:tcW w:w="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0"/>
        </w:trPr>
        <w:tc>
          <w:tcPr>
            <w:tcW w:w="1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380" w:type="dxa"/>
            <w:vAlign w:val="bottom"/>
          </w:tcPr>
          <w:p>
            <w:pPr>
              <w:spacing w:after="0"/>
              <w:rPr>
                <w:sz w:val="20"/>
                <w:szCs w:val="20"/>
                <w:color w:val="auto"/>
              </w:rPr>
            </w:pPr>
            <w:r>
              <w:rPr>
                <w:rFonts w:ascii="Arial" w:cs="Arial" w:eastAsia="Arial" w:hAnsi="Arial"/>
                <w:sz w:val="14"/>
                <w:szCs w:val="14"/>
                <w:color w:val="auto"/>
              </w:rPr>
              <w:t>Daniel Smith, Lisa Vorakoun</w:t>
            </w:r>
          </w:p>
        </w:tc>
        <w:tc>
          <w:tcPr>
            <w:tcW w:w="40" w:type="dxa"/>
            <w:vAlign w:val="bottom"/>
          </w:tcPr>
          <w:p>
            <w:pPr>
              <w:spacing w:after="0"/>
              <w:rPr>
                <w:sz w:val="16"/>
                <w:szCs w:val="16"/>
                <w:color w:val="auto"/>
              </w:rPr>
            </w:pPr>
          </w:p>
        </w:tc>
      </w:tr>
      <w:tr>
        <w:trPr>
          <w:trHeight w:val="242"/>
        </w:trPr>
        <w:tc>
          <w:tcPr>
            <w:tcW w:w="1140" w:type="dxa"/>
            <w:vAlign w:val="bottom"/>
          </w:tcPr>
          <w:p>
            <w:pPr>
              <w:spacing w:after="0"/>
              <w:rPr>
                <w:sz w:val="20"/>
                <w:szCs w:val="20"/>
                <w:color w:val="auto"/>
              </w:rPr>
            </w:pPr>
            <w:r>
              <w:rPr>
                <w:rFonts w:ascii="Arial" w:cs="Arial" w:eastAsia="Arial" w:hAnsi="Arial"/>
                <w:sz w:val="14"/>
                <w:szCs w:val="14"/>
                <w:color w:val="auto"/>
              </w:rPr>
              <w:t>2023</w:t>
            </w:r>
          </w:p>
        </w:tc>
        <w:tc>
          <w:tcPr>
            <w:tcW w:w="2400" w:type="dxa"/>
            <w:vAlign w:val="bottom"/>
            <w:gridSpan w:val="3"/>
          </w:tcPr>
          <w:p>
            <w:pPr>
              <w:ind w:left="800"/>
              <w:spacing w:after="0" w:line="242"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4"/>
                <w:szCs w:val="14"/>
                <w:color w:val="auto"/>
              </w:rPr>
              <w:t xml:space="preserve"> John Albright</w:t>
            </w:r>
          </w:p>
        </w:tc>
        <w:tc>
          <w:tcPr>
            <w:tcW w:w="3980" w:type="dxa"/>
            <w:vAlign w:val="bottom"/>
            <w:gridSpan w:val="4"/>
          </w:tcPr>
          <w:p>
            <w:pPr>
              <w:jc w:val="right"/>
              <w:spacing w:after="0" w:line="242"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4"/>
                <w:szCs w:val="14"/>
                <w:color w:val="auto"/>
              </w:rPr>
              <w:t xml:space="preserve"> Steven Greathouse, Matthew Partridge, Daniel Smith </w:t>
            </w:r>
            <w:r>
              <w:rPr>
                <w:rFonts w:ascii="Arial" w:cs="Arial" w:eastAsia="Arial" w:hAnsi="Arial"/>
                <w:sz w:val="28"/>
                <w:szCs w:val="28"/>
                <w:color w:val="auto"/>
                <w:vertAlign w:val="superscript"/>
              </w:rPr>
              <w:t>​</w:t>
            </w:r>
          </w:p>
        </w:tc>
      </w:tr>
      <w:tr>
        <w:trPr>
          <w:trHeight w:val="230"/>
        </w:trPr>
        <w:tc>
          <w:tcPr>
            <w:tcW w:w="1140" w:type="dxa"/>
            <w:vAlign w:val="bottom"/>
          </w:tcPr>
          <w:p>
            <w:pPr>
              <w:spacing w:after="0"/>
              <w:rPr>
                <w:sz w:val="20"/>
                <w:szCs w:val="20"/>
                <w:color w:val="auto"/>
              </w:rPr>
            </w:pPr>
            <w:r>
              <w:rPr>
                <w:rFonts w:ascii="Arial" w:cs="Arial" w:eastAsia="Arial" w:hAnsi="Arial"/>
                <w:sz w:val="14"/>
                <w:szCs w:val="14"/>
                <w:color w:val="auto"/>
              </w:rPr>
              <w:t>2022</w:t>
            </w:r>
          </w:p>
        </w:tc>
        <w:tc>
          <w:tcPr>
            <w:tcW w:w="2400" w:type="dxa"/>
            <w:vAlign w:val="bottom"/>
            <w:gridSpan w:val="3"/>
          </w:tcPr>
          <w:p>
            <w:pPr>
              <w:ind w:left="800"/>
              <w:spacing w:after="0" w:line="230" w:lineRule="exact"/>
              <w:rPr>
                <w:sz w:val="20"/>
                <w:szCs w:val="20"/>
                <w:color w:val="auto"/>
              </w:rPr>
            </w:pPr>
            <w:r>
              <w:rPr>
                <w:rFonts w:ascii="Arial" w:cs="Arial" w:eastAsia="Arial" w:hAnsi="Arial"/>
                <w:sz w:val="26"/>
                <w:szCs w:val="26"/>
                <w:color w:val="auto"/>
                <w:vertAlign w:val="superscript"/>
              </w:rPr>
              <w:t>​ ​</w:t>
            </w:r>
            <w:r>
              <w:rPr>
                <w:rFonts w:ascii="Arial" w:cs="Arial" w:eastAsia="Arial" w:hAnsi="Arial"/>
                <w:sz w:val="14"/>
                <w:szCs w:val="14"/>
                <w:color w:val="auto"/>
              </w:rPr>
              <w:t xml:space="preserve"> John Albright</w:t>
            </w:r>
          </w:p>
        </w:tc>
        <w:tc>
          <w:tcPr>
            <w:tcW w:w="3980" w:type="dxa"/>
            <w:vAlign w:val="bottom"/>
            <w:gridSpan w:val="4"/>
          </w:tcPr>
          <w:p>
            <w:pPr>
              <w:jc w:val="right"/>
              <w:spacing w:after="0" w:line="230" w:lineRule="exact"/>
              <w:rPr>
                <w:sz w:val="20"/>
                <w:szCs w:val="20"/>
                <w:color w:val="auto"/>
              </w:rPr>
            </w:pPr>
            <w:r>
              <w:rPr>
                <w:rFonts w:ascii="Arial" w:cs="Arial" w:eastAsia="Arial" w:hAnsi="Arial"/>
                <w:sz w:val="26"/>
                <w:szCs w:val="26"/>
                <w:color w:val="auto"/>
                <w:vertAlign w:val="superscript"/>
              </w:rPr>
              <w:t>​ ​</w:t>
            </w:r>
            <w:r>
              <w:rPr>
                <w:rFonts w:ascii="Arial" w:cs="Arial" w:eastAsia="Arial" w:hAnsi="Arial"/>
                <w:sz w:val="14"/>
                <w:szCs w:val="14"/>
                <w:color w:val="auto"/>
              </w:rPr>
              <w:t xml:space="preserve"> Steven Greathouse, Matthew Partridge, Daniel Smith </w:t>
            </w:r>
            <w:r>
              <w:rPr>
                <w:rFonts w:ascii="Arial" w:cs="Arial" w:eastAsia="Arial" w:hAnsi="Arial"/>
                <w:sz w:val="26"/>
                <w:szCs w:val="26"/>
                <w:color w:val="auto"/>
                <w:vertAlign w:val="superscript"/>
              </w:rPr>
              <w:t>​</w:t>
            </w:r>
          </w:p>
        </w:tc>
      </w:tr>
      <w:tr>
        <w:trPr>
          <w:trHeight w:val="284"/>
        </w:trPr>
        <w:tc>
          <w:tcPr>
            <w:tcW w:w="1140" w:type="dxa"/>
            <w:vAlign w:val="bottom"/>
          </w:tcPr>
          <w:p>
            <w:pPr>
              <w:spacing w:after="0"/>
              <w:rPr>
                <w:sz w:val="20"/>
                <w:szCs w:val="20"/>
                <w:color w:val="auto"/>
              </w:rPr>
            </w:pPr>
            <w:r>
              <w:rPr>
                <w:rFonts w:ascii="Arial" w:cs="Arial" w:eastAsia="Arial" w:hAnsi="Arial"/>
                <w:sz w:val="14"/>
                <w:szCs w:val="14"/>
                <w:color w:val="auto"/>
              </w:rPr>
              <w:t>2021</w:t>
            </w:r>
          </w:p>
        </w:tc>
        <w:tc>
          <w:tcPr>
            <w:tcW w:w="2400" w:type="dxa"/>
            <w:vAlign w:val="bottom"/>
            <w:gridSpan w:val="3"/>
          </w:tcPr>
          <w:p>
            <w:pPr>
              <w:ind w:left="800"/>
              <w:spacing w:after="0" w:line="284"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4"/>
                <w:szCs w:val="14"/>
                <w:color w:val="auto"/>
              </w:rPr>
              <w:t xml:space="preserve"> John Albright</w:t>
            </w:r>
          </w:p>
        </w:tc>
        <w:tc>
          <w:tcPr>
            <w:tcW w:w="3980" w:type="dxa"/>
            <w:vAlign w:val="bottom"/>
            <w:gridSpan w:val="4"/>
          </w:tcPr>
          <w:p>
            <w:pPr>
              <w:jc w:val="right"/>
              <w:spacing w:after="0" w:line="284"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4"/>
                <w:szCs w:val="14"/>
                <w:color w:val="auto"/>
              </w:rPr>
              <w:t xml:space="preserve"> Steven Greathouse, Matthew Partridge, Daniel Smith </w:t>
            </w:r>
            <w:r>
              <w:rPr>
                <w:rFonts w:ascii="Arial" w:cs="Arial" w:eastAsia="Arial" w:hAnsi="Arial"/>
                <w:sz w:val="28"/>
                <w:szCs w:val="28"/>
                <w:color w:val="auto"/>
                <w:vertAlign w:val="superscript"/>
              </w:rPr>
              <w:t>​</w:t>
            </w:r>
          </w:p>
        </w:tc>
      </w:tr>
    </w:tbl>
    <w:p>
      <w:pPr>
        <w:jc w:val="both"/>
        <w:ind w:left="1620" w:right="419" w:hanging="360"/>
        <w:spacing w:after="0" w:line="271" w:lineRule="auto"/>
        <w:tabs>
          <w:tab w:leader="none" w:pos="16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 xml:space="preserve">Represents the cumulative TSR (the “Peer Group TSR”) of the 2025 Peer Group (see page </w:t>
      </w:r>
      <w:r>
        <w:rPr>
          <w:rFonts w:ascii="Arial" w:cs="Arial" w:eastAsia="Arial" w:hAnsi="Arial"/>
          <w:sz w:val="14"/>
          <w:szCs w:val="14"/>
          <w:u w:val="single" w:color="auto"/>
          <w:color w:val="0000EE"/>
        </w:rPr>
        <w:t>33</w:t>
      </w:r>
      <w:r>
        <w:rPr>
          <w:rFonts w:ascii="Arial" w:cs="Arial" w:eastAsia="Arial" w:hAnsi="Arial"/>
          <w:sz w:val="14"/>
          <w:szCs w:val="14"/>
          <w:color w:val="auto"/>
        </w:rPr>
        <w:t xml:space="preserve"> above), which was used for compensation benchmarking purposes for 2025 compensation as described above. The 2025 Peer Group consisted of some of the same companies as the 2024 Peer Group, although to construct the 2025 Peer Group, four of the companies from the 2024 Peer Group were removed and five new companies were added. The changes were made by the Compensation Committee after reviewing the Company’s and the peer companies’ asset bases, market capitalizations, total enterprise values, and other factors. Also, the 2024 Peer Group consisted of the same companies as the 2023 Peer Group. For 2022, the peer group used for compensation benchmarking purposes consisted of the same companies as the 2023 Peer Group, except that Cedar Realty Trust, Inc. was included for 2022 and was removed for 2023 and replaced with RPT Realty. This change was made by the Compensation Committee after reviewing the Company’s and the peer companies’ asset bases, market capitalizations, total enterprise values, and other factors. A comparison of the Company’s TSR and the Peer Group TSR for 2021, 2022, 2023, 2024 and 2025 is set forth in the sub-table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262255</wp:posOffset>
            </wp:positionV>
            <wp:extent cx="683196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8" w:name="page59"/>
    <w:bookmarkEnd w:id="58"/>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620"/>
        <w:spacing w:after="0"/>
        <w:rPr>
          <w:sz w:val="20"/>
          <w:szCs w:val="20"/>
          <w:color w:val="auto"/>
        </w:rPr>
      </w:pPr>
      <w:r>
        <w:rPr>
          <w:rFonts w:ascii="Arial" w:cs="Arial" w:eastAsia="Arial" w:hAnsi="Arial"/>
          <w:sz w:val="14"/>
          <w:szCs w:val="14"/>
          <w:b w:val="1"/>
          <w:bCs w:val="1"/>
          <w:color w:val="auto"/>
        </w:rPr>
        <w:t>​</w:t>
      </w:r>
    </w:p>
    <w:p>
      <w:pPr>
        <w:spacing w:after="0" w:line="379" w:lineRule="exact"/>
        <w:rPr>
          <w:sz w:val="20"/>
          <w:szCs w:val="20"/>
          <w:color w:val="auto"/>
        </w:rPr>
      </w:pPr>
    </w:p>
    <w:p>
      <w:pPr>
        <w:ind w:left="1620"/>
        <w:spacing w:after="0"/>
        <w:rPr>
          <w:sz w:val="20"/>
          <w:szCs w:val="20"/>
          <w:color w:val="auto"/>
        </w:rPr>
      </w:pPr>
      <w:r>
        <w:rPr>
          <w:rFonts w:ascii="Arial" w:cs="Arial" w:eastAsia="Arial" w:hAnsi="Arial"/>
          <w:sz w:val="13"/>
          <w:szCs w:val="13"/>
          <w:b w:val="1"/>
          <w:bCs w:val="1"/>
          <w:color w:val="auto"/>
        </w:rPr>
        <w:t>Year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820" w:type="dxa"/>
            <w:vAlign w:val="bottom"/>
            <w:gridSpan w:val="6"/>
          </w:tcPr>
          <w:p>
            <w:pPr>
              <w:jc w:val="right"/>
              <w:spacing w:after="0"/>
              <w:rPr>
                <w:sz w:val="20"/>
                <w:szCs w:val="20"/>
                <w:color w:val="auto"/>
              </w:rPr>
            </w:pPr>
            <w:r>
              <w:rPr>
                <w:rFonts w:ascii="Arial" w:cs="Arial" w:eastAsia="Arial" w:hAnsi="Arial"/>
                <w:sz w:val="14"/>
                <w:szCs w:val="14"/>
                <w:b w:val="1"/>
                <w:bCs w:val="1"/>
                <w:color w:val="auto"/>
              </w:rPr>
              <w:t>Value of Initial Fixed $100</w:t>
            </w: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Investment</w:t>
            </w:r>
          </w:p>
        </w:tc>
      </w:tr>
      <w:tr>
        <w:trPr>
          <w:trHeight w:val="223"/>
        </w:trPr>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 ​</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gridSpan w:val="2"/>
          </w:tcPr>
          <w:p>
            <w:pPr>
              <w:ind w:left="80"/>
              <w:spacing w:after="0"/>
              <w:rPr>
                <w:sz w:val="20"/>
                <w:szCs w:val="20"/>
                <w:color w:val="auto"/>
              </w:rPr>
            </w:pPr>
            <w:r>
              <w:rPr>
                <w:rFonts w:ascii="Arial" w:cs="Arial" w:eastAsia="Arial" w:hAnsi="Arial"/>
                <w:sz w:val="14"/>
                <w:szCs w:val="14"/>
                <w:b w:val="1"/>
                <w:bCs w:val="1"/>
                <w:color w:val="auto"/>
              </w:rPr>
              <w:t>Based On:</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182"/>
        </w:trPr>
        <w:tc>
          <w:tcPr>
            <w:tcW w:w="920" w:type="dxa"/>
            <w:vAlign w:val="bottom"/>
            <w:gridSpan w:val="2"/>
          </w:tcPr>
          <w:p>
            <w:pPr>
              <w:jc w:val="center"/>
              <w:ind w:left="92"/>
              <w:spacing w:after="0"/>
              <w:rPr>
                <w:sz w:val="20"/>
                <w:szCs w:val="20"/>
                <w:color w:val="auto"/>
              </w:rPr>
            </w:pPr>
            <w:r>
              <w:rPr>
                <w:rFonts w:ascii="Arial" w:cs="Arial" w:eastAsia="Arial" w:hAnsi="Arial"/>
                <w:sz w:val="14"/>
                <w:szCs w:val="14"/>
                <w:b w:val="1"/>
                <w:bCs w:val="1"/>
                <w:color w:val="auto"/>
              </w:rPr>
              <w:t>Company</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2022 Peer</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2023 Peer</w:t>
            </w:r>
          </w:p>
        </w:tc>
      </w:tr>
      <w:tr>
        <w:trPr>
          <w:trHeight w:val="162"/>
        </w:trPr>
        <w:tc>
          <w:tcPr>
            <w:tcW w:w="2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9"/>
              </w:rPr>
              <w:t>TSR</w:t>
            </w:r>
          </w:p>
        </w:tc>
        <w:tc>
          <w:tcPr>
            <w:tcW w:w="200" w:type="dxa"/>
            <w:vAlign w:val="bottom"/>
          </w:tcPr>
          <w:p>
            <w:pPr>
              <w:spacing w:after="0"/>
              <w:rPr>
                <w:sz w:val="14"/>
                <w:szCs w:val="14"/>
                <w:color w:val="auto"/>
              </w:rPr>
            </w:pPr>
          </w:p>
        </w:tc>
        <w:tc>
          <w:tcPr>
            <w:tcW w:w="8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Group TSR</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Group TSR</w:t>
            </w:r>
          </w:p>
        </w:tc>
      </w:tr>
      <w:tr>
        <w:trPr>
          <w:trHeight w:val="198"/>
        </w:trPr>
        <w:tc>
          <w:tcPr>
            <w:tcW w:w="920" w:type="dxa"/>
            <w:vAlign w:val="bottom"/>
            <w:gridSpan w:val="2"/>
          </w:tcPr>
          <w:p>
            <w:pPr>
              <w:ind w:left="40"/>
              <w:spacing w:after="0" w:line="199" w:lineRule="exact"/>
              <w:rPr>
                <w:sz w:val="20"/>
                <w:szCs w:val="20"/>
                <w:color w:val="auto"/>
              </w:rPr>
            </w:pPr>
            <w:r>
              <w:rPr>
                <w:rFonts w:ascii="Arial" w:cs="Arial" w:eastAsia="Arial" w:hAnsi="Arial"/>
                <w:sz w:val="22"/>
                <w:szCs w:val="22"/>
                <w:b w:val="1"/>
                <w:bCs w:val="1"/>
                <w:color w:val="auto"/>
                <w:vertAlign w:val="subscript"/>
              </w:rPr>
              <w:t>​ ​</w:t>
            </w:r>
            <w:r>
              <w:rPr>
                <w:rFonts w:ascii="Arial" w:cs="Arial" w:eastAsia="Arial" w:hAnsi="Arial"/>
                <w:sz w:val="12"/>
                <w:szCs w:val="12"/>
                <w:b w:val="1"/>
                <w:bCs w:val="1"/>
                <w:color w:val="auto"/>
              </w:rPr>
              <w:t xml:space="preserve">    ($)</w:t>
            </w:r>
          </w:p>
        </w:tc>
        <w:tc>
          <w:tcPr>
            <w:tcW w:w="200" w:type="dxa"/>
            <w:vAlign w:val="bottom"/>
          </w:tcPr>
          <w:p>
            <w:pPr>
              <w:ind w:left="40"/>
              <w:spacing w:after="0"/>
              <w:rPr>
                <w:sz w:val="20"/>
                <w:szCs w:val="20"/>
                <w:color w:val="auto"/>
              </w:rPr>
            </w:pPr>
            <w:r>
              <w:rPr>
                <w:rFonts w:ascii="Arial" w:cs="Arial" w:eastAsia="Arial" w:hAnsi="Arial"/>
                <w:sz w:val="14"/>
                <w:szCs w:val="14"/>
                <w:b w:val="1"/>
                <w:bCs w:val="1"/>
                <w:color w:val="auto"/>
              </w:rPr>
              <w:t>​ ​</w:t>
            </w:r>
          </w:p>
        </w:tc>
        <w:tc>
          <w:tcPr>
            <w:tcW w:w="820" w:type="dxa"/>
            <w:vAlign w:val="bottom"/>
            <w:gridSpan w:val="2"/>
          </w:tcPr>
          <w:p>
            <w:pPr>
              <w:jc w:val="center"/>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r>
      <w:tr>
        <w:trPr>
          <w:trHeight w:val="20"/>
        </w:trPr>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-2879725</wp:posOffset>
            </wp:positionH>
            <wp:positionV relativeFrom="paragraph">
              <wp:posOffset>-7620</wp:posOffset>
            </wp:positionV>
            <wp:extent cx="4749165" cy="1543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749165" cy="154305"/>
                    </a:xfrm>
                    <a:prstGeom prst="rect">
                      <a:avLst/>
                    </a:prstGeom>
                    <a:noFill/>
                  </pic:spPr>
                </pic:pic>
              </a:graphicData>
            </a:graphic>
          </wp:anchor>
        </w:drawing>
        <w:drawing>
          <wp:anchor simplePos="0" relativeHeight="251657728" behindDoc="1" locked="0" layoutInCell="0" allowOverlap="1">
            <wp:simplePos x="0" y="0"/>
            <wp:positionH relativeFrom="column">
              <wp:posOffset>137160</wp:posOffset>
            </wp:positionH>
            <wp:positionV relativeFrom="paragraph">
              <wp:posOffset>-368300</wp:posOffset>
            </wp:positionV>
            <wp:extent cx="173164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73164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t>
      </w:r>
    </w:p>
    <w:p>
      <w:pPr>
        <w:spacing w:after="0" w:line="24" w:lineRule="exact"/>
        <w:rPr>
          <w:sz w:val="20"/>
          <w:szCs w:val="20"/>
          <w:color w:val="auto"/>
        </w:rPr>
      </w:pPr>
    </w:p>
    <w:p>
      <w:pPr>
        <w:sectPr>
          <w:pgSz w:w="11900" w:h="16838" w:orient="portrait"/>
          <w:cols w:equalWidth="0" w:num="3">
            <w:col w:w="5440" w:space="720"/>
            <w:col w:w="2900" w:space="40"/>
            <w:col w:w="779"/>
          </w:cols>
          <w:pgMar w:left="580" w:top="97" w:right="1440" w:bottom="1440" w:gutter="0" w:footer="0" w:header="0"/>
          <w:type w:val="continuous"/>
        </w:sectPr>
      </w:pPr>
    </w:p>
    <w:tbl>
      <w:tblPr>
        <w:tblLayout w:type="fixed"/>
        <w:tblInd w:w="1620" w:type="dxa"/>
        <w:tblCellMar>
          <w:top w:w="0" w:type="dxa"/>
          <w:left w:w="0" w:type="dxa"/>
          <w:bottom w:w="0" w:type="dxa"/>
          <w:right w:w="0" w:type="dxa"/>
        </w:tblCellMar>
      </w:tblPr>
      <w:tr>
        <w:trPr>
          <w:trHeight w:val="243"/>
        </w:trPr>
        <w:tc>
          <w:tcPr>
            <w:tcW w:w="2460" w:type="dxa"/>
            <w:vAlign w:val="bottom"/>
          </w:tcPr>
          <w:p>
            <w:pPr>
              <w:jc w:val="right"/>
              <w:ind w:right="2068"/>
              <w:spacing w:after="0"/>
              <w:rPr>
                <w:sz w:val="20"/>
                <w:szCs w:val="20"/>
                <w:color w:val="auto"/>
              </w:rPr>
            </w:pPr>
            <w:r>
              <w:rPr>
                <w:rFonts w:ascii="Arial" w:cs="Arial" w:eastAsia="Arial" w:hAnsi="Arial"/>
                <w:sz w:val="14"/>
                <w:szCs w:val="14"/>
                <w:color w:val="auto"/>
                <w:w w:val="96"/>
              </w:rPr>
              <w:t>2021</w:t>
            </w:r>
          </w:p>
        </w:tc>
        <w:tc>
          <w:tcPr>
            <w:tcW w:w="2400" w:type="dxa"/>
            <w:vAlign w:val="bottom"/>
            <w:gridSpan w:val="2"/>
          </w:tcPr>
          <w:p>
            <w:pPr>
              <w:jc w:val="right"/>
              <w:ind w:right="48"/>
              <w:spacing w:after="0"/>
              <w:rPr>
                <w:sz w:val="20"/>
                <w:szCs w:val="20"/>
                <w:color w:val="auto"/>
              </w:rPr>
            </w:pPr>
            <w:r>
              <w:rPr>
                <w:rFonts w:ascii="Arial" w:cs="Arial" w:eastAsia="Arial" w:hAnsi="Arial"/>
                <w:sz w:val="14"/>
                <w:szCs w:val="14"/>
                <w:color w:val="auto"/>
              </w:rPr>
              <w:t>​ ​</w:t>
            </w:r>
          </w:p>
        </w:tc>
        <w:tc>
          <w:tcPr>
            <w:tcW w:w="480" w:type="dxa"/>
            <w:vAlign w:val="bottom"/>
          </w:tcPr>
          <w:p>
            <w:pPr>
              <w:ind w:left="100"/>
              <w:spacing w:after="0"/>
              <w:rPr>
                <w:sz w:val="20"/>
                <w:szCs w:val="20"/>
                <w:color w:val="auto"/>
              </w:rPr>
            </w:pPr>
            <w:r>
              <w:rPr>
                <w:rFonts w:ascii="Arial" w:cs="Arial" w:eastAsia="Arial" w:hAnsi="Arial"/>
                <w:sz w:val="14"/>
                <w:szCs w:val="14"/>
                <w:color w:val="auto"/>
              </w:rPr>
              <w:t>​157</w:t>
            </w:r>
          </w:p>
        </w:tc>
        <w:tc>
          <w:tcPr>
            <w:tcW w:w="460" w:type="dxa"/>
            <w:vAlign w:val="bottom"/>
            <w:gridSpan w:val="2"/>
          </w:tcPr>
          <w:p>
            <w:pPr>
              <w:jc w:val="right"/>
              <w:ind w:right="68"/>
              <w:spacing w:after="0"/>
              <w:rPr>
                <w:sz w:val="20"/>
                <w:szCs w:val="20"/>
                <w:color w:val="auto"/>
              </w:rPr>
            </w:pPr>
            <w:r>
              <w:rPr>
                <w:rFonts w:ascii="Arial" w:cs="Arial" w:eastAsia="Arial" w:hAnsi="Arial"/>
                <w:sz w:val="14"/>
                <w:szCs w:val="14"/>
                <w:color w:val="auto"/>
              </w:rPr>
              <w:t>​ ​ ​</w:t>
            </w:r>
          </w:p>
        </w:tc>
        <w:tc>
          <w:tcPr>
            <w:tcW w:w="520" w:type="dxa"/>
            <w:vAlign w:val="bottom"/>
          </w:tcPr>
          <w:p>
            <w:pPr>
              <w:ind w:left="140"/>
              <w:spacing w:after="0"/>
              <w:rPr>
                <w:sz w:val="20"/>
                <w:szCs w:val="20"/>
                <w:color w:val="auto"/>
              </w:rPr>
            </w:pPr>
            <w:r>
              <w:rPr>
                <w:rFonts w:ascii="Arial" w:cs="Arial" w:eastAsia="Arial" w:hAnsi="Arial"/>
                <w:sz w:val="14"/>
                <w:szCs w:val="14"/>
                <w:color w:val="auto"/>
              </w:rPr>
              <w:t>​133</w:t>
            </w:r>
          </w:p>
        </w:tc>
        <w:tc>
          <w:tcPr>
            <w:tcW w:w="480" w:type="dxa"/>
            <w:vAlign w:val="bottom"/>
            <w:gridSpan w:val="2"/>
          </w:tcPr>
          <w:p>
            <w:pPr>
              <w:jc w:val="right"/>
              <w:ind w:right="68"/>
              <w:spacing w:after="0"/>
              <w:rPr>
                <w:sz w:val="20"/>
                <w:szCs w:val="20"/>
                <w:color w:val="auto"/>
              </w:rPr>
            </w:pPr>
            <w:r>
              <w:rPr>
                <w:rFonts w:ascii="Arial" w:cs="Arial" w:eastAsia="Arial" w:hAnsi="Arial"/>
                <w:sz w:val="14"/>
                <w:szCs w:val="14"/>
                <w:color w:val="auto"/>
              </w:rPr>
              <w:t>​ ​ ​</w:t>
            </w:r>
          </w:p>
        </w:tc>
        <w:tc>
          <w:tcPr>
            <w:tcW w:w="540" w:type="dxa"/>
            <w:vAlign w:val="bottom"/>
          </w:tcPr>
          <w:p>
            <w:pPr>
              <w:ind w:left="140"/>
              <w:spacing w:after="0"/>
              <w:rPr>
                <w:sz w:val="20"/>
                <w:szCs w:val="20"/>
                <w:color w:val="auto"/>
              </w:rPr>
            </w:pPr>
            <w:r>
              <w:rPr>
                <w:rFonts w:ascii="Arial" w:cs="Arial" w:eastAsia="Arial" w:hAnsi="Arial"/>
                <w:sz w:val="14"/>
                <w:szCs w:val="14"/>
                <w:color w:val="auto"/>
              </w:rPr>
              <w:t>​134</w:t>
            </w:r>
          </w:p>
        </w:tc>
        <w:tc>
          <w:tcPr>
            <w:tcW w:w="180" w:type="dxa"/>
            <w:vAlign w:val="bottom"/>
          </w:tcPr>
          <w:p>
            <w:pPr>
              <w:ind w:left="120"/>
              <w:spacing w:after="0"/>
              <w:rPr>
                <w:sz w:val="20"/>
                <w:szCs w:val="20"/>
                <w:color w:val="auto"/>
              </w:rPr>
            </w:pPr>
            <w:r>
              <w:rPr>
                <w:rFonts w:ascii="Arial" w:cs="Arial" w:eastAsia="Arial" w:hAnsi="Arial"/>
                <w:sz w:val="14"/>
                <w:szCs w:val="14"/>
                <w:color w:val="auto"/>
              </w:rPr>
              <w:t>​</w:t>
            </w:r>
          </w:p>
        </w:tc>
      </w:tr>
      <w:tr>
        <w:trPr>
          <w:trHeight w:val="230"/>
        </w:trPr>
        <w:tc>
          <w:tcPr>
            <w:tcW w:w="2460" w:type="dxa"/>
            <w:vAlign w:val="bottom"/>
          </w:tcPr>
          <w:p>
            <w:pPr>
              <w:jc w:val="right"/>
              <w:ind w:right="2068"/>
              <w:spacing w:after="0"/>
              <w:rPr>
                <w:sz w:val="20"/>
                <w:szCs w:val="20"/>
                <w:color w:val="auto"/>
              </w:rPr>
            </w:pPr>
            <w:r>
              <w:rPr>
                <w:rFonts w:ascii="Arial" w:cs="Arial" w:eastAsia="Arial" w:hAnsi="Arial"/>
                <w:sz w:val="14"/>
                <w:szCs w:val="14"/>
                <w:color w:val="auto"/>
                <w:w w:val="96"/>
              </w:rPr>
              <w:t>2022</w:t>
            </w:r>
          </w:p>
        </w:tc>
        <w:tc>
          <w:tcPr>
            <w:tcW w:w="2400" w:type="dxa"/>
            <w:vAlign w:val="bottom"/>
            <w:gridSpan w:val="2"/>
          </w:tcPr>
          <w:p>
            <w:pPr>
              <w:jc w:val="right"/>
              <w:ind w:right="48"/>
              <w:spacing w:after="0"/>
              <w:rPr>
                <w:sz w:val="20"/>
                <w:szCs w:val="20"/>
                <w:color w:val="auto"/>
              </w:rPr>
            </w:pPr>
            <w:r>
              <w:rPr>
                <w:rFonts w:ascii="Arial" w:cs="Arial" w:eastAsia="Arial" w:hAnsi="Arial"/>
                <w:sz w:val="14"/>
                <w:szCs w:val="14"/>
                <w:color w:val="auto"/>
              </w:rPr>
              <w:t>​ ​</w:t>
            </w:r>
          </w:p>
        </w:tc>
        <w:tc>
          <w:tcPr>
            <w:tcW w:w="480" w:type="dxa"/>
            <w:vAlign w:val="bottom"/>
          </w:tcPr>
          <w:p>
            <w:pPr>
              <w:ind w:left="100"/>
              <w:spacing w:after="0"/>
              <w:rPr>
                <w:sz w:val="20"/>
                <w:szCs w:val="20"/>
                <w:color w:val="auto"/>
              </w:rPr>
            </w:pPr>
            <w:r>
              <w:rPr>
                <w:rFonts w:ascii="Arial" w:cs="Arial" w:eastAsia="Arial" w:hAnsi="Arial"/>
                <w:sz w:val="14"/>
                <w:szCs w:val="14"/>
                <w:color w:val="auto"/>
              </w:rPr>
              <w:t>​151</w:t>
            </w:r>
          </w:p>
        </w:tc>
        <w:tc>
          <w:tcPr>
            <w:tcW w:w="460" w:type="dxa"/>
            <w:vAlign w:val="bottom"/>
            <w:gridSpan w:val="2"/>
          </w:tcPr>
          <w:p>
            <w:pPr>
              <w:jc w:val="right"/>
              <w:ind w:right="68"/>
              <w:spacing w:after="0"/>
              <w:rPr>
                <w:sz w:val="20"/>
                <w:szCs w:val="20"/>
                <w:color w:val="auto"/>
              </w:rPr>
            </w:pPr>
            <w:r>
              <w:rPr>
                <w:rFonts w:ascii="Arial" w:cs="Arial" w:eastAsia="Arial" w:hAnsi="Arial"/>
                <w:sz w:val="14"/>
                <w:szCs w:val="14"/>
                <w:color w:val="auto"/>
              </w:rPr>
              <w:t>​ ​ ​</w:t>
            </w:r>
          </w:p>
        </w:tc>
        <w:tc>
          <w:tcPr>
            <w:tcW w:w="520" w:type="dxa"/>
            <w:vAlign w:val="bottom"/>
          </w:tcPr>
          <w:p>
            <w:pPr>
              <w:ind w:left="140"/>
              <w:spacing w:after="0"/>
              <w:rPr>
                <w:sz w:val="20"/>
                <w:szCs w:val="20"/>
                <w:color w:val="auto"/>
              </w:rPr>
            </w:pPr>
            <w:r>
              <w:rPr>
                <w:rFonts w:ascii="Arial" w:cs="Arial" w:eastAsia="Arial" w:hAnsi="Arial"/>
                <w:sz w:val="14"/>
                <w:szCs w:val="14"/>
                <w:color w:val="auto"/>
              </w:rPr>
              <w:t>​111</w:t>
            </w:r>
          </w:p>
        </w:tc>
        <w:tc>
          <w:tcPr>
            <w:tcW w:w="480" w:type="dxa"/>
            <w:vAlign w:val="bottom"/>
            <w:gridSpan w:val="2"/>
          </w:tcPr>
          <w:p>
            <w:pPr>
              <w:jc w:val="right"/>
              <w:ind w:right="68"/>
              <w:spacing w:after="0"/>
              <w:rPr>
                <w:sz w:val="20"/>
                <w:szCs w:val="20"/>
                <w:color w:val="auto"/>
              </w:rPr>
            </w:pPr>
            <w:r>
              <w:rPr>
                <w:rFonts w:ascii="Arial" w:cs="Arial" w:eastAsia="Arial" w:hAnsi="Arial"/>
                <w:sz w:val="14"/>
                <w:szCs w:val="14"/>
                <w:color w:val="auto"/>
              </w:rPr>
              <w:t>​ ​ ​</w:t>
            </w:r>
          </w:p>
        </w:tc>
        <w:tc>
          <w:tcPr>
            <w:tcW w:w="540" w:type="dxa"/>
            <w:vAlign w:val="bottom"/>
          </w:tcPr>
          <w:p>
            <w:pPr>
              <w:ind w:left="140"/>
              <w:spacing w:after="0"/>
              <w:rPr>
                <w:sz w:val="20"/>
                <w:szCs w:val="20"/>
                <w:color w:val="auto"/>
              </w:rPr>
            </w:pPr>
            <w:r>
              <w:rPr>
                <w:rFonts w:ascii="Arial" w:cs="Arial" w:eastAsia="Arial" w:hAnsi="Arial"/>
                <w:sz w:val="14"/>
                <w:szCs w:val="14"/>
                <w:color w:val="auto"/>
              </w:rPr>
              <w:t>​112</w:t>
            </w:r>
          </w:p>
        </w:tc>
        <w:tc>
          <w:tcPr>
            <w:tcW w:w="180" w:type="dxa"/>
            <w:vAlign w:val="bottom"/>
          </w:tcPr>
          <w:p>
            <w:pPr>
              <w:ind w:left="120"/>
              <w:spacing w:after="0"/>
              <w:rPr>
                <w:sz w:val="20"/>
                <w:szCs w:val="20"/>
                <w:color w:val="auto"/>
              </w:rPr>
            </w:pPr>
            <w:r>
              <w:rPr>
                <w:rFonts w:ascii="Arial" w:cs="Arial" w:eastAsia="Arial" w:hAnsi="Arial"/>
                <w:sz w:val="14"/>
                <w:szCs w:val="14"/>
                <w:color w:val="auto"/>
              </w:rPr>
              <w:t>​</w:t>
            </w:r>
          </w:p>
        </w:tc>
      </w:tr>
      <w:tr>
        <w:trPr>
          <w:trHeight w:val="229"/>
        </w:trPr>
        <w:tc>
          <w:tcPr>
            <w:tcW w:w="2460" w:type="dxa"/>
            <w:vAlign w:val="bottom"/>
          </w:tcPr>
          <w:p>
            <w:pPr>
              <w:jc w:val="right"/>
              <w:ind w:right="2068"/>
              <w:spacing w:after="0"/>
              <w:rPr>
                <w:sz w:val="20"/>
                <w:szCs w:val="20"/>
                <w:color w:val="auto"/>
              </w:rPr>
            </w:pPr>
            <w:r>
              <w:rPr>
                <w:rFonts w:ascii="Arial" w:cs="Arial" w:eastAsia="Arial" w:hAnsi="Arial"/>
                <w:sz w:val="14"/>
                <w:szCs w:val="14"/>
                <w:color w:val="auto"/>
                <w:w w:val="96"/>
              </w:rPr>
              <w:t>2023</w:t>
            </w:r>
          </w:p>
        </w:tc>
        <w:tc>
          <w:tcPr>
            <w:tcW w:w="2400" w:type="dxa"/>
            <w:vAlign w:val="bottom"/>
            <w:gridSpan w:val="2"/>
          </w:tcPr>
          <w:p>
            <w:pPr>
              <w:jc w:val="right"/>
              <w:ind w:right="48"/>
              <w:spacing w:after="0"/>
              <w:rPr>
                <w:sz w:val="20"/>
                <w:szCs w:val="20"/>
                <w:color w:val="auto"/>
              </w:rPr>
            </w:pPr>
            <w:r>
              <w:rPr>
                <w:rFonts w:ascii="Arial" w:cs="Arial" w:eastAsia="Arial" w:hAnsi="Arial"/>
                <w:sz w:val="14"/>
                <w:szCs w:val="14"/>
                <w:color w:val="auto"/>
              </w:rPr>
              <w:t>​ ​</w:t>
            </w:r>
          </w:p>
        </w:tc>
        <w:tc>
          <w:tcPr>
            <w:tcW w:w="480" w:type="dxa"/>
            <w:vAlign w:val="bottom"/>
          </w:tcPr>
          <w:p>
            <w:pPr>
              <w:ind w:left="100"/>
              <w:spacing w:after="0"/>
              <w:rPr>
                <w:sz w:val="20"/>
                <w:szCs w:val="20"/>
                <w:color w:val="auto"/>
              </w:rPr>
            </w:pPr>
            <w:r>
              <w:rPr>
                <w:rFonts w:ascii="Arial" w:cs="Arial" w:eastAsia="Arial" w:hAnsi="Arial"/>
                <w:sz w:val="14"/>
                <w:szCs w:val="14"/>
                <w:color w:val="auto"/>
              </w:rPr>
              <w:t>​156</w:t>
            </w:r>
          </w:p>
        </w:tc>
        <w:tc>
          <w:tcPr>
            <w:tcW w:w="460" w:type="dxa"/>
            <w:vAlign w:val="bottom"/>
            <w:gridSpan w:val="2"/>
          </w:tcPr>
          <w:p>
            <w:pPr>
              <w:jc w:val="right"/>
              <w:ind w:right="68"/>
              <w:spacing w:after="0"/>
              <w:rPr>
                <w:sz w:val="20"/>
                <w:szCs w:val="20"/>
                <w:color w:val="auto"/>
              </w:rPr>
            </w:pPr>
            <w:r>
              <w:rPr>
                <w:rFonts w:ascii="Arial" w:cs="Arial" w:eastAsia="Arial" w:hAnsi="Arial"/>
                <w:sz w:val="14"/>
                <w:szCs w:val="14"/>
                <w:color w:val="auto"/>
              </w:rPr>
              <w:t>​ ​ ​</w:t>
            </w:r>
          </w:p>
        </w:tc>
        <w:tc>
          <w:tcPr>
            <w:tcW w:w="520" w:type="dxa"/>
            <w:vAlign w:val="bottom"/>
          </w:tcPr>
          <w:p>
            <w:pPr>
              <w:ind w:left="140"/>
              <w:spacing w:after="0"/>
              <w:rPr>
                <w:sz w:val="20"/>
                <w:szCs w:val="20"/>
                <w:color w:val="auto"/>
              </w:rPr>
            </w:pPr>
            <w:r>
              <w:rPr>
                <w:rFonts w:ascii="Arial" w:cs="Arial" w:eastAsia="Arial" w:hAnsi="Arial"/>
                <w:sz w:val="14"/>
                <w:szCs w:val="14"/>
                <w:color w:val="auto"/>
              </w:rPr>
              <w:t>​110</w:t>
            </w:r>
          </w:p>
        </w:tc>
        <w:tc>
          <w:tcPr>
            <w:tcW w:w="480" w:type="dxa"/>
            <w:vAlign w:val="bottom"/>
            <w:gridSpan w:val="2"/>
          </w:tcPr>
          <w:p>
            <w:pPr>
              <w:jc w:val="right"/>
              <w:ind w:right="68"/>
              <w:spacing w:after="0"/>
              <w:rPr>
                <w:sz w:val="20"/>
                <w:szCs w:val="20"/>
                <w:color w:val="auto"/>
              </w:rPr>
            </w:pPr>
            <w:r>
              <w:rPr>
                <w:rFonts w:ascii="Arial" w:cs="Arial" w:eastAsia="Arial" w:hAnsi="Arial"/>
                <w:sz w:val="14"/>
                <w:szCs w:val="14"/>
                <w:color w:val="auto"/>
              </w:rPr>
              <w:t>​ ​ ​</w:t>
            </w:r>
          </w:p>
        </w:tc>
        <w:tc>
          <w:tcPr>
            <w:tcW w:w="540" w:type="dxa"/>
            <w:vAlign w:val="bottom"/>
          </w:tcPr>
          <w:p>
            <w:pPr>
              <w:ind w:left="140"/>
              <w:spacing w:after="0"/>
              <w:rPr>
                <w:sz w:val="20"/>
                <w:szCs w:val="20"/>
                <w:color w:val="auto"/>
              </w:rPr>
            </w:pPr>
            <w:r>
              <w:rPr>
                <w:rFonts w:ascii="Arial" w:cs="Arial" w:eastAsia="Arial" w:hAnsi="Arial"/>
                <w:sz w:val="14"/>
                <w:szCs w:val="14"/>
                <w:color w:val="auto"/>
              </w:rPr>
              <w:t>​115</w:t>
            </w:r>
          </w:p>
        </w:tc>
        <w:tc>
          <w:tcPr>
            <w:tcW w:w="180" w:type="dxa"/>
            <w:vAlign w:val="bottom"/>
          </w:tcPr>
          <w:p>
            <w:pPr>
              <w:ind w:left="120"/>
              <w:spacing w:after="0"/>
              <w:rPr>
                <w:sz w:val="20"/>
                <w:szCs w:val="20"/>
                <w:color w:val="auto"/>
              </w:rPr>
            </w:pPr>
            <w:r>
              <w:rPr>
                <w:rFonts w:ascii="Arial" w:cs="Arial" w:eastAsia="Arial" w:hAnsi="Arial"/>
                <w:sz w:val="14"/>
                <w:szCs w:val="14"/>
                <w:color w:val="auto"/>
              </w:rPr>
              <w:t>​</w:t>
            </w:r>
          </w:p>
        </w:tc>
      </w:tr>
      <w:tr>
        <w:trPr>
          <w:trHeight w:val="230"/>
        </w:trPr>
        <w:tc>
          <w:tcPr>
            <w:tcW w:w="2460" w:type="dxa"/>
            <w:vAlign w:val="bottom"/>
          </w:tcPr>
          <w:p>
            <w:pPr>
              <w:jc w:val="right"/>
              <w:ind w:right="2068"/>
              <w:spacing w:after="0"/>
              <w:rPr>
                <w:sz w:val="20"/>
                <w:szCs w:val="20"/>
                <w:color w:val="auto"/>
              </w:rPr>
            </w:pPr>
            <w:r>
              <w:rPr>
                <w:rFonts w:ascii="Arial" w:cs="Arial" w:eastAsia="Arial" w:hAnsi="Arial"/>
                <w:sz w:val="14"/>
                <w:szCs w:val="14"/>
                <w:color w:val="auto"/>
                <w:w w:val="96"/>
              </w:rPr>
              <w:t>2024</w:t>
            </w:r>
          </w:p>
        </w:tc>
        <w:tc>
          <w:tcPr>
            <w:tcW w:w="2200" w:type="dxa"/>
            <w:vAlign w:val="bottom"/>
          </w:tcPr>
          <w:p>
            <w:pPr>
              <w:ind w:left="212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80" w:type="dxa"/>
            <w:vAlign w:val="bottom"/>
          </w:tcPr>
          <w:p>
            <w:pPr>
              <w:ind w:left="100"/>
              <w:spacing w:after="0"/>
              <w:rPr>
                <w:sz w:val="20"/>
                <w:szCs w:val="20"/>
                <w:color w:val="auto"/>
              </w:rPr>
            </w:pPr>
            <w:r>
              <w:rPr>
                <w:rFonts w:ascii="Arial" w:cs="Arial" w:eastAsia="Arial" w:hAnsi="Arial"/>
                <w:sz w:val="14"/>
                <w:szCs w:val="14"/>
                <w:color w:val="auto"/>
              </w:rPr>
              <w:t>​193</w:t>
            </w:r>
          </w:p>
        </w:tc>
        <w:tc>
          <w:tcPr>
            <w:tcW w:w="240" w:type="dxa"/>
            <w:vAlign w:val="bottom"/>
          </w:tcPr>
          <w:p>
            <w:pPr>
              <w:ind w:left="100"/>
              <w:spacing w:after="0"/>
              <w:rPr>
                <w:sz w:val="20"/>
                <w:szCs w:val="20"/>
                <w:color w:val="auto"/>
              </w:rPr>
            </w:pPr>
            <w:r>
              <w:rPr>
                <w:rFonts w:ascii="Arial" w:cs="Arial" w:eastAsia="Arial" w:hAnsi="Arial"/>
                <w:sz w:val="14"/>
                <w:szCs w:val="14"/>
                <w:color w:val="auto"/>
              </w:rPr>
              <w:t>​ ​</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520" w:type="dxa"/>
            <w:vAlign w:val="bottom"/>
          </w:tcPr>
          <w:p>
            <w:pPr>
              <w:ind w:left="140"/>
              <w:spacing w:after="0"/>
              <w:rPr>
                <w:sz w:val="20"/>
                <w:szCs w:val="20"/>
                <w:color w:val="auto"/>
              </w:rPr>
            </w:pPr>
            <w:r>
              <w:rPr>
                <w:rFonts w:ascii="Arial" w:cs="Arial" w:eastAsia="Arial" w:hAnsi="Arial"/>
                <w:sz w:val="14"/>
                <w:szCs w:val="14"/>
                <w:color w:val="auto"/>
              </w:rPr>
              <w:t>​112</w:t>
            </w:r>
          </w:p>
        </w:tc>
        <w:tc>
          <w:tcPr>
            <w:tcW w:w="280" w:type="dxa"/>
            <w:vAlign w:val="bottom"/>
          </w:tcPr>
          <w:p>
            <w:pPr>
              <w:ind w:left="140"/>
              <w:spacing w:after="0"/>
              <w:rPr>
                <w:sz w:val="20"/>
                <w:szCs w:val="20"/>
                <w:color w:val="auto"/>
              </w:rPr>
            </w:pPr>
            <w:r>
              <w:rPr>
                <w:rFonts w:ascii="Arial" w:cs="Arial" w:eastAsia="Arial" w:hAnsi="Arial"/>
                <w:sz w:val="14"/>
                <w:szCs w:val="14"/>
                <w:color w:val="auto"/>
              </w:rPr>
              <w:t>​ ​</w:t>
            </w:r>
          </w:p>
        </w:tc>
        <w:tc>
          <w:tcPr>
            <w:tcW w:w="2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540" w:type="dxa"/>
            <w:vAlign w:val="bottom"/>
          </w:tcPr>
          <w:p>
            <w:pPr>
              <w:ind w:left="140"/>
              <w:spacing w:after="0"/>
              <w:rPr>
                <w:sz w:val="20"/>
                <w:szCs w:val="20"/>
                <w:color w:val="auto"/>
              </w:rPr>
            </w:pPr>
            <w:r>
              <w:rPr>
                <w:rFonts w:ascii="Arial" w:cs="Arial" w:eastAsia="Arial" w:hAnsi="Arial"/>
                <w:sz w:val="14"/>
                <w:szCs w:val="14"/>
                <w:color w:val="auto"/>
              </w:rPr>
              <w:t>​112</w:t>
            </w:r>
          </w:p>
        </w:tc>
        <w:tc>
          <w:tcPr>
            <w:tcW w:w="180" w:type="dxa"/>
            <w:vAlign w:val="bottom"/>
          </w:tcPr>
          <w:p>
            <w:pPr>
              <w:ind w:left="120"/>
              <w:spacing w:after="0"/>
              <w:rPr>
                <w:sz w:val="20"/>
                <w:szCs w:val="20"/>
                <w:color w:val="auto"/>
              </w:rPr>
            </w:pPr>
            <w:r>
              <w:rPr>
                <w:rFonts w:ascii="Arial" w:cs="Arial" w:eastAsia="Arial" w:hAnsi="Arial"/>
                <w:sz w:val="14"/>
                <w:szCs w:val="14"/>
                <w:color w:val="auto"/>
              </w:rPr>
              <w:t>​</w:t>
            </w:r>
          </w:p>
        </w:tc>
      </w:tr>
      <w:tr>
        <w:trPr>
          <w:trHeight w:val="243"/>
        </w:trPr>
        <w:tc>
          <w:tcPr>
            <w:tcW w:w="2460" w:type="dxa"/>
            <w:vAlign w:val="bottom"/>
          </w:tcPr>
          <w:p>
            <w:pPr>
              <w:jc w:val="right"/>
              <w:ind w:right="2068"/>
              <w:spacing w:after="0"/>
              <w:rPr>
                <w:sz w:val="20"/>
                <w:szCs w:val="20"/>
                <w:color w:val="auto"/>
              </w:rPr>
            </w:pPr>
            <w:r>
              <w:rPr>
                <w:rFonts w:ascii="Arial" w:cs="Arial" w:eastAsia="Arial" w:hAnsi="Arial"/>
                <w:sz w:val="14"/>
                <w:szCs w:val="14"/>
                <w:color w:val="auto"/>
                <w:w w:val="96"/>
              </w:rPr>
              <w:t>2025</w:t>
            </w:r>
          </w:p>
        </w:tc>
        <w:tc>
          <w:tcPr>
            <w:tcW w:w="2200" w:type="dxa"/>
            <w:vAlign w:val="bottom"/>
          </w:tcPr>
          <w:p>
            <w:pPr>
              <w:ind w:left="212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80" w:type="dxa"/>
            <w:vAlign w:val="bottom"/>
          </w:tcPr>
          <w:p>
            <w:pPr>
              <w:ind w:left="100"/>
              <w:spacing w:after="0"/>
              <w:rPr>
                <w:sz w:val="20"/>
                <w:szCs w:val="20"/>
                <w:color w:val="auto"/>
              </w:rPr>
            </w:pPr>
            <w:r>
              <w:rPr>
                <w:rFonts w:ascii="Arial" w:cs="Arial" w:eastAsia="Arial" w:hAnsi="Arial"/>
                <w:sz w:val="14"/>
                <w:szCs w:val="14"/>
                <w:color w:val="auto"/>
              </w:rPr>
              <w:t>​196</w:t>
            </w:r>
          </w:p>
        </w:tc>
        <w:tc>
          <w:tcPr>
            <w:tcW w:w="240" w:type="dxa"/>
            <w:vAlign w:val="bottom"/>
          </w:tcPr>
          <w:p>
            <w:pPr>
              <w:ind w:left="100"/>
              <w:spacing w:after="0"/>
              <w:rPr>
                <w:sz w:val="20"/>
                <w:szCs w:val="20"/>
                <w:color w:val="auto"/>
              </w:rPr>
            </w:pPr>
            <w:r>
              <w:rPr>
                <w:rFonts w:ascii="Arial" w:cs="Arial" w:eastAsia="Arial" w:hAnsi="Arial"/>
                <w:sz w:val="14"/>
                <w:szCs w:val="14"/>
                <w:color w:val="auto"/>
              </w:rPr>
              <w:t>​ ​</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520" w:type="dxa"/>
            <w:vAlign w:val="bottom"/>
          </w:tcPr>
          <w:p>
            <w:pPr>
              <w:ind w:left="140"/>
              <w:spacing w:after="0"/>
              <w:rPr>
                <w:sz w:val="20"/>
                <w:szCs w:val="20"/>
                <w:color w:val="auto"/>
              </w:rPr>
            </w:pPr>
            <w:r>
              <w:rPr>
                <w:rFonts w:ascii="Arial" w:cs="Arial" w:eastAsia="Arial" w:hAnsi="Arial"/>
                <w:sz w:val="14"/>
                <w:szCs w:val="14"/>
                <w:color w:val="auto"/>
              </w:rPr>
              <w:t>​106</w:t>
            </w:r>
          </w:p>
        </w:tc>
        <w:tc>
          <w:tcPr>
            <w:tcW w:w="280" w:type="dxa"/>
            <w:vAlign w:val="bottom"/>
          </w:tcPr>
          <w:p>
            <w:pPr>
              <w:ind w:left="140"/>
              <w:spacing w:after="0"/>
              <w:rPr>
                <w:sz w:val="20"/>
                <w:szCs w:val="20"/>
                <w:color w:val="auto"/>
              </w:rPr>
            </w:pPr>
            <w:r>
              <w:rPr>
                <w:rFonts w:ascii="Arial" w:cs="Arial" w:eastAsia="Arial" w:hAnsi="Arial"/>
                <w:sz w:val="14"/>
                <w:szCs w:val="14"/>
                <w:color w:val="auto"/>
              </w:rPr>
              <w:t>​ ​</w:t>
            </w:r>
          </w:p>
        </w:tc>
        <w:tc>
          <w:tcPr>
            <w:tcW w:w="2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540" w:type="dxa"/>
            <w:vAlign w:val="bottom"/>
          </w:tcPr>
          <w:p>
            <w:pPr>
              <w:ind w:left="140"/>
              <w:spacing w:after="0"/>
              <w:rPr>
                <w:sz w:val="20"/>
                <w:szCs w:val="20"/>
                <w:color w:val="auto"/>
              </w:rPr>
            </w:pPr>
            <w:r>
              <w:rPr>
                <w:rFonts w:ascii="Arial" w:cs="Arial" w:eastAsia="Arial" w:hAnsi="Arial"/>
                <w:sz w:val="14"/>
                <w:szCs w:val="14"/>
                <w:color w:val="auto"/>
              </w:rPr>
              <w:t>​106</w:t>
            </w:r>
          </w:p>
        </w:tc>
        <w:tc>
          <w:tcPr>
            <w:tcW w:w="180" w:type="dxa"/>
            <w:vAlign w:val="bottom"/>
          </w:tcPr>
          <w:p>
            <w:pPr>
              <w:ind w:left="120"/>
              <w:spacing w:after="0"/>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-445135</wp:posOffset>
            </wp:positionV>
            <wp:extent cx="4749165" cy="1454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749165" cy="14541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-153670</wp:posOffset>
            </wp:positionV>
            <wp:extent cx="4749165" cy="1543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749165" cy="154305"/>
                    </a:xfrm>
                    <a:prstGeom prst="rect">
                      <a:avLst/>
                    </a:prstGeom>
                    <a:noFill/>
                  </pic:spPr>
                </pic:pic>
              </a:graphicData>
            </a:graphic>
          </wp:anchor>
        </w:drawing>
      </w:r>
    </w:p>
    <w:p>
      <w:pPr>
        <w:spacing w:after="0" w:line="25" w:lineRule="exact"/>
        <w:rPr>
          <w:sz w:val="20"/>
          <w:szCs w:val="20"/>
          <w:color w:val="auto"/>
        </w:rPr>
      </w:pPr>
    </w:p>
    <w:p>
      <w:pPr>
        <w:ind w:left="1620" w:right="419" w:hanging="360"/>
        <w:spacing w:after="0" w:line="305" w:lineRule="auto"/>
        <w:tabs>
          <w:tab w:leader="none" w:pos="16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For calculations of AFFO per diluted share, see pages 48 – 50 of our Annual Report on Form 10-K filed with the SEC on February 19, 2026, which also includes a GAAP reconciliation of this non-GAAP measure.</w:t>
      </w:r>
    </w:p>
    <w:p>
      <w:pPr>
        <w:spacing w:after="0" w:line="36" w:lineRule="exact"/>
        <w:rPr>
          <w:rFonts w:ascii="Arial" w:cs="Arial" w:eastAsia="Arial" w:hAnsi="Arial"/>
          <w:sz w:val="14"/>
          <w:szCs w:val="14"/>
          <w:color w:val="auto"/>
        </w:rPr>
      </w:pPr>
    </w:p>
    <w:p>
      <w:pPr>
        <w:jc w:val="both"/>
        <w:ind w:left="1620" w:right="419" w:hanging="360"/>
        <w:spacing w:after="0" w:line="282" w:lineRule="auto"/>
        <w:tabs>
          <w:tab w:leader="none" w:pos="16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 xml:space="preserve">“Compensation Actually Paid” (“CAP”)​ to our NEOs represents the “Total” compensation reported in the Summary Compensation Table for the applicable fiscal year (see page </w:t>
      </w:r>
      <w:r>
        <w:rPr>
          <w:rFonts w:ascii="Arial" w:cs="Arial" w:eastAsia="Arial" w:hAnsi="Arial"/>
          <w:sz w:val="14"/>
          <w:szCs w:val="14"/>
          <w:u w:val="single" w:color="auto"/>
          <w:color w:val="0000EE"/>
        </w:rPr>
        <w:t>43</w:t>
      </w:r>
      <w:r>
        <w:rPr>
          <w:rFonts w:ascii="Arial" w:cs="Arial" w:eastAsia="Arial" w:hAnsi="Arial"/>
          <w:sz w:val="14"/>
          <w:szCs w:val="14"/>
          <w:color w:val="auto"/>
        </w:rPr>
        <w:t xml:space="preserve"> above), adjusted as set forth in the sub-table below. As our NEOs do not participate in any defined benefit plans, no adjustments were required to amounts reported in the Summary Compensation Table totals related to the value of benefits under such plans.</w:t>
      </w:r>
    </w:p>
    <w:p>
      <w:pPr>
        <w:sectPr>
          <w:pgSz w:w="11900" w:h="16838" w:orient="portrait"/>
          <w:cols w:equalWidth="0" w:num="1">
            <w:col w:w="9879"/>
          </w:cols>
          <w:pgMar w:left="580" w:top="97" w:right="1440" w:bottom="1440" w:gutter="0" w:footer="0" w:header="0"/>
          <w:type w:val="continuous"/>
        </w:sectPr>
      </w:pPr>
    </w:p>
    <w:p>
      <w:pPr>
        <w:spacing w:after="0" w:line="148" w:lineRule="exact"/>
        <w:rPr>
          <w:sz w:val="20"/>
          <w:szCs w:val="20"/>
          <w:color w:val="auto"/>
        </w:rPr>
      </w:pPr>
    </w:p>
    <w:p>
      <w:pPr>
        <w:ind w:left="1260"/>
        <w:spacing w:after="0" w:line="291" w:lineRule="auto"/>
        <w:rPr>
          <w:sz w:val="20"/>
          <w:szCs w:val="20"/>
          <w:color w:val="auto"/>
        </w:rPr>
      </w:pPr>
      <w:r>
        <w:rPr>
          <w:rFonts w:ascii="Arial" w:cs="Arial" w:eastAsia="Arial" w:hAnsi="Arial"/>
          <w:sz w:val="14"/>
          <w:szCs w:val="14"/>
          <w:b w:val="1"/>
          <w:bCs w:val="1"/>
          <w:color w:val="auto"/>
        </w:rPr>
        <w:t>Adjustments to Determine Compensation “Actually Paid” for PEO</w:t>
      </w:r>
    </w:p>
    <w:p>
      <w:pPr>
        <w:spacing w:after="0" w:line="1" w:lineRule="exact"/>
        <w:rPr>
          <w:sz w:val="20"/>
          <w:szCs w:val="20"/>
          <w:color w:val="auto"/>
        </w:rPr>
      </w:pPr>
    </w:p>
    <w:p>
      <w:pPr>
        <w:ind w:left="1400" w:right="120" w:hanging="143"/>
        <w:spacing w:after="0" w:line="305" w:lineRule="auto"/>
        <w:rPr>
          <w:sz w:val="20"/>
          <w:szCs w:val="20"/>
          <w:color w:val="auto"/>
        </w:rPr>
      </w:pPr>
      <w:r>
        <w:rPr>
          <w:rFonts w:ascii="Arial" w:cs="Arial" w:eastAsia="Arial" w:hAnsi="Arial"/>
          <w:sz w:val="14"/>
          <w:szCs w:val="14"/>
          <w:color w:val="auto"/>
        </w:rPr>
        <w:t>Deduction for Amounts Reported under the “Stock Awards” Column in the SCT</w:t>
      </w:r>
    </w:p>
    <w:p>
      <w:pPr>
        <w:spacing w:after="0" w:line="9" w:lineRule="exact"/>
        <w:rPr>
          <w:sz w:val="20"/>
          <w:szCs w:val="20"/>
          <w:color w:val="auto"/>
        </w:rPr>
      </w:pPr>
    </w:p>
    <w:p>
      <w:pPr>
        <w:jc w:val="both"/>
        <w:ind w:left="1400" w:right="180" w:hanging="143"/>
        <w:spacing w:after="0" w:line="283" w:lineRule="auto"/>
        <w:rPr>
          <w:sz w:val="20"/>
          <w:szCs w:val="20"/>
          <w:color w:val="auto"/>
        </w:rPr>
      </w:pPr>
      <w:r>
        <w:rPr>
          <w:rFonts w:ascii="Arial" w:cs="Arial" w:eastAsia="Arial" w:hAnsi="Arial"/>
          <w:sz w:val="14"/>
          <w:szCs w:val="14"/>
          <w:color w:val="auto"/>
        </w:rPr>
        <w:t>Increase for Fair Value of Awards Granted during year that Remain Unvested as of Year end</w:t>
      </w:r>
    </w:p>
    <w:p>
      <w:pPr>
        <w:spacing w:after="0" w:line="11" w:lineRule="exact"/>
        <w:rPr>
          <w:sz w:val="20"/>
          <w:szCs w:val="20"/>
          <w:color w:val="auto"/>
        </w:rPr>
      </w:pPr>
    </w:p>
    <w:p>
      <w:pPr>
        <w:ind w:left="1400" w:right="60" w:hanging="143"/>
        <w:spacing w:after="0" w:line="269" w:lineRule="auto"/>
        <w:rPr>
          <w:sz w:val="20"/>
          <w:szCs w:val="20"/>
          <w:color w:val="auto"/>
        </w:rPr>
      </w:pPr>
      <w:r>
        <w:rPr>
          <w:rFonts w:ascii="Arial" w:cs="Arial" w:eastAsia="Arial" w:hAnsi="Arial"/>
          <w:sz w:val="14"/>
          <w:szCs w:val="14"/>
          <w:color w:val="auto"/>
        </w:rPr>
        <w:t>Increase/deduction for Change in Fair Value from prior Year-end to current Year-end of Awards Granted Prior to year that were Outstanding and Unvested as of Year-end</w:t>
      </w:r>
    </w:p>
    <w:p>
      <w:pPr>
        <w:spacing w:after="0" w:line="210" w:lineRule="exact"/>
        <w:rPr>
          <w:sz w:val="20"/>
          <w:szCs w:val="20"/>
          <w:color w:val="auto"/>
        </w:rPr>
      </w:pPr>
    </w:p>
    <w:p>
      <w:pPr>
        <w:ind w:left="1400" w:right="60" w:hanging="143"/>
        <w:spacing w:after="0" w:line="269" w:lineRule="auto"/>
        <w:rPr>
          <w:sz w:val="20"/>
          <w:szCs w:val="20"/>
          <w:color w:val="auto"/>
        </w:rPr>
      </w:pPr>
      <w:r>
        <w:rPr>
          <w:rFonts w:ascii="Arial" w:cs="Arial" w:eastAsia="Arial" w:hAnsi="Arial"/>
          <w:sz w:val="14"/>
          <w:szCs w:val="14"/>
          <w:color w:val="auto"/>
        </w:rPr>
        <w:t>Increase/deduction for Change in Fair Value from Prior Year-end to Vesting Date of Awards Granted Prior to year that Vested during year</w:t>
      </w:r>
    </w:p>
    <w:p>
      <w:pPr>
        <w:spacing w:after="0" w:line="61" w:lineRule="exact"/>
        <w:rPr>
          <w:sz w:val="20"/>
          <w:szCs w:val="20"/>
          <w:color w:val="auto"/>
        </w:rPr>
      </w:pPr>
    </w:p>
    <w:p>
      <w:pPr>
        <w:ind w:left="1400"/>
        <w:spacing w:after="0"/>
        <w:rPr>
          <w:sz w:val="20"/>
          <w:szCs w:val="20"/>
          <w:color w:val="auto"/>
        </w:rPr>
      </w:pPr>
      <w:r>
        <w:rPr>
          <w:rFonts w:ascii="Arial" w:cs="Arial" w:eastAsia="Arial" w:hAnsi="Arial"/>
          <w:sz w:val="14"/>
          <w:szCs w:val="14"/>
          <w:b w:val="1"/>
          <w:bCs w:val="1"/>
          <w:color w:val="auto"/>
        </w:rPr>
        <w:t>Total Adjustments</w:t>
      </w:r>
    </w:p>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ind w:right="168"/>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ind w:right="148"/>
              <w:spacing w:after="0"/>
              <w:rPr>
                <w:sz w:val="20"/>
                <w:szCs w:val="20"/>
                <w:color w:val="auto"/>
              </w:rPr>
            </w:pPr>
            <w:r>
              <w:rPr>
                <w:rFonts w:ascii="Arial" w:cs="Arial" w:eastAsia="Arial" w:hAnsi="Arial"/>
                <w:sz w:val="14"/>
                <w:szCs w:val="14"/>
                <w:b w:val="1"/>
                <w:bCs w:val="1"/>
                <w:color w:val="auto"/>
              </w:rPr>
              <w:t>2024</w:t>
            </w:r>
          </w:p>
        </w:tc>
        <w:tc>
          <w:tcPr>
            <w:tcW w:w="20" w:type="dxa"/>
            <w:vAlign w:val="bottom"/>
          </w:tcPr>
          <w:p>
            <w:pPr>
              <w:spacing w:after="0"/>
              <w:rPr>
                <w:sz w:val="17"/>
                <w:szCs w:val="17"/>
                <w:color w:val="auto"/>
              </w:rPr>
            </w:pPr>
          </w:p>
        </w:tc>
        <w:tc>
          <w:tcPr>
            <w:tcW w:w="280" w:type="dxa"/>
            <w:vAlign w:val="bottom"/>
            <w:gridSpan w:val="3"/>
          </w:tcPr>
          <w:p>
            <w:pPr>
              <w:ind w:left="20"/>
              <w:spacing w:after="0"/>
              <w:rPr>
                <w:sz w:val="20"/>
                <w:szCs w:val="20"/>
                <w:color w:val="auto"/>
              </w:rPr>
            </w:pPr>
            <w:r>
              <w:rPr>
                <w:rFonts w:ascii="Arial" w:cs="Arial" w:eastAsia="Arial" w:hAnsi="Arial"/>
                <w:sz w:val="14"/>
                <w:szCs w:val="14"/>
                <w:b w:val="1"/>
                <w:bCs w:val="1"/>
                <w:color w:val="auto"/>
              </w:rPr>
              <w:t>​ ​</w:t>
            </w:r>
          </w:p>
        </w:tc>
        <w:tc>
          <w:tcPr>
            <w:tcW w:w="620" w:type="dxa"/>
            <w:vAlign w:val="bottom"/>
          </w:tcPr>
          <w:p>
            <w:pPr>
              <w:jc w:val="right"/>
              <w:ind w:right="169"/>
              <w:spacing w:after="0"/>
              <w:rPr>
                <w:sz w:val="20"/>
                <w:szCs w:val="20"/>
                <w:color w:val="auto"/>
              </w:rPr>
            </w:pPr>
            <w:r>
              <w:rPr>
                <w:rFonts w:ascii="Arial" w:cs="Arial" w:eastAsia="Arial" w:hAnsi="Arial"/>
                <w:sz w:val="14"/>
                <w:szCs w:val="14"/>
                <w:b w:val="1"/>
                <w:bCs w:val="1"/>
                <w:color w:val="auto"/>
              </w:rPr>
              <w:t>2023</w:t>
            </w:r>
          </w:p>
        </w:tc>
        <w:tc>
          <w:tcPr>
            <w:tcW w:w="20" w:type="dxa"/>
            <w:vAlign w:val="bottom"/>
          </w:tcPr>
          <w:p>
            <w:pPr>
              <w:spacing w:after="0"/>
              <w:rPr>
                <w:sz w:val="17"/>
                <w:szCs w:val="17"/>
                <w:color w:val="auto"/>
              </w:rPr>
            </w:pPr>
          </w:p>
        </w:tc>
        <w:tc>
          <w:tcPr>
            <w:tcW w:w="280" w:type="dxa"/>
            <w:vAlign w:val="bottom"/>
            <w:gridSpan w:val="3"/>
          </w:tcPr>
          <w:p>
            <w:pPr>
              <w:ind w:left="20"/>
              <w:spacing w:after="0"/>
              <w:rPr>
                <w:sz w:val="20"/>
                <w:szCs w:val="20"/>
                <w:color w:val="auto"/>
              </w:rPr>
            </w:pPr>
            <w:r>
              <w:rPr>
                <w:rFonts w:ascii="Arial" w:cs="Arial" w:eastAsia="Arial" w:hAnsi="Arial"/>
                <w:sz w:val="14"/>
                <w:szCs w:val="14"/>
                <w:b w:val="1"/>
                <w:bCs w:val="1"/>
                <w:color w:val="auto"/>
              </w:rPr>
              <w:t>​ ​</w:t>
            </w:r>
          </w:p>
        </w:tc>
        <w:tc>
          <w:tcPr>
            <w:tcW w:w="620" w:type="dxa"/>
            <w:vAlign w:val="bottom"/>
          </w:tcPr>
          <w:p>
            <w:pPr>
              <w:jc w:val="right"/>
              <w:ind w:right="169"/>
              <w:spacing w:after="0"/>
              <w:rPr>
                <w:sz w:val="20"/>
                <w:szCs w:val="20"/>
                <w:color w:val="auto"/>
              </w:rPr>
            </w:pPr>
            <w:r>
              <w:rPr>
                <w:rFonts w:ascii="Arial" w:cs="Arial" w:eastAsia="Arial" w:hAnsi="Arial"/>
                <w:sz w:val="14"/>
                <w:szCs w:val="14"/>
                <w:b w:val="1"/>
                <w:bCs w:val="1"/>
                <w:color w:val="auto"/>
              </w:rPr>
              <w:t>2022</w:t>
            </w:r>
          </w:p>
        </w:tc>
        <w:tc>
          <w:tcPr>
            <w:tcW w:w="2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 ​</w:t>
            </w:r>
          </w:p>
        </w:tc>
        <w:tc>
          <w:tcPr>
            <w:tcW w:w="660" w:type="dxa"/>
            <w:vAlign w:val="bottom"/>
          </w:tcPr>
          <w:p>
            <w:pPr>
              <w:jc w:val="right"/>
              <w:ind w:right="168"/>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7"/>
                <w:szCs w:val="17"/>
                <w:color w:val="auto"/>
              </w:rPr>
            </w:pPr>
          </w:p>
        </w:tc>
        <w:tc>
          <w:tcPr>
            <w:tcW w:w="260" w:type="dxa"/>
            <w:vAlign w:val="bottom"/>
            <w:gridSpan w:val="2"/>
          </w:tcPr>
          <w:p>
            <w:pPr>
              <w:ind w:left="20"/>
              <w:spacing w:after="0"/>
              <w:rPr>
                <w:sz w:val="20"/>
                <w:szCs w:val="20"/>
                <w:color w:val="auto"/>
              </w:rPr>
            </w:pPr>
            <w:r>
              <w:rPr>
                <w:rFonts w:ascii="Arial" w:cs="Arial" w:eastAsia="Arial" w:hAnsi="Arial"/>
                <w:sz w:val="14"/>
                <w:szCs w:val="14"/>
                <w:b w:val="1"/>
                <w:bCs w:val="1"/>
                <w:color w:val="auto"/>
              </w:rPr>
              <w:t>​ ​</w:t>
            </w:r>
          </w:p>
        </w:tc>
        <w:tc>
          <w:tcPr>
            <w:tcW w:w="520" w:type="dxa"/>
            <w:vAlign w:val="bottom"/>
          </w:tcPr>
          <w:p>
            <w:pPr>
              <w:jc w:val="right"/>
              <w:ind w:right="108"/>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80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3"/>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80" w:type="dxa"/>
            <w:vAlign w:val="bottom"/>
            <w:gridSpan w:val="3"/>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80" w:type="dxa"/>
            <w:vAlign w:val="bottom"/>
            <w:gridSpan w:val="3"/>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404"/>
        </w:trPr>
        <w:tc>
          <w:tcPr>
            <w:tcW w:w="900" w:type="dxa"/>
            <w:vAlign w:val="bottom"/>
            <w:gridSpan w:val="4"/>
          </w:tcPr>
          <w:p>
            <w:pPr>
              <w:ind w:left="2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$(1,778,421)</w:t>
            </w:r>
          </w:p>
        </w:tc>
        <w:tc>
          <w:tcPr>
            <w:tcW w:w="4400" w:type="dxa"/>
            <w:vAlign w:val="bottom"/>
            <w:gridSpan w:val="22"/>
          </w:tcPr>
          <w:p>
            <w:pPr>
              <w:jc w:val="right"/>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$(1,172,927)</w:t>
            </w:r>
            <w:r>
              <w:rPr>
                <w:rFonts w:ascii="Arial" w:cs="Arial" w:eastAsia="Arial" w:hAnsi="Arial"/>
                <w:sz w:val="28"/>
                <w:szCs w:val="28"/>
                <w:color w:val="auto"/>
                <w:vertAlign w:val="subscript"/>
              </w:rPr>
              <w:t>​ ​​</w:t>
            </w:r>
            <w:r>
              <w:rPr>
                <w:rFonts w:ascii="Arial" w:cs="Arial" w:eastAsia="Arial" w:hAnsi="Arial"/>
                <w:sz w:val="14"/>
                <w:szCs w:val="14"/>
                <w:color w:val="auto"/>
              </w:rPr>
              <w:t>$(1,209,080)</w:t>
            </w:r>
            <w:r>
              <w:rPr>
                <w:rFonts w:ascii="Arial" w:cs="Arial" w:eastAsia="Arial" w:hAnsi="Arial"/>
                <w:sz w:val="28"/>
                <w:szCs w:val="28"/>
                <w:color w:val="auto"/>
                <w:vertAlign w:val="subscript"/>
              </w:rPr>
              <w:t>​ ​​</w:t>
            </w:r>
            <w:r>
              <w:rPr>
                <w:rFonts w:ascii="Arial" w:cs="Arial" w:eastAsia="Arial" w:hAnsi="Arial"/>
                <w:sz w:val="14"/>
                <w:szCs w:val="14"/>
                <w:color w:val="auto"/>
              </w:rPr>
              <w:t>$(1,141,117)</w:t>
            </w:r>
            <w:r>
              <w:rPr>
                <w:rFonts w:ascii="Arial" w:cs="Arial" w:eastAsia="Arial" w:hAnsi="Arial"/>
                <w:sz w:val="28"/>
                <w:szCs w:val="28"/>
                <w:color w:val="auto"/>
                <w:vertAlign w:val="subscript"/>
              </w:rPr>
              <w:t>​ ​​</w:t>
            </w:r>
            <w:r>
              <w:rPr>
                <w:rFonts w:ascii="Arial" w:cs="Arial" w:eastAsia="Arial" w:hAnsi="Arial"/>
                <w:sz w:val="14"/>
                <w:szCs w:val="14"/>
                <w:color w:val="auto"/>
              </w:rPr>
              <w:t>$(1,135,825)</w:t>
            </w:r>
            <w:r>
              <w:rPr>
                <w:rFonts w:ascii="Arial" w:cs="Arial" w:eastAsia="Arial" w:hAnsi="Arial"/>
                <w:sz w:val="28"/>
                <w:szCs w:val="28"/>
                <w:color w:val="auto"/>
                <w:vertAlign w:val="subscript"/>
              </w:rPr>
              <w:t>​ ​​</w:t>
            </w:r>
            <w:r>
              <w:rPr>
                <w:rFonts w:ascii="Arial" w:cs="Arial" w:eastAsia="Arial" w:hAnsi="Arial"/>
                <w:sz w:val="14"/>
                <w:szCs w:val="14"/>
                <w:color w:val="auto"/>
              </w:rPr>
              <w:t>$(929,602)</w:t>
            </w:r>
          </w:p>
        </w:tc>
      </w:tr>
      <w:tr>
        <w:trPr>
          <w:trHeight w:val="581"/>
        </w:trPr>
        <w:tc>
          <w:tcPr>
            <w:tcW w:w="900" w:type="dxa"/>
            <w:vAlign w:val="bottom"/>
            <w:gridSpan w:val="4"/>
          </w:tcPr>
          <w:p>
            <w:pPr>
              <w:ind w:left="2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$ 1,689,878</w:t>
            </w:r>
          </w:p>
        </w:tc>
        <w:tc>
          <w:tcPr>
            <w:tcW w:w="800" w:type="dxa"/>
            <w:vAlign w:val="bottom"/>
            <w:gridSpan w:val="4"/>
          </w:tcPr>
          <w:p>
            <w:pPr>
              <w:jc w:val="right"/>
              <w:ind w:right="2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$ 1,709,493</w:t>
            </w:r>
          </w:p>
        </w:tc>
        <w:tc>
          <w:tcPr>
            <w:tcW w:w="920" w:type="dxa"/>
            <w:vAlign w:val="bottom"/>
            <w:gridSpan w:val="5"/>
          </w:tcPr>
          <w:p>
            <w:pPr>
              <w:jc w:val="right"/>
              <w:ind w:right="20"/>
              <w:spacing w:after="0"/>
              <w:rPr>
                <w:sz w:val="20"/>
                <w:szCs w:val="20"/>
                <w:color w:val="auto"/>
              </w:rPr>
            </w:pPr>
            <w:r>
              <w:rPr>
                <w:rFonts w:ascii="Arial" w:cs="Arial" w:eastAsia="Arial" w:hAnsi="Arial"/>
                <w:sz w:val="28"/>
                <w:szCs w:val="28"/>
                <w:color w:val="auto"/>
                <w:vertAlign w:val="subscript"/>
              </w:rPr>
              <w:t>​ ​​</w:t>
            </w:r>
            <w:r>
              <w:rPr>
                <w:rFonts w:ascii="Arial" w:cs="Arial" w:eastAsia="Arial" w:hAnsi="Arial"/>
                <w:sz w:val="14"/>
                <w:szCs w:val="14"/>
                <w:color w:val="auto"/>
              </w:rPr>
              <w:t>$ 1,090,110</w:t>
            </w:r>
          </w:p>
        </w:tc>
        <w:tc>
          <w:tcPr>
            <w:tcW w:w="1160" w:type="dxa"/>
            <w:vAlign w:val="bottom"/>
            <w:gridSpan w:val="6"/>
          </w:tcPr>
          <w:p>
            <w:pPr>
              <w:jc w:val="right"/>
              <w:ind w:right="40"/>
              <w:spacing w:after="0"/>
              <w:rPr>
                <w:sz w:val="20"/>
                <w:szCs w:val="20"/>
                <w:color w:val="auto"/>
              </w:rPr>
            </w:pPr>
            <w:r>
              <w:rPr>
                <w:rFonts w:ascii="Arial" w:cs="Arial" w:eastAsia="Arial" w:hAnsi="Arial"/>
                <w:sz w:val="28"/>
                <w:szCs w:val="28"/>
                <w:color w:val="auto"/>
                <w:vertAlign w:val="subscript"/>
              </w:rPr>
              <w:t>​ ​​</w:t>
            </w:r>
            <w:r>
              <w:rPr>
                <w:rFonts w:ascii="Arial" w:cs="Arial" w:eastAsia="Arial" w:hAnsi="Arial"/>
                <w:sz w:val="14"/>
                <w:szCs w:val="14"/>
                <w:color w:val="auto"/>
              </w:rPr>
              <w:t xml:space="preserve">$ 1,220,410 </w:t>
            </w:r>
            <w:r>
              <w:rPr>
                <w:rFonts w:ascii="Arial" w:cs="Arial" w:eastAsia="Arial" w:hAnsi="Arial"/>
                <w:sz w:val="28"/>
                <w:szCs w:val="28"/>
                <w:color w:val="auto"/>
                <w:vertAlign w:val="subscript"/>
              </w:rPr>
              <w:t>​ ​​</w:t>
            </w:r>
            <w:r>
              <w:rPr>
                <w:rFonts w:ascii="Arial" w:cs="Arial" w:eastAsia="Arial" w:hAnsi="Arial"/>
                <w:sz w:val="14"/>
                <w:szCs w:val="14"/>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4"/>
                <w:szCs w:val="14"/>
                <w:color w:val="auto"/>
              </w:rPr>
              <w:t>2,066,282</w:t>
            </w:r>
          </w:p>
        </w:tc>
        <w:tc>
          <w:tcPr>
            <w:tcW w:w="840" w:type="dxa"/>
            <w:vAlign w:val="bottom"/>
            <w:gridSpan w:val="5"/>
          </w:tcPr>
          <w:p>
            <w:pPr>
              <w:ind w:left="20"/>
              <w:spacing w:after="0"/>
              <w:rPr>
                <w:sz w:val="20"/>
                <w:szCs w:val="20"/>
                <w:color w:val="auto"/>
              </w:rPr>
            </w:pPr>
            <w:r>
              <w:rPr>
                <w:rFonts w:ascii="Arial" w:cs="Arial" w:eastAsia="Arial" w:hAnsi="Arial"/>
                <w:sz w:val="28"/>
                <w:szCs w:val="28"/>
                <w:color w:val="auto"/>
                <w:vertAlign w:val="subscript"/>
              </w:rPr>
              <w:t>​ ​​</w:t>
            </w:r>
            <w:r>
              <w:rPr>
                <w:rFonts w:ascii="Arial" w:cs="Arial" w:eastAsia="Arial" w:hAnsi="Arial"/>
                <w:sz w:val="14"/>
                <w:szCs w:val="14"/>
                <w:color w:val="auto"/>
              </w:rPr>
              <w:t>$ 792,893</w:t>
            </w:r>
          </w:p>
        </w:tc>
      </w:tr>
      <w:tr>
        <w:trPr>
          <w:trHeight w:val="1100"/>
        </w:trPr>
        <w:tc>
          <w:tcPr>
            <w:tcW w:w="180" w:type="dxa"/>
            <w:vAlign w:val="bottom"/>
            <w:gridSpan w:val="2"/>
          </w:tcPr>
          <w:p>
            <w:pPr>
              <w:ind w:left="20"/>
              <w:spacing w:after="0"/>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121,981</w:t>
            </w:r>
          </w:p>
        </w:tc>
        <w:tc>
          <w:tcPr>
            <w:tcW w:w="160" w:type="dxa"/>
            <w:vAlign w:val="bottom"/>
            <w:gridSpan w:val="2"/>
          </w:tcPr>
          <w:p>
            <w:pPr>
              <w:spacing w:after="0"/>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640" w:type="dxa"/>
            <w:vAlign w:val="bottom"/>
            <w:gridSpan w:val="2"/>
          </w:tcPr>
          <w:p>
            <w:pPr>
              <w:jc w:val="right"/>
              <w:ind w:right="20"/>
              <w:spacing w:after="0"/>
              <w:rPr>
                <w:sz w:val="20"/>
                <w:szCs w:val="20"/>
                <w:color w:val="auto"/>
              </w:rPr>
            </w:pPr>
            <w:r>
              <w:rPr>
                <w:rFonts w:ascii="Arial" w:cs="Arial" w:eastAsia="Arial" w:hAnsi="Arial"/>
                <w:sz w:val="14"/>
                <w:szCs w:val="14"/>
                <w:color w:val="auto"/>
              </w:rPr>
              <w:t>626,117</w:t>
            </w:r>
          </w:p>
        </w:tc>
        <w:tc>
          <w:tcPr>
            <w:tcW w:w="280" w:type="dxa"/>
            <w:vAlign w:val="bottom"/>
            <w:gridSpan w:val="3"/>
          </w:tcPr>
          <w:p>
            <w:pPr>
              <w:ind w:left="20"/>
              <w:spacing w:after="0"/>
              <w:rPr>
                <w:sz w:val="20"/>
                <w:szCs w:val="20"/>
                <w:color w:val="auto"/>
              </w:rPr>
            </w:pPr>
            <w:r>
              <w:rPr>
                <w:rFonts w:ascii="Arial" w:cs="Arial" w:eastAsia="Arial" w:hAnsi="Arial"/>
                <w:sz w:val="14"/>
                <w:szCs w:val="14"/>
                <w:color w:val="auto"/>
              </w:rPr>
              <w:t>​ ​​</w:t>
            </w:r>
            <w:r>
              <w:rPr>
                <w:rFonts w:ascii="Arial" w:cs="Arial" w:eastAsia="Arial" w:hAnsi="Arial"/>
                <w:sz w:val="28"/>
                <w:szCs w:val="28"/>
                <w:color w:val="auto"/>
                <w:vertAlign w:val="superscript"/>
              </w:rPr>
              <w:t>$</w:t>
            </w:r>
          </w:p>
        </w:tc>
        <w:tc>
          <w:tcPr>
            <w:tcW w:w="920" w:type="dxa"/>
            <w:vAlign w:val="bottom"/>
            <w:gridSpan w:val="5"/>
          </w:tcPr>
          <w:p>
            <w:pPr>
              <w:jc w:val="right"/>
              <w:ind w:right="60"/>
              <w:spacing w:after="0"/>
              <w:rPr>
                <w:sz w:val="20"/>
                <w:szCs w:val="20"/>
                <w:color w:val="auto"/>
              </w:rPr>
            </w:pPr>
            <w:r>
              <w:rPr>
                <w:rFonts w:ascii="Arial" w:cs="Arial" w:eastAsia="Arial" w:hAnsi="Arial"/>
                <w:sz w:val="14"/>
                <w:szCs w:val="14"/>
                <w:color w:val="auto"/>
              </w:rPr>
              <w:t>(187,893)</w:t>
            </w:r>
            <w:r>
              <w:rPr>
                <w:rFonts w:ascii="Arial" w:cs="Arial" w:eastAsia="Arial" w:hAnsi="Arial"/>
                <w:sz w:val="28"/>
                <w:szCs w:val="28"/>
                <w:color w:val="auto"/>
                <w:vertAlign w:val="subscript"/>
              </w:rPr>
              <w:t>​ ​​</w:t>
            </w:r>
            <w:r>
              <w:rPr>
                <w:rFonts w:ascii="Arial" w:cs="Arial" w:eastAsia="Arial" w:hAnsi="Arial"/>
                <w:sz w:val="14"/>
                <w:szCs w:val="14"/>
                <w:color w:val="auto"/>
              </w:rPr>
              <w:t>$</w:t>
            </w:r>
          </w:p>
        </w:tc>
        <w:tc>
          <w:tcPr>
            <w:tcW w:w="880" w:type="dxa"/>
            <w:vAlign w:val="bottom"/>
            <w:gridSpan w:val="3"/>
          </w:tcPr>
          <w:p>
            <w:pPr>
              <w:jc w:val="right"/>
              <w:ind w:right="40"/>
              <w:spacing w:after="0"/>
              <w:rPr>
                <w:sz w:val="20"/>
                <w:szCs w:val="20"/>
                <w:color w:val="auto"/>
              </w:rPr>
            </w:pPr>
            <w:r>
              <w:rPr>
                <w:rFonts w:ascii="Arial" w:cs="Arial" w:eastAsia="Arial" w:hAnsi="Arial"/>
                <w:sz w:val="14"/>
                <w:szCs w:val="14"/>
                <w:color w:val="auto"/>
              </w:rPr>
              <w:t>(51,182)</w:t>
            </w:r>
            <w:r>
              <w:rPr>
                <w:rFonts w:ascii="Arial" w:cs="Arial" w:eastAsia="Arial" w:hAnsi="Arial"/>
                <w:sz w:val="28"/>
                <w:szCs w:val="28"/>
                <w:color w:val="auto"/>
                <w:vertAlign w:val="subscript"/>
              </w:rPr>
              <w:t>​ ​​</w:t>
            </w:r>
            <w:r>
              <w:rPr>
                <w:rFonts w:ascii="Arial" w:cs="Arial" w:eastAsia="Arial" w:hAnsi="Arial"/>
                <w:sz w:val="14"/>
                <w:szCs w:val="14"/>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4"/>
                <w:szCs w:val="14"/>
                <w:color w:val="auto"/>
              </w:rPr>
              <w:t>1,184,425</w:t>
            </w:r>
          </w:p>
        </w:tc>
        <w:tc>
          <w:tcPr>
            <w:tcW w:w="840" w:type="dxa"/>
            <w:vAlign w:val="bottom"/>
            <w:gridSpan w:val="5"/>
          </w:tcPr>
          <w:p>
            <w:pPr>
              <w:ind w:left="20"/>
              <w:spacing w:after="0"/>
              <w:rPr>
                <w:sz w:val="20"/>
                <w:szCs w:val="20"/>
                <w:color w:val="auto"/>
              </w:rPr>
            </w:pPr>
            <w:r>
              <w:rPr>
                <w:rFonts w:ascii="Arial" w:cs="Arial" w:eastAsia="Arial" w:hAnsi="Arial"/>
                <w:sz w:val="28"/>
                <w:szCs w:val="28"/>
                <w:color w:val="auto"/>
                <w:vertAlign w:val="subscript"/>
              </w:rPr>
              <w:t>​ ​​</w:t>
            </w:r>
            <w:r>
              <w:rPr>
                <w:rFonts w:ascii="Arial" w:cs="Arial" w:eastAsia="Arial" w:hAnsi="Arial"/>
                <w:sz w:val="14"/>
                <w:szCs w:val="14"/>
                <w:color w:val="auto"/>
              </w:rPr>
              <w:t>$(143,285)</w:t>
            </w:r>
          </w:p>
        </w:tc>
      </w:tr>
      <w:tr>
        <w:trPr>
          <w:trHeight w:val="582"/>
        </w:trPr>
        <w:tc>
          <w:tcPr>
            <w:tcW w:w="180" w:type="dxa"/>
            <w:vAlign w:val="bottom"/>
            <w:gridSpan w:val="2"/>
          </w:tcPr>
          <w:p>
            <w:pPr>
              <w:ind w:left="2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27,651</w:t>
            </w:r>
          </w:p>
        </w:tc>
        <w:tc>
          <w:tcPr>
            <w:tcW w:w="160" w:type="dxa"/>
            <w:vAlign w:val="bottom"/>
            <w:gridSpan w:val="2"/>
          </w:tcPr>
          <w:p>
            <w:pPr>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w:t>
            </w:r>
          </w:p>
        </w:tc>
        <w:tc>
          <w:tcPr>
            <w:tcW w:w="920" w:type="dxa"/>
            <w:vAlign w:val="bottom"/>
            <w:gridSpan w:val="5"/>
          </w:tcPr>
          <w:p>
            <w:pPr>
              <w:jc w:val="right"/>
              <w:ind w:right="60"/>
              <w:spacing w:after="0"/>
              <w:rPr>
                <w:sz w:val="20"/>
                <w:szCs w:val="20"/>
                <w:color w:val="auto"/>
              </w:rPr>
            </w:pPr>
            <w:r>
              <w:rPr>
                <w:rFonts w:ascii="Arial" w:cs="Arial" w:eastAsia="Arial" w:hAnsi="Arial"/>
                <w:sz w:val="14"/>
                <w:szCs w:val="14"/>
                <w:color w:val="auto"/>
              </w:rPr>
              <w:t>(28,777)</w:t>
            </w:r>
            <w:r>
              <w:rPr>
                <w:rFonts w:ascii="Arial" w:cs="Arial" w:eastAsia="Arial" w:hAnsi="Arial"/>
                <w:sz w:val="28"/>
                <w:szCs w:val="28"/>
                <w:color w:val="auto"/>
                <w:vertAlign w:val="subscript"/>
              </w:rPr>
              <w:t>​ ​​</w:t>
            </w:r>
            <w:r>
              <w:rPr>
                <w:rFonts w:ascii="Arial" w:cs="Arial" w:eastAsia="Arial" w:hAnsi="Arial"/>
                <w:sz w:val="14"/>
                <w:szCs w:val="14"/>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4"/>
                <w:szCs w:val="14"/>
                <w:color w:val="auto"/>
              </w:rPr>
              <w:t>39,566</w:t>
            </w:r>
          </w:p>
        </w:tc>
        <w:tc>
          <w:tcPr>
            <w:tcW w:w="280" w:type="dxa"/>
            <w:vAlign w:val="bottom"/>
            <w:gridSpan w:val="3"/>
          </w:tcPr>
          <w:p>
            <w:pPr>
              <w:ind w:left="20"/>
              <w:spacing w:after="0"/>
              <w:rPr>
                <w:sz w:val="20"/>
                <w:szCs w:val="20"/>
                <w:color w:val="auto"/>
              </w:rPr>
            </w:pPr>
            <w:r>
              <w:rPr>
                <w:rFonts w:ascii="Arial" w:cs="Arial" w:eastAsia="Arial" w:hAnsi="Arial"/>
                <w:sz w:val="14"/>
                <w:szCs w:val="14"/>
                <w:color w:val="auto"/>
              </w:rPr>
              <w:t>​ ​​</w:t>
            </w:r>
            <w:r>
              <w:rPr>
                <w:rFonts w:ascii="Arial" w:cs="Arial" w:eastAsia="Arial" w:hAnsi="Arial"/>
                <w:sz w:val="28"/>
                <w:szCs w:val="28"/>
                <w:color w:val="auto"/>
                <w:vertAlign w:val="superscript"/>
              </w:rPr>
              <w:t>$</w:t>
            </w:r>
          </w:p>
        </w:tc>
        <w:tc>
          <w:tcPr>
            <w:tcW w:w="880" w:type="dxa"/>
            <w:vAlign w:val="bottom"/>
            <w:gridSpan w:val="3"/>
          </w:tcPr>
          <w:p>
            <w:pPr>
              <w:jc w:val="right"/>
              <w:ind w:right="40"/>
              <w:spacing w:after="0"/>
              <w:rPr>
                <w:sz w:val="20"/>
                <w:szCs w:val="20"/>
                <w:color w:val="auto"/>
              </w:rPr>
            </w:pPr>
            <w:r>
              <w:rPr>
                <w:rFonts w:ascii="Arial" w:cs="Arial" w:eastAsia="Arial" w:hAnsi="Arial"/>
                <w:sz w:val="14"/>
                <w:szCs w:val="14"/>
                <w:color w:val="auto"/>
              </w:rPr>
              <w:t>(103,957)</w:t>
            </w:r>
            <w:r>
              <w:rPr>
                <w:rFonts w:ascii="Arial" w:cs="Arial" w:eastAsia="Arial" w:hAnsi="Arial"/>
                <w:sz w:val="28"/>
                <w:szCs w:val="28"/>
                <w:color w:val="auto"/>
                <w:vertAlign w:val="subscript"/>
              </w:rPr>
              <w:t>​ ​​</w:t>
            </w:r>
            <w:r>
              <w:rPr>
                <w:rFonts w:ascii="Arial" w:cs="Arial" w:eastAsia="Arial" w:hAnsi="Arial"/>
                <w:sz w:val="14"/>
                <w:szCs w:val="14"/>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4"/>
                <w:szCs w:val="14"/>
                <w:color w:val="auto"/>
              </w:rPr>
              <w:t>62,388</w:t>
            </w:r>
          </w:p>
        </w:tc>
        <w:tc>
          <w:tcPr>
            <w:tcW w:w="260" w:type="dxa"/>
            <w:vAlign w:val="bottom"/>
            <w:gridSpan w:val="2"/>
          </w:tcPr>
          <w:p>
            <w:pPr>
              <w:ind w:left="20"/>
              <w:spacing w:after="0"/>
              <w:rPr>
                <w:sz w:val="20"/>
                <w:szCs w:val="20"/>
                <w:color w:val="auto"/>
              </w:rPr>
            </w:pPr>
            <w:r>
              <w:rPr>
                <w:rFonts w:ascii="Arial" w:cs="Arial" w:eastAsia="Arial" w:hAnsi="Arial"/>
                <w:sz w:val="14"/>
                <w:szCs w:val="14"/>
                <w:color w:val="auto"/>
              </w:rPr>
              <w:t>​ ​​</w:t>
            </w:r>
            <w:r>
              <w:rPr>
                <w:rFonts w:ascii="Arial" w:cs="Arial" w:eastAsia="Arial" w:hAnsi="Arial"/>
                <w:sz w:val="28"/>
                <w:szCs w:val="28"/>
                <w:color w:val="auto"/>
                <w:vertAlign w:val="superscript"/>
              </w:rPr>
              <w:t>$</w:t>
            </w:r>
          </w:p>
        </w:tc>
        <w:tc>
          <w:tcPr>
            <w:tcW w:w="580" w:type="dxa"/>
            <w:vAlign w:val="bottom"/>
            <w:gridSpan w:val="3"/>
          </w:tcPr>
          <w:p>
            <w:pPr>
              <w:jc w:val="right"/>
              <w:ind w:right="60"/>
              <w:spacing w:after="0"/>
              <w:rPr>
                <w:sz w:val="20"/>
                <w:szCs w:val="20"/>
                <w:color w:val="auto"/>
              </w:rPr>
            </w:pPr>
            <w:r>
              <w:rPr>
                <w:rFonts w:ascii="Arial" w:cs="Arial" w:eastAsia="Arial" w:hAnsi="Arial"/>
                <w:sz w:val="14"/>
                <w:szCs w:val="14"/>
                <w:color w:val="auto"/>
              </w:rPr>
              <w:t>33,496</w:t>
            </w:r>
          </w:p>
        </w:tc>
      </w:tr>
      <w:tr>
        <w:trPr>
          <w:trHeight w:val="20"/>
        </w:trPr>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180" w:type="dxa"/>
            <w:vAlign w:val="bottom"/>
            <w:gridSpan w:val="2"/>
          </w:tcPr>
          <w:p>
            <w:pPr>
              <w:ind w:left="2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61,089</w:t>
            </w:r>
          </w:p>
        </w:tc>
        <w:tc>
          <w:tcPr>
            <w:tcW w:w="800" w:type="dxa"/>
            <w:vAlign w:val="bottom"/>
            <w:gridSpan w:val="4"/>
          </w:tcPr>
          <w:p>
            <w:pPr>
              <w:jc w:val="right"/>
              <w:ind w:right="2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$ 1,133,906</w:t>
            </w:r>
          </w:p>
        </w:tc>
        <w:tc>
          <w:tcPr>
            <w:tcW w:w="280" w:type="dxa"/>
            <w:vAlign w:val="bottom"/>
            <w:gridSpan w:val="3"/>
          </w:tcPr>
          <w:p>
            <w:pPr>
              <w:ind w:left="20"/>
              <w:spacing w:after="0" w:line="223" w:lineRule="exact"/>
              <w:rPr>
                <w:sz w:val="20"/>
                <w:szCs w:val="20"/>
                <w:color w:val="auto"/>
              </w:rPr>
            </w:pPr>
            <w:r>
              <w:rPr>
                <w:rFonts w:ascii="Arial" w:cs="Arial" w:eastAsia="Arial" w:hAnsi="Arial"/>
                <w:sz w:val="13"/>
                <w:szCs w:val="13"/>
                <w:color w:val="auto"/>
              </w:rPr>
              <w:t>​ ​​</w:t>
            </w:r>
            <w:r>
              <w:rPr>
                <w:rFonts w:ascii="Arial" w:cs="Arial" w:eastAsia="Arial" w:hAnsi="Arial"/>
                <w:sz w:val="25"/>
                <w:szCs w:val="25"/>
                <w:color w:val="auto"/>
                <w:vertAlign w:val="superscript"/>
              </w:rPr>
              <w:t>$</w:t>
            </w:r>
          </w:p>
        </w:tc>
        <w:tc>
          <w:tcPr>
            <w:tcW w:w="920" w:type="dxa"/>
            <w:vAlign w:val="bottom"/>
            <w:gridSpan w:val="5"/>
          </w:tcPr>
          <w:p>
            <w:pPr>
              <w:jc w:val="right"/>
              <w:ind w:right="60"/>
              <w:spacing w:after="0" w:line="223" w:lineRule="exact"/>
              <w:rPr>
                <w:sz w:val="20"/>
                <w:szCs w:val="20"/>
                <w:color w:val="auto"/>
              </w:rPr>
            </w:pPr>
            <w:r>
              <w:rPr>
                <w:rFonts w:ascii="Arial" w:cs="Arial" w:eastAsia="Arial" w:hAnsi="Arial"/>
                <w:sz w:val="13"/>
                <w:szCs w:val="13"/>
                <w:color w:val="auto"/>
              </w:rPr>
              <w:t>(267,297)</w:t>
            </w:r>
            <w:r>
              <w:rPr>
                <w:rFonts w:ascii="Arial" w:cs="Arial" w:eastAsia="Arial" w:hAnsi="Arial"/>
                <w:sz w:val="25"/>
                <w:szCs w:val="25"/>
                <w:color w:val="auto"/>
                <w:vertAlign w:val="subscript"/>
              </w:rPr>
              <w:t>​ ​​</w:t>
            </w:r>
            <w:r>
              <w:rPr>
                <w:rFonts w:ascii="Arial" w:cs="Arial" w:eastAsia="Arial" w:hAnsi="Arial"/>
                <w:sz w:val="13"/>
                <w:szCs w:val="13"/>
                <w:color w:val="auto"/>
              </w:rPr>
              <w:t>$</w:t>
            </w:r>
          </w:p>
        </w:tc>
        <w:tc>
          <w:tcPr>
            <w:tcW w:w="880" w:type="dxa"/>
            <w:vAlign w:val="bottom"/>
            <w:gridSpan w:val="3"/>
          </w:tcPr>
          <w:p>
            <w:pPr>
              <w:jc w:val="right"/>
              <w:ind w:right="40"/>
              <w:spacing w:after="0" w:line="223" w:lineRule="exact"/>
              <w:rPr>
                <w:sz w:val="20"/>
                <w:szCs w:val="20"/>
                <w:color w:val="auto"/>
              </w:rPr>
            </w:pPr>
            <w:r>
              <w:rPr>
                <w:rFonts w:ascii="Arial" w:cs="Arial" w:eastAsia="Arial" w:hAnsi="Arial"/>
                <w:sz w:val="13"/>
                <w:szCs w:val="13"/>
                <w:color w:val="auto"/>
              </w:rPr>
              <w:t>(75,846)</w:t>
            </w:r>
            <w:r>
              <w:rPr>
                <w:rFonts w:ascii="Arial" w:cs="Arial" w:eastAsia="Arial" w:hAnsi="Arial"/>
                <w:sz w:val="25"/>
                <w:szCs w:val="25"/>
                <w:color w:val="auto"/>
                <w:vertAlign w:val="subscript"/>
              </w:rPr>
              <w:t>​ ​​</w:t>
            </w:r>
            <w:r>
              <w:rPr>
                <w:rFonts w:ascii="Arial" w:cs="Arial" w:eastAsia="Arial" w:hAnsi="Arial"/>
                <w:sz w:val="13"/>
                <w:szCs w:val="13"/>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4"/>
                <w:szCs w:val="14"/>
                <w:color w:val="auto"/>
              </w:rPr>
              <w:t>2,177,270</w:t>
            </w:r>
          </w:p>
        </w:tc>
        <w:tc>
          <w:tcPr>
            <w:tcW w:w="840" w:type="dxa"/>
            <w:vAlign w:val="bottom"/>
            <w:gridSpan w:val="5"/>
          </w:tcPr>
          <w:p>
            <w:pPr>
              <w:ind w:left="20"/>
              <w:spacing w:after="0" w:line="223" w:lineRule="exact"/>
              <w:rPr>
                <w:sz w:val="20"/>
                <w:szCs w:val="20"/>
                <w:color w:val="auto"/>
              </w:rPr>
            </w:pPr>
            <w:r>
              <w:rPr>
                <w:rFonts w:ascii="Arial" w:cs="Arial" w:eastAsia="Arial" w:hAnsi="Arial"/>
                <w:sz w:val="25"/>
                <w:szCs w:val="25"/>
                <w:color w:val="auto"/>
                <w:vertAlign w:val="subscript"/>
              </w:rPr>
              <w:t>​ ​​</w:t>
            </w:r>
            <w:r>
              <w:rPr>
                <w:rFonts w:ascii="Arial" w:cs="Arial" w:eastAsia="Arial" w:hAnsi="Arial"/>
                <w:sz w:val="13"/>
                <w:szCs w:val="13"/>
                <w:u w:val="single" w:color="auto"/>
                <w:color w:val="auto"/>
              </w:rPr>
              <w:t>$</w:t>
            </w:r>
            <w:r>
              <w:rPr>
                <w:rFonts w:ascii="Arial" w:cs="Arial" w:eastAsia="Arial" w:hAnsi="Arial"/>
                <w:sz w:val="13"/>
                <w:szCs w:val="13"/>
                <w:color w:val="auto"/>
              </w:rPr>
              <w:t>(246,498)</w:t>
            </w:r>
          </w:p>
        </w:tc>
      </w:tr>
      <w:tr>
        <w:trPr>
          <w:trHeight w:val="20"/>
        </w:trPr>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-1878965</wp:posOffset>
            </wp:positionH>
            <wp:positionV relativeFrom="paragraph">
              <wp:posOffset>-1268095</wp:posOffset>
            </wp:positionV>
            <wp:extent cx="5212080" cy="5911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212080" cy="591185"/>
                    </a:xfrm>
                    <a:prstGeom prst="rect">
                      <a:avLst/>
                    </a:prstGeom>
                    <a:noFill/>
                  </pic:spPr>
                </pic:pic>
              </a:graphicData>
            </a:graphic>
          </wp:anchor>
        </w:drawing>
        <w:drawing>
          <wp:anchor simplePos="0" relativeHeight="251657728" behindDoc="1" locked="0" layoutInCell="0" allowOverlap="1">
            <wp:simplePos x="0" y="0"/>
            <wp:positionH relativeFrom="column">
              <wp:posOffset>-1878965</wp:posOffset>
            </wp:positionH>
            <wp:positionV relativeFrom="paragraph">
              <wp:posOffset>-196215</wp:posOffset>
            </wp:positionV>
            <wp:extent cx="5212080" cy="1797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212080" cy="179705"/>
                    </a:xfrm>
                    <a:prstGeom prst="rect">
                      <a:avLst/>
                    </a:prstGeom>
                    <a:noFill/>
                  </pic:spPr>
                </pic:pic>
              </a:graphicData>
            </a:graphic>
          </wp:anchor>
        </w:drawing>
        <w:drawing>
          <wp:anchor simplePos="0" relativeHeight="251657728" behindDoc="1" locked="0" layoutInCell="0" allowOverlap="1">
            <wp:simplePos x="0" y="0"/>
            <wp:positionH relativeFrom="column">
              <wp:posOffset>-1878965</wp:posOffset>
            </wp:positionH>
            <wp:positionV relativeFrom="paragraph">
              <wp:posOffset>-1902460</wp:posOffset>
            </wp:positionV>
            <wp:extent cx="5212080" cy="26543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212080" cy="2654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080" w:space="140"/>
            <w:col w:w="5659"/>
          </w:cols>
          <w:pgMar w:left="580" w:top="97" w:right="1440" w:bottom="1440" w:gutter="0" w:footer="0" w:header="0"/>
          <w:type w:val="continuous"/>
        </w:sectPr>
      </w:pPr>
    </w:p>
    <w:p>
      <w:pPr>
        <w:spacing w:after="0" w:line="74"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540" w:type="dxa"/>
            <w:vAlign w:val="bottom"/>
            <w:gridSpan w:val="2"/>
          </w:tcPr>
          <w:p>
            <w:pPr>
              <w:spacing w:after="0"/>
              <w:rPr>
                <w:sz w:val="20"/>
                <w:szCs w:val="20"/>
                <w:color w:val="auto"/>
              </w:rPr>
            </w:pPr>
            <w:r>
              <w:rPr>
                <w:rFonts w:ascii="Arial" w:cs="Arial" w:eastAsia="Arial" w:hAnsi="Arial"/>
                <w:sz w:val="14"/>
                <w:szCs w:val="14"/>
                <w:b w:val="1"/>
                <w:bCs w:val="1"/>
                <w:color w:val="auto"/>
              </w:rPr>
              <w:t>Adjustments to Determine Compensation</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98"/>
        </w:trPr>
        <w:tc>
          <w:tcPr>
            <w:tcW w:w="3420" w:type="dxa"/>
            <w:vAlign w:val="bottom"/>
          </w:tcPr>
          <w:p>
            <w:pPr>
              <w:spacing w:after="0"/>
              <w:rPr>
                <w:sz w:val="20"/>
                <w:szCs w:val="20"/>
                <w:color w:val="auto"/>
              </w:rPr>
            </w:pPr>
            <w:r>
              <w:rPr>
                <w:rFonts w:ascii="Arial" w:cs="Arial" w:eastAsia="Arial" w:hAnsi="Arial"/>
                <w:sz w:val="14"/>
                <w:szCs w:val="14"/>
                <w:b w:val="1"/>
                <w:bCs w:val="1"/>
                <w:color w:val="auto"/>
              </w:rPr>
              <w:t>“Actually Paid” for Non-PEOs (Average)</w:t>
            </w:r>
          </w:p>
        </w:tc>
        <w:tc>
          <w:tcPr>
            <w:tcW w:w="120" w:type="dxa"/>
            <w:vAlign w:val="bottom"/>
          </w:tcPr>
          <w:p>
            <w:pPr>
              <w:spacing w:after="0"/>
              <w:rPr>
                <w:sz w:val="17"/>
                <w:szCs w:val="17"/>
                <w:color w:val="auto"/>
              </w:rPr>
            </w:pPr>
          </w:p>
        </w:tc>
        <w:tc>
          <w:tcPr>
            <w:tcW w:w="680" w:type="dxa"/>
            <w:vAlign w:val="bottom"/>
          </w:tcPr>
          <w:p>
            <w:pPr>
              <w:jc w:val="right"/>
              <w:ind w:right="113"/>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960" w:type="dxa"/>
            <w:vAlign w:val="bottom"/>
            <w:gridSpan w:val="3"/>
          </w:tcPr>
          <w:p>
            <w:pPr>
              <w:ind w:left="180"/>
              <w:spacing w:after="0" w:line="199" w:lineRule="exact"/>
              <w:rPr>
                <w:sz w:val="20"/>
                <w:szCs w:val="20"/>
                <w:color w:val="auto"/>
              </w:rPr>
            </w:pPr>
            <w:r>
              <w:rPr>
                <w:rFonts w:ascii="Arial" w:cs="Arial" w:eastAsia="Arial" w:hAnsi="Arial"/>
                <w:sz w:val="12"/>
                <w:szCs w:val="12"/>
                <w:b w:val="1"/>
                <w:bCs w:val="1"/>
                <w:color w:val="auto"/>
              </w:rPr>
              <w:t xml:space="preserve">2023   </w:t>
            </w:r>
            <w:r>
              <w:rPr>
                <w:rFonts w:ascii="Arial" w:cs="Arial" w:eastAsia="Arial" w:hAnsi="Arial"/>
                <w:sz w:val="22"/>
                <w:szCs w:val="22"/>
                <w:b w:val="1"/>
                <w:bCs w:val="1"/>
                <w:color w:val="auto"/>
                <w:vertAlign w:val="subscript"/>
              </w:rPr>
              <w:t>​ ​</w:t>
            </w:r>
          </w:p>
        </w:tc>
        <w:tc>
          <w:tcPr>
            <w:tcW w:w="1620" w:type="dxa"/>
            <w:vAlign w:val="bottom"/>
            <w:gridSpan w:val="5"/>
          </w:tcPr>
          <w:p>
            <w:pPr>
              <w:ind w:left="40"/>
              <w:spacing w:after="0" w:line="199" w:lineRule="exact"/>
              <w:rPr>
                <w:sz w:val="20"/>
                <w:szCs w:val="20"/>
                <w:color w:val="auto"/>
              </w:rPr>
            </w:pPr>
            <w:r>
              <w:rPr>
                <w:rFonts w:ascii="Arial" w:cs="Arial" w:eastAsia="Arial" w:hAnsi="Arial"/>
                <w:sz w:val="12"/>
                <w:szCs w:val="12"/>
                <w:b w:val="1"/>
                <w:bCs w:val="1"/>
                <w:color w:val="auto"/>
              </w:rPr>
              <w:t xml:space="preserve">2022   </w:t>
            </w:r>
            <w:r>
              <w:rPr>
                <w:rFonts w:ascii="Arial" w:cs="Arial" w:eastAsia="Arial" w:hAnsi="Arial"/>
                <w:sz w:val="22"/>
                <w:szCs w:val="22"/>
                <w:b w:val="1"/>
                <w:bCs w:val="1"/>
                <w:color w:val="auto"/>
                <w:vertAlign w:val="subscript"/>
              </w:rPr>
              <w:t>​ ​</w:t>
            </w:r>
            <w:r>
              <w:rPr>
                <w:rFonts w:ascii="Arial" w:cs="Arial" w:eastAsia="Arial" w:hAnsi="Arial"/>
                <w:sz w:val="12"/>
                <w:szCs w:val="12"/>
                <w:b w:val="1"/>
                <w:bCs w:val="1"/>
                <w:color w:val="auto"/>
              </w:rPr>
              <w:t xml:space="preserve">  2021   </w:t>
            </w:r>
            <w:r>
              <w:rPr>
                <w:rFonts w:ascii="Arial" w:cs="Arial" w:eastAsia="Arial" w:hAnsi="Arial"/>
                <w:sz w:val="22"/>
                <w:szCs w:val="22"/>
                <w:b w:val="1"/>
                <w:bCs w:val="1"/>
                <w:color w:val="auto"/>
                <w:vertAlign w:val="subscript"/>
              </w:rPr>
              <w:t>​ ​</w:t>
            </w:r>
          </w:p>
        </w:tc>
        <w:tc>
          <w:tcPr>
            <w:tcW w:w="520" w:type="dxa"/>
            <w:vAlign w:val="bottom"/>
          </w:tcPr>
          <w:p>
            <w:pPr>
              <w:ind w:left="40"/>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7"/>
                <w:szCs w:val="17"/>
                <w:color w:val="auto"/>
              </w:rPr>
            </w:pPr>
          </w:p>
        </w:tc>
      </w:tr>
      <w:tr>
        <w:trPr>
          <w:trHeight w:val="187"/>
        </w:trPr>
        <w:tc>
          <w:tcPr>
            <w:tcW w:w="3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Deduction for Amounts Reported under the “Stock</w:t>
            </w:r>
          </w:p>
        </w:tc>
        <w:tc>
          <w:tcPr>
            <w:tcW w:w="12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60" w:type="dxa"/>
            <w:vAlign w:val="bottom"/>
          </w:tcPr>
          <w:p>
            <w:pPr>
              <w:spacing w:after="0"/>
              <w:rPr>
                <w:sz w:val="16"/>
                <w:szCs w:val="16"/>
                <w:color w:val="auto"/>
              </w:rPr>
            </w:pPr>
          </w:p>
        </w:tc>
      </w:tr>
      <w:tr>
        <w:trPr>
          <w:trHeight w:val="212"/>
        </w:trPr>
        <w:tc>
          <w:tcPr>
            <w:tcW w:w="35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Awards” Column in the SCT</w:t>
            </w:r>
          </w:p>
        </w:tc>
        <w:tc>
          <w:tcPr>
            <w:tcW w:w="4660" w:type="dxa"/>
            <w:vAlign w:val="bottom"/>
            <w:gridSpan w:val="13"/>
            <w:shd w:val="clear" w:color="auto" w:fill="CCEEFF"/>
          </w:tcPr>
          <w:p>
            <w:pPr>
              <w:spacing w:after="0" w:line="212" w:lineRule="exact"/>
              <w:rPr>
                <w:sz w:val="20"/>
                <w:szCs w:val="20"/>
                <w:color w:val="auto"/>
              </w:rPr>
            </w:pPr>
            <w:r>
              <w:rPr>
                <w:rFonts w:ascii="Arial" w:cs="Arial" w:eastAsia="Arial" w:hAnsi="Arial"/>
                <w:sz w:val="24"/>
                <w:szCs w:val="24"/>
                <w:color w:val="auto"/>
                <w:vertAlign w:val="subscript"/>
              </w:rPr>
              <w:t>​</w:t>
            </w:r>
            <w:r>
              <w:rPr>
                <w:rFonts w:ascii="Arial" w:cs="Arial" w:eastAsia="Arial" w:hAnsi="Arial"/>
                <w:sz w:val="13"/>
                <w:szCs w:val="13"/>
                <w:color w:val="auto"/>
              </w:rPr>
              <w:t xml:space="preserve">$(547,192) </w:t>
            </w:r>
            <w:r>
              <w:rPr>
                <w:rFonts w:ascii="Arial" w:cs="Arial" w:eastAsia="Arial" w:hAnsi="Arial"/>
                <w:sz w:val="24"/>
                <w:szCs w:val="24"/>
                <w:color w:val="auto"/>
                <w:vertAlign w:val="subscript"/>
              </w:rPr>
              <w:t>​</w:t>
            </w:r>
            <w:r>
              <w:rPr>
                <w:rFonts w:ascii="Arial" w:cs="Arial" w:eastAsia="Arial" w:hAnsi="Arial"/>
                <w:sz w:val="13"/>
                <w:szCs w:val="13"/>
                <w:color w:val="auto"/>
              </w:rPr>
              <w:t xml:space="preserve">$(321,332) </w:t>
            </w:r>
            <w:r>
              <w:rPr>
                <w:rFonts w:ascii="Arial" w:cs="Arial" w:eastAsia="Arial" w:hAnsi="Arial"/>
                <w:sz w:val="24"/>
                <w:szCs w:val="24"/>
                <w:color w:val="auto"/>
                <w:vertAlign w:val="subscript"/>
              </w:rPr>
              <w:t>​</w:t>
            </w:r>
            <w:r>
              <w:rPr>
                <w:rFonts w:ascii="Arial" w:cs="Arial" w:eastAsia="Arial" w:hAnsi="Arial"/>
                <w:sz w:val="13"/>
                <w:szCs w:val="13"/>
                <w:color w:val="auto"/>
              </w:rPr>
              <w:t>$(499,164)</w:t>
            </w:r>
            <w:r>
              <w:rPr>
                <w:rFonts w:ascii="Arial" w:cs="Arial" w:eastAsia="Arial" w:hAnsi="Arial"/>
                <w:sz w:val="24"/>
                <w:szCs w:val="24"/>
                <w:color w:val="auto"/>
                <w:vertAlign w:val="subscript"/>
              </w:rPr>
              <w:t>​ ​​</w:t>
            </w:r>
            <w:r>
              <w:rPr>
                <w:rFonts w:ascii="Arial" w:cs="Arial" w:eastAsia="Arial" w:hAnsi="Arial"/>
                <w:sz w:val="13"/>
                <w:szCs w:val="13"/>
                <w:color w:val="auto"/>
              </w:rPr>
              <w:t>$(734,921)</w:t>
            </w:r>
            <w:r>
              <w:rPr>
                <w:rFonts w:ascii="Arial" w:cs="Arial" w:eastAsia="Arial" w:hAnsi="Arial"/>
                <w:sz w:val="24"/>
                <w:szCs w:val="24"/>
                <w:color w:val="auto"/>
                <w:vertAlign w:val="subscript"/>
              </w:rPr>
              <w:t>​ ​​</w:t>
            </w:r>
            <w:r>
              <w:rPr>
                <w:rFonts w:ascii="Arial" w:cs="Arial" w:eastAsia="Arial" w:hAnsi="Arial"/>
                <w:sz w:val="13"/>
                <w:szCs w:val="13"/>
                <w:color w:val="auto"/>
              </w:rPr>
              <w:t>$(382,239)</w:t>
            </w:r>
            <w:r>
              <w:rPr>
                <w:rFonts w:ascii="Arial" w:cs="Arial" w:eastAsia="Arial" w:hAnsi="Arial"/>
                <w:sz w:val="24"/>
                <w:szCs w:val="24"/>
                <w:color w:val="auto"/>
                <w:vertAlign w:val="subscript"/>
              </w:rPr>
              <w:t>​ ​​</w:t>
            </w:r>
            <w:r>
              <w:rPr>
                <w:rFonts w:ascii="Arial" w:cs="Arial" w:eastAsia="Arial" w:hAnsi="Arial"/>
                <w:sz w:val="13"/>
                <w:szCs w:val="13"/>
                <w:color w:val="auto"/>
              </w:rPr>
              <w:t>$(328,875)</w:t>
            </w:r>
          </w:p>
        </w:tc>
        <w:tc>
          <w:tcPr>
            <w:tcW w:w="60" w:type="dxa"/>
            <w:vAlign w:val="bottom"/>
          </w:tcPr>
          <w:p>
            <w:pPr>
              <w:spacing w:after="0"/>
              <w:rPr>
                <w:sz w:val="18"/>
                <w:szCs w:val="18"/>
                <w:color w:val="auto"/>
              </w:rPr>
            </w:pPr>
          </w:p>
        </w:tc>
      </w:tr>
      <w:tr>
        <w:trPr>
          <w:trHeight w:val="207"/>
        </w:trPr>
        <w:tc>
          <w:tcPr>
            <w:tcW w:w="3540" w:type="dxa"/>
            <w:vAlign w:val="bottom"/>
            <w:gridSpan w:val="2"/>
          </w:tcPr>
          <w:p>
            <w:pPr>
              <w:spacing w:after="0"/>
              <w:rPr>
                <w:sz w:val="20"/>
                <w:szCs w:val="20"/>
                <w:color w:val="auto"/>
              </w:rPr>
            </w:pPr>
            <w:r>
              <w:rPr>
                <w:rFonts w:ascii="Arial" w:cs="Arial" w:eastAsia="Arial" w:hAnsi="Arial"/>
                <w:sz w:val="14"/>
                <w:szCs w:val="14"/>
                <w:color w:val="auto"/>
              </w:rPr>
              <w:t>Increase for Fair Value of Awards Granted during year</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2"/>
        </w:trPr>
        <w:tc>
          <w:tcPr>
            <w:tcW w:w="3540" w:type="dxa"/>
            <w:vAlign w:val="bottom"/>
            <w:gridSpan w:val="2"/>
          </w:tcPr>
          <w:p>
            <w:pPr>
              <w:ind w:left="140"/>
              <w:spacing w:after="0"/>
              <w:rPr>
                <w:sz w:val="20"/>
                <w:szCs w:val="20"/>
                <w:color w:val="auto"/>
              </w:rPr>
            </w:pPr>
            <w:r>
              <w:rPr>
                <w:rFonts w:ascii="Arial" w:cs="Arial" w:eastAsia="Arial" w:hAnsi="Arial"/>
                <w:sz w:val="14"/>
                <w:szCs w:val="14"/>
                <w:color w:val="auto"/>
              </w:rPr>
              <w:t>that Remain Unvested as of Year end</w:t>
            </w:r>
          </w:p>
        </w:tc>
        <w:tc>
          <w:tcPr>
            <w:tcW w:w="780" w:type="dxa"/>
            <w:vAlign w:val="bottom"/>
            <w:gridSpan w:val="2"/>
          </w:tcPr>
          <w:p>
            <w:pPr>
              <w:spacing w:after="0" w:line="212" w:lineRule="exact"/>
              <w:rPr>
                <w:sz w:val="20"/>
                <w:szCs w:val="20"/>
                <w:color w:val="auto"/>
              </w:rPr>
            </w:pPr>
            <w:r>
              <w:rPr>
                <w:rFonts w:ascii="Arial" w:cs="Arial" w:eastAsia="Arial" w:hAnsi="Arial"/>
                <w:sz w:val="24"/>
                <w:szCs w:val="24"/>
                <w:color w:val="auto"/>
                <w:vertAlign w:val="subscript"/>
              </w:rPr>
              <w:t>​</w:t>
            </w:r>
            <w:r>
              <w:rPr>
                <w:rFonts w:ascii="Arial" w:cs="Arial" w:eastAsia="Arial" w:hAnsi="Arial"/>
                <w:sz w:val="13"/>
                <w:szCs w:val="13"/>
                <w:color w:val="auto"/>
              </w:rPr>
              <w:t>$ 517,350</w:t>
            </w:r>
          </w:p>
        </w:tc>
        <w:tc>
          <w:tcPr>
            <w:tcW w:w="780" w:type="dxa"/>
            <w:vAlign w:val="bottom"/>
            <w:gridSpan w:val="2"/>
          </w:tcPr>
          <w:p>
            <w:pPr>
              <w:jc w:val="center"/>
              <w:ind w:right="100"/>
              <w:spacing w:after="0" w:line="212" w:lineRule="exact"/>
              <w:rPr>
                <w:sz w:val="20"/>
                <w:szCs w:val="20"/>
                <w:color w:val="auto"/>
              </w:rPr>
            </w:pPr>
            <w:r>
              <w:rPr>
                <w:rFonts w:ascii="Arial" w:cs="Arial" w:eastAsia="Arial" w:hAnsi="Arial"/>
                <w:sz w:val="24"/>
                <w:szCs w:val="24"/>
                <w:color w:val="auto"/>
                <w:vertAlign w:val="subscript"/>
              </w:rPr>
              <w:t>​</w:t>
            </w:r>
            <w:r>
              <w:rPr>
                <w:rFonts w:ascii="Arial" w:cs="Arial" w:eastAsia="Arial" w:hAnsi="Arial"/>
                <w:sz w:val="13"/>
                <w:szCs w:val="13"/>
                <w:color w:val="auto"/>
              </w:rPr>
              <w:t>$ 315,837</w:t>
            </w:r>
          </w:p>
        </w:tc>
        <w:tc>
          <w:tcPr>
            <w:tcW w:w="3160" w:type="dxa"/>
            <w:vAlign w:val="bottom"/>
            <w:gridSpan w:val="10"/>
          </w:tcPr>
          <w:p>
            <w:pPr>
              <w:spacing w:after="0" w:line="212" w:lineRule="exact"/>
              <w:rPr>
                <w:sz w:val="20"/>
                <w:szCs w:val="20"/>
                <w:color w:val="auto"/>
              </w:rPr>
            </w:pPr>
            <w:r>
              <w:rPr>
                <w:rFonts w:ascii="Arial" w:cs="Arial" w:eastAsia="Arial" w:hAnsi="Arial"/>
                <w:sz w:val="24"/>
                <w:szCs w:val="24"/>
                <w:color w:val="auto"/>
                <w:vertAlign w:val="subscript"/>
              </w:rPr>
              <w:t>​</w:t>
            </w:r>
            <w:r>
              <w:rPr>
                <w:rFonts w:ascii="Arial" w:cs="Arial" w:eastAsia="Arial" w:hAnsi="Arial"/>
                <w:sz w:val="13"/>
                <w:szCs w:val="13"/>
                <w:color w:val="auto"/>
              </w:rPr>
              <w:t xml:space="preserve">$ 449,983 </w:t>
            </w:r>
            <w:r>
              <w:rPr>
                <w:rFonts w:ascii="Arial" w:cs="Arial" w:eastAsia="Arial" w:hAnsi="Arial"/>
                <w:sz w:val="24"/>
                <w:szCs w:val="24"/>
                <w:color w:val="auto"/>
                <w:vertAlign w:val="subscript"/>
              </w:rPr>
              <w:t>​ ​​</w:t>
            </w:r>
            <w:r>
              <w:rPr>
                <w:rFonts w:ascii="Arial" w:cs="Arial" w:eastAsia="Arial" w:hAnsi="Arial"/>
                <w:sz w:val="13"/>
                <w:szCs w:val="13"/>
                <w:color w:val="auto"/>
              </w:rPr>
              <w:t xml:space="preserve">$ 716,807 </w:t>
            </w:r>
            <w:r>
              <w:rPr>
                <w:rFonts w:ascii="Arial" w:cs="Arial" w:eastAsia="Arial" w:hAnsi="Arial"/>
                <w:sz w:val="24"/>
                <w:szCs w:val="24"/>
                <w:color w:val="auto"/>
                <w:vertAlign w:val="subscript"/>
              </w:rPr>
              <w:t>​ ​​</w:t>
            </w:r>
            <w:r>
              <w:rPr>
                <w:rFonts w:ascii="Arial" w:cs="Arial" w:eastAsia="Arial" w:hAnsi="Arial"/>
                <w:sz w:val="13"/>
                <w:szCs w:val="13"/>
                <w:color w:val="auto"/>
              </w:rPr>
              <w:t xml:space="preserve">$ 686,661 </w:t>
            </w:r>
            <w:r>
              <w:rPr>
                <w:rFonts w:ascii="Arial" w:cs="Arial" w:eastAsia="Arial" w:hAnsi="Arial"/>
                <w:sz w:val="24"/>
                <w:szCs w:val="24"/>
                <w:color w:val="auto"/>
                <w:vertAlign w:val="subscript"/>
              </w:rPr>
              <w:t>​ ​​</w:t>
            </w:r>
            <w:r>
              <w:rPr>
                <w:rFonts w:ascii="Arial" w:cs="Arial" w:eastAsia="Arial" w:hAnsi="Arial"/>
                <w:sz w:val="13"/>
                <w:szCs w:val="13"/>
                <w:color w:val="auto"/>
              </w:rPr>
              <w:t>$ 239,386</w:t>
            </w:r>
          </w:p>
        </w:tc>
      </w:tr>
      <w:tr>
        <w:trPr>
          <w:trHeight w:val="207"/>
        </w:trPr>
        <w:tc>
          <w:tcPr>
            <w:tcW w:w="3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Increase/deduction for Change in Fair Value from prior</w:t>
            </w: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r>
      <w:tr>
        <w:trPr>
          <w:trHeight w:val="162"/>
        </w:trPr>
        <w:tc>
          <w:tcPr>
            <w:tcW w:w="35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Year-end to current Year-end of Awards Granted</w:t>
            </w: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0" w:type="dxa"/>
            <w:vAlign w:val="bottom"/>
          </w:tcPr>
          <w:p>
            <w:pPr>
              <w:spacing w:after="0"/>
              <w:rPr>
                <w:sz w:val="14"/>
                <w:szCs w:val="14"/>
                <w:color w:val="auto"/>
              </w:rPr>
            </w:pPr>
          </w:p>
        </w:tc>
      </w:tr>
      <w:tr>
        <w:trPr>
          <w:trHeight w:val="175"/>
        </w:trPr>
        <w:tc>
          <w:tcPr>
            <w:tcW w:w="35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Prior to year that were Outstanding and Unvested</w:t>
            </w: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 w:type="dxa"/>
            <w:vAlign w:val="bottom"/>
          </w:tcPr>
          <w:p>
            <w:pPr>
              <w:spacing w:after="0"/>
              <w:rPr>
                <w:sz w:val="15"/>
                <w:szCs w:val="15"/>
                <w:color w:val="auto"/>
              </w:rPr>
            </w:pPr>
          </w:p>
        </w:tc>
      </w:tr>
      <w:tr>
        <w:trPr>
          <w:trHeight w:val="212"/>
        </w:trPr>
        <w:tc>
          <w:tcPr>
            <w:tcW w:w="35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as of Year-end</w:t>
            </w:r>
          </w:p>
        </w:tc>
        <w:tc>
          <w:tcPr>
            <w:tcW w:w="780" w:type="dxa"/>
            <w:vAlign w:val="bottom"/>
            <w:gridSpan w:val="2"/>
            <w:shd w:val="clear" w:color="auto" w:fill="CCEEFF"/>
          </w:tcPr>
          <w:p>
            <w:pPr>
              <w:spacing w:after="0" w:line="212" w:lineRule="exact"/>
              <w:rPr>
                <w:sz w:val="20"/>
                <w:szCs w:val="20"/>
                <w:color w:val="auto"/>
              </w:rPr>
            </w:pPr>
            <w:r>
              <w:rPr>
                <w:rFonts w:ascii="Arial" w:cs="Arial" w:eastAsia="Arial" w:hAnsi="Arial"/>
                <w:sz w:val="24"/>
                <w:szCs w:val="24"/>
                <w:color w:val="auto"/>
                <w:vertAlign w:val="subscript"/>
              </w:rPr>
              <w:t>​</w:t>
            </w:r>
            <w:r>
              <w:rPr>
                <w:rFonts w:ascii="Arial" w:cs="Arial" w:eastAsia="Arial" w:hAnsi="Arial"/>
                <w:sz w:val="13"/>
                <w:szCs w:val="13"/>
                <w:color w:val="auto"/>
              </w:rPr>
              <w:t>$  22,396</w:t>
            </w:r>
          </w:p>
        </w:tc>
        <w:tc>
          <w:tcPr>
            <w:tcW w:w="780" w:type="dxa"/>
            <w:vAlign w:val="bottom"/>
            <w:gridSpan w:val="2"/>
            <w:shd w:val="clear" w:color="auto" w:fill="CCEEFF"/>
          </w:tcPr>
          <w:p>
            <w:pPr>
              <w:jc w:val="center"/>
              <w:ind w:right="100"/>
              <w:spacing w:after="0" w:line="212" w:lineRule="exact"/>
              <w:rPr>
                <w:sz w:val="20"/>
                <w:szCs w:val="20"/>
                <w:color w:val="auto"/>
              </w:rPr>
            </w:pPr>
            <w:r>
              <w:rPr>
                <w:rFonts w:ascii="Arial" w:cs="Arial" w:eastAsia="Arial" w:hAnsi="Arial"/>
                <w:sz w:val="24"/>
                <w:szCs w:val="24"/>
                <w:color w:val="auto"/>
                <w:vertAlign w:val="subscript"/>
              </w:rPr>
              <w:t>​</w:t>
            </w:r>
            <w:r>
              <w:rPr>
                <w:rFonts w:ascii="Arial" w:cs="Arial" w:eastAsia="Arial" w:hAnsi="Arial"/>
                <w:sz w:val="13"/>
                <w:szCs w:val="13"/>
                <w:color w:val="auto"/>
              </w:rPr>
              <w:t>$ 116,020</w:t>
            </w:r>
          </w:p>
        </w:tc>
        <w:tc>
          <w:tcPr>
            <w:tcW w:w="960" w:type="dxa"/>
            <w:vAlign w:val="bottom"/>
            <w:gridSpan w:val="3"/>
            <w:shd w:val="clear" w:color="auto" w:fill="CCEEFF"/>
          </w:tcPr>
          <w:p>
            <w:pPr>
              <w:spacing w:after="0" w:line="212" w:lineRule="exact"/>
              <w:rPr>
                <w:sz w:val="20"/>
                <w:szCs w:val="20"/>
                <w:color w:val="auto"/>
              </w:rPr>
            </w:pPr>
            <w:r>
              <w:rPr>
                <w:rFonts w:ascii="Arial" w:cs="Arial" w:eastAsia="Arial" w:hAnsi="Arial"/>
                <w:sz w:val="24"/>
                <w:szCs w:val="24"/>
                <w:color w:val="auto"/>
                <w:vertAlign w:val="subscript"/>
              </w:rPr>
              <w:t>​</w:t>
            </w:r>
            <w:r>
              <w:rPr>
                <w:rFonts w:ascii="Arial" w:cs="Arial" w:eastAsia="Arial" w:hAnsi="Arial"/>
                <w:sz w:val="13"/>
                <w:szCs w:val="13"/>
                <w:color w:val="auto"/>
              </w:rPr>
              <w:t>$ (75,917)</w:t>
            </w:r>
            <w:r>
              <w:rPr>
                <w:rFonts w:ascii="Arial" w:cs="Arial" w:eastAsia="Arial" w:hAnsi="Arial"/>
                <w:sz w:val="24"/>
                <w:szCs w:val="24"/>
                <w:color w:val="auto"/>
                <w:vertAlign w:val="subscript"/>
              </w:rPr>
              <w:t>​ ​​</w:t>
            </w:r>
            <w:r>
              <w:rPr>
                <w:rFonts w:ascii="Arial" w:cs="Arial" w:eastAsia="Arial" w:hAnsi="Arial"/>
                <w:sz w:val="13"/>
                <w:szCs w:val="13"/>
                <w:color w:val="auto"/>
              </w:rPr>
              <w:t>$</w:t>
            </w:r>
          </w:p>
        </w:tc>
        <w:tc>
          <w:tcPr>
            <w:tcW w:w="1620" w:type="dxa"/>
            <w:vAlign w:val="bottom"/>
            <w:gridSpan w:val="5"/>
            <w:shd w:val="clear" w:color="auto" w:fill="CCEEFF"/>
          </w:tcPr>
          <w:p>
            <w:pPr>
              <w:ind w:left="40"/>
              <w:spacing w:after="0" w:line="212" w:lineRule="exact"/>
              <w:rPr>
                <w:sz w:val="20"/>
                <w:szCs w:val="20"/>
                <w:color w:val="auto"/>
              </w:rPr>
            </w:pPr>
            <w:r>
              <w:rPr>
                <w:rFonts w:ascii="Arial" w:cs="Arial" w:eastAsia="Arial" w:hAnsi="Arial"/>
                <w:sz w:val="13"/>
                <w:szCs w:val="13"/>
                <w:color w:val="auto"/>
              </w:rPr>
              <w:t>(17,214)</w:t>
            </w:r>
            <w:r>
              <w:rPr>
                <w:rFonts w:ascii="Arial" w:cs="Arial" w:eastAsia="Arial" w:hAnsi="Arial"/>
                <w:sz w:val="24"/>
                <w:szCs w:val="24"/>
                <w:color w:val="auto"/>
                <w:vertAlign w:val="subscript"/>
              </w:rPr>
              <w:t>​ ​​</w:t>
            </w:r>
            <w:r>
              <w:rPr>
                <w:rFonts w:ascii="Arial" w:cs="Arial" w:eastAsia="Arial" w:hAnsi="Arial"/>
                <w:sz w:val="13"/>
                <w:szCs w:val="13"/>
                <w:color w:val="auto"/>
              </w:rPr>
              <w:t xml:space="preserve">$ 332,595 </w:t>
            </w:r>
            <w:r>
              <w:rPr>
                <w:rFonts w:ascii="Arial" w:cs="Arial" w:eastAsia="Arial" w:hAnsi="Arial"/>
                <w:sz w:val="24"/>
                <w:szCs w:val="24"/>
                <w:color w:val="auto"/>
                <w:vertAlign w:val="subscript"/>
              </w:rPr>
              <w:t>​ ​​</w:t>
            </w:r>
            <w:r>
              <w:rPr>
                <w:rFonts w:ascii="Arial" w:cs="Arial" w:eastAsia="Arial" w:hAnsi="Arial"/>
                <w:sz w:val="13"/>
                <w:szCs w:val="13"/>
                <w:color w:val="auto"/>
              </w:rPr>
              <w:t>$</w:t>
            </w:r>
          </w:p>
        </w:tc>
        <w:tc>
          <w:tcPr>
            <w:tcW w:w="520" w:type="dxa"/>
            <w:vAlign w:val="bottom"/>
            <w:shd w:val="clear" w:color="auto" w:fill="CCEEFF"/>
          </w:tcPr>
          <w:p>
            <w:pPr>
              <w:ind w:left="40"/>
              <w:spacing w:after="0"/>
              <w:rPr>
                <w:sz w:val="20"/>
                <w:szCs w:val="20"/>
                <w:color w:val="auto"/>
              </w:rPr>
            </w:pPr>
            <w:r>
              <w:rPr>
                <w:rFonts w:ascii="Arial" w:cs="Arial" w:eastAsia="Arial" w:hAnsi="Arial"/>
                <w:sz w:val="14"/>
                <w:szCs w:val="14"/>
                <w:color w:val="auto"/>
                <w:w w:val="88"/>
              </w:rPr>
              <w:t>(20,377)</w:t>
            </w:r>
          </w:p>
        </w:tc>
        <w:tc>
          <w:tcPr>
            <w:tcW w:w="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5497830</wp:posOffset>
            </wp:positionH>
            <wp:positionV relativeFrom="paragraph">
              <wp:posOffset>-1010920</wp:posOffset>
            </wp:positionV>
            <wp:extent cx="8572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4983480</wp:posOffset>
            </wp:positionH>
            <wp:positionV relativeFrom="paragraph">
              <wp:posOffset>-1010920</wp:posOffset>
            </wp:positionV>
            <wp:extent cx="857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4469130</wp:posOffset>
            </wp:positionH>
            <wp:positionV relativeFrom="paragraph">
              <wp:posOffset>-1010920</wp:posOffset>
            </wp:positionV>
            <wp:extent cx="8572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3971925</wp:posOffset>
            </wp:positionH>
            <wp:positionV relativeFrom="paragraph">
              <wp:posOffset>-1010920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3474720</wp:posOffset>
            </wp:positionH>
            <wp:positionV relativeFrom="paragraph">
              <wp:posOffset>-1010920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2977515</wp:posOffset>
            </wp:positionH>
            <wp:positionV relativeFrom="paragraph">
              <wp:posOffset>-1010920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p>
      <w:pPr>
        <w:spacing w:after="0" w:line="31" w:lineRule="exact"/>
        <w:rPr>
          <w:sz w:val="20"/>
          <w:szCs w:val="20"/>
          <w:color w:val="auto"/>
        </w:rPr>
      </w:pPr>
    </w:p>
    <w:p>
      <w:pPr>
        <w:jc w:val="both"/>
        <w:ind w:left="1400" w:hanging="143"/>
        <w:spacing w:after="0" w:line="273" w:lineRule="auto"/>
        <w:rPr>
          <w:sz w:val="20"/>
          <w:szCs w:val="20"/>
          <w:color w:val="auto"/>
        </w:rPr>
      </w:pPr>
      <w:r>
        <w:rPr>
          <w:rFonts w:ascii="Arial" w:cs="Arial" w:eastAsia="Arial" w:hAnsi="Arial"/>
          <w:sz w:val="14"/>
          <w:szCs w:val="14"/>
          <w:color w:val="auto"/>
        </w:rPr>
        <w:t>Increase/deduction for Change in Fair Value from Prior Year-end to Vesting Date of Awards Granted Prior to year that Vested during year</w:t>
      </w:r>
    </w:p>
    <w:p>
      <w:pPr>
        <w:spacing w:after="0" w:line="31" w:lineRule="exact"/>
        <w:rPr>
          <w:sz w:val="20"/>
          <w:szCs w:val="20"/>
          <w:color w:val="auto"/>
        </w:rPr>
      </w:pPr>
    </w:p>
    <w:p>
      <w:pPr>
        <w:ind w:left="1400" w:right="20" w:hanging="143"/>
        <w:spacing w:after="0" w:line="305" w:lineRule="auto"/>
        <w:rPr>
          <w:sz w:val="20"/>
          <w:szCs w:val="20"/>
          <w:color w:val="auto"/>
        </w:rPr>
      </w:pPr>
      <w:r>
        <w:rPr>
          <w:rFonts w:ascii="Arial" w:cs="Arial" w:eastAsia="Arial" w:hAnsi="Arial"/>
          <w:sz w:val="14"/>
          <w:szCs w:val="14"/>
          <w:color w:val="auto"/>
        </w:rPr>
        <w:t>Deduction for the Fair Value of Awards forfeited during year</w:t>
      </w:r>
    </w:p>
    <w:p>
      <w:pPr>
        <w:spacing w:after="0" w:line="36" w:lineRule="exact"/>
        <w:rPr>
          <w:sz w:val="20"/>
          <w:szCs w:val="20"/>
          <w:color w:val="auto"/>
        </w:rPr>
      </w:pPr>
    </w:p>
    <w:p>
      <w:pPr>
        <w:ind w:left="1400"/>
        <w:spacing w:after="0"/>
        <w:rPr>
          <w:sz w:val="20"/>
          <w:szCs w:val="20"/>
          <w:color w:val="auto"/>
        </w:rPr>
      </w:pPr>
      <w:r>
        <w:rPr>
          <w:rFonts w:ascii="Arial" w:cs="Arial" w:eastAsia="Arial" w:hAnsi="Arial"/>
          <w:sz w:val="14"/>
          <w:szCs w:val="14"/>
          <w:b w:val="1"/>
          <w:bCs w:val="1"/>
          <w:color w:val="auto"/>
        </w:rPr>
        <w:t>Total Adjustments</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554"/>
        </w:trPr>
        <w:tc>
          <w:tcPr>
            <w:tcW w:w="260" w:type="dxa"/>
            <w:vAlign w:val="bottom"/>
            <w:gridSpan w:val="2"/>
          </w:tcPr>
          <w:p>
            <w:pPr>
              <w:ind w:left="120"/>
              <w:spacing w:after="0"/>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(16,803)</w:t>
            </w:r>
          </w:p>
        </w:tc>
        <w:tc>
          <w:tcPr>
            <w:tcW w:w="780" w:type="dxa"/>
            <w:vAlign w:val="bottom"/>
            <w:gridSpan w:val="2"/>
          </w:tcPr>
          <w:p>
            <w:pPr>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(6,978)</w:t>
            </w:r>
          </w:p>
        </w:tc>
        <w:tc>
          <w:tcPr>
            <w:tcW w:w="140" w:type="dxa"/>
            <w:vAlign w:val="bottom"/>
          </w:tcPr>
          <w:p>
            <w:pPr>
              <w:spacing w:after="0"/>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800" w:type="dxa"/>
            <w:vAlign w:val="bottom"/>
            <w:gridSpan w:val="3"/>
          </w:tcPr>
          <w:p>
            <w:pPr>
              <w:jc w:val="right"/>
              <w:ind w:right="60"/>
              <w:spacing w:after="0"/>
              <w:rPr>
                <w:sz w:val="20"/>
                <w:szCs w:val="20"/>
                <w:color w:val="auto"/>
              </w:rPr>
            </w:pPr>
            <w:r>
              <w:rPr>
                <w:rFonts w:ascii="Arial" w:cs="Arial" w:eastAsia="Arial" w:hAnsi="Arial"/>
                <w:sz w:val="14"/>
                <w:szCs w:val="14"/>
                <w:color w:val="auto"/>
              </w:rPr>
              <w:t xml:space="preserve">14,769 </w:t>
            </w:r>
            <w:r>
              <w:rPr>
                <w:rFonts w:ascii="Arial" w:cs="Arial" w:eastAsia="Arial" w:hAnsi="Arial"/>
                <w:sz w:val="28"/>
                <w:szCs w:val="28"/>
                <w:color w:val="auto"/>
                <w:vertAlign w:val="subscript"/>
              </w:rPr>
              <w:t>​ ​​</w:t>
            </w:r>
            <w:r>
              <w:rPr>
                <w:rFonts w:ascii="Arial" w:cs="Arial" w:eastAsia="Arial" w:hAnsi="Arial"/>
                <w:sz w:val="14"/>
                <w:szCs w:val="14"/>
                <w:color w:val="auto"/>
              </w:rPr>
              <w:t>$</w:t>
            </w:r>
          </w:p>
        </w:tc>
        <w:tc>
          <w:tcPr>
            <w:tcW w:w="840" w:type="dxa"/>
            <w:vAlign w:val="bottom"/>
            <w:gridSpan w:val="3"/>
          </w:tcPr>
          <w:p>
            <w:pPr>
              <w:jc w:val="right"/>
              <w:ind w:right="80"/>
              <w:spacing w:after="0"/>
              <w:rPr>
                <w:sz w:val="20"/>
                <w:szCs w:val="20"/>
                <w:color w:val="auto"/>
              </w:rPr>
            </w:pPr>
            <w:r>
              <w:rPr>
                <w:rFonts w:ascii="Arial" w:cs="Arial" w:eastAsia="Arial" w:hAnsi="Arial"/>
                <w:sz w:val="14"/>
                <w:szCs w:val="14"/>
                <w:color w:val="auto"/>
              </w:rPr>
              <w:t>(30,046)</w:t>
            </w:r>
            <w:r>
              <w:rPr>
                <w:rFonts w:ascii="Arial" w:cs="Arial" w:eastAsia="Arial" w:hAnsi="Arial"/>
                <w:sz w:val="28"/>
                <w:szCs w:val="28"/>
                <w:color w:val="auto"/>
                <w:vertAlign w:val="subscript"/>
              </w:rPr>
              <w:t>​ ​​</w:t>
            </w: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11,206</w:t>
            </w:r>
          </w:p>
        </w:tc>
        <w:tc>
          <w:tcPr>
            <w:tcW w:w="260" w:type="dxa"/>
            <w:vAlign w:val="bottom"/>
            <w:gridSpan w:val="2"/>
          </w:tcPr>
          <w:p>
            <w:pPr>
              <w:ind w:left="20"/>
              <w:spacing w:after="0"/>
              <w:rPr>
                <w:sz w:val="20"/>
                <w:szCs w:val="20"/>
                <w:color w:val="auto"/>
              </w:rPr>
            </w:pPr>
            <w:r>
              <w:rPr>
                <w:rFonts w:ascii="Arial" w:cs="Arial" w:eastAsia="Arial" w:hAnsi="Arial"/>
                <w:sz w:val="14"/>
                <w:szCs w:val="14"/>
                <w:color w:val="auto"/>
              </w:rPr>
              <w:t>​ ​​</w:t>
            </w:r>
            <w:r>
              <w:rPr>
                <w:rFonts w:ascii="Arial" w:cs="Arial" w:eastAsia="Arial" w:hAnsi="Arial"/>
                <w:sz w:val="28"/>
                <w:szCs w:val="28"/>
                <w:color w:val="auto"/>
                <w:vertAlign w:val="superscript"/>
              </w:rPr>
              <w:t>$</w:t>
            </w: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8,839</w:t>
            </w:r>
          </w:p>
        </w:tc>
      </w:tr>
      <w:tr>
        <w:trPr>
          <w:trHeight w:val="245"/>
        </w:trPr>
        <w:tc>
          <w:tcPr>
            <w:tcW w:w="260" w:type="dxa"/>
            <w:vAlign w:val="bottom"/>
            <w:gridSpan w:val="2"/>
          </w:tcPr>
          <w:p>
            <w:pPr>
              <w:ind w:left="120"/>
              <w:spacing w:after="0" w:line="245"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gridSpan w:val="2"/>
          </w:tcPr>
          <w:p>
            <w:pPr>
              <w:spacing w:after="0" w:line="245"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$(220,175)</w:t>
            </w:r>
          </w:p>
        </w:tc>
        <w:tc>
          <w:tcPr>
            <w:tcW w:w="140" w:type="dxa"/>
            <w:vAlign w:val="bottom"/>
          </w:tcPr>
          <w:p>
            <w:pPr>
              <w:spacing w:after="0" w:line="245"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w:t>
            </w:r>
          </w:p>
        </w:tc>
        <w:tc>
          <w:tcPr>
            <w:tcW w:w="800" w:type="dxa"/>
            <w:vAlign w:val="bottom"/>
            <w:gridSpan w:val="3"/>
          </w:tcPr>
          <w:p>
            <w:pPr>
              <w:jc w:val="right"/>
              <w:ind w:right="60"/>
              <w:spacing w:after="0" w:line="245"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 ​​</w:t>
            </w:r>
            <w:r>
              <w:rPr>
                <w:rFonts w:ascii="Arial" w:cs="Arial" w:eastAsia="Arial" w:hAnsi="Arial"/>
                <w:sz w:val="28"/>
                <w:szCs w:val="28"/>
                <w:color w:val="auto"/>
                <w:vertAlign w:val="superscript"/>
              </w:rPr>
              <w:t>$</w:t>
            </w:r>
          </w:p>
        </w:tc>
        <w:tc>
          <w:tcPr>
            <w:tcW w:w="840" w:type="dxa"/>
            <w:vAlign w:val="bottom"/>
            <w:gridSpan w:val="3"/>
          </w:tcPr>
          <w:p>
            <w:pPr>
              <w:jc w:val="right"/>
              <w:ind w:right="80"/>
              <w:spacing w:after="0" w:line="245"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 ​​</w:t>
            </w:r>
            <w:r>
              <w:rPr>
                <w:rFonts w:ascii="Arial" w:cs="Arial" w:eastAsia="Arial" w:hAnsi="Arial"/>
                <w:sz w:val="28"/>
                <w:szCs w:val="28"/>
                <w:color w:val="auto"/>
                <w:vertAlign w:val="superscript"/>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gridSpan w:val="2"/>
          </w:tcPr>
          <w:p>
            <w:pPr>
              <w:ind w:left="20"/>
              <w:spacing w:after="0" w:line="245" w:lineRule="exact"/>
              <w:rPr>
                <w:sz w:val="20"/>
                <w:szCs w:val="20"/>
                <w:color w:val="auto"/>
              </w:rPr>
            </w:pPr>
            <w:r>
              <w:rPr>
                <w:rFonts w:ascii="Arial" w:cs="Arial" w:eastAsia="Arial" w:hAnsi="Arial"/>
                <w:sz w:val="14"/>
                <w:szCs w:val="14"/>
                <w:color w:val="auto"/>
              </w:rPr>
              <w:t>​ ​​</w:t>
            </w:r>
            <w:r>
              <w:rPr>
                <w:rFonts w:ascii="Arial" w:cs="Arial" w:eastAsia="Arial" w:hAnsi="Arial"/>
                <w:sz w:val="28"/>
                <w:szCs w:val="28"/>
                <w:color w:val="auto"/>
                <w:vertAlign w:val="superscript"/>
              </w:rPr>
              <w:t>$</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(96,818)</w:t>
            </w:r>
          </w:p>
        </w:tc>
      </w:tr>
      <w:tr>
        <w:trPr>
          <w:trHeight w:val="20"/>
        </w:trPr>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80" w:type="dxa"/>
            <w:vAlign w:val="bottom"/>
            <w:tcBorders>
              <w:right w:val="single" w:sz="8" w:color="CCEEFF"/>
            </w:tcBorders>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260" w:type="dxa"/>
            <w:vAlign w:val="bottom"/>
            <w:gridSpan w:val="2"/>
          </w:tcPr>
          <w:p>
            <w:pPr>
              <w:ind w:left="12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(24,249)</w:t>
            </w:r>
          </w:p>
        </w:tc>
        <w:tc>
          <w:tcPr>
            <w:tcW w:w="780" w:type="dxa"/>
            <w:vAlign w:val="bottom"/>
            <w:gridSpan w:val="2"/>
          </w:tcPr>
          <w:p>
            <w:pPr>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(116,628)</w:t>
            </w:r>
          </w:p>
        </w:tc>
        <w:tc>
          <w:tcPr>
            <w:tcW w:w="940" w:type="dxa"/>
            <w:vAlign w:val="bottom"/>
            <w:gridSpan w:val="4"/>
          </w:tcPr>
          <w:p>
            <w:pPr>
              <w:jc w:val="right"/>
              <w:ind w:right="6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(110,329)</w:t>
            </w:r>
            <w:r>
              <w:rPr>
                <w:rFonts w:ascii="Arial" w:cs="Arial" w:eastAsia="Arial" w:hAnsi="Arial"/>
                <w:sz w:val="25"/>
                <w:szCs w:val="25"/>
                <w:color w:val="auto"/>
                <w:vertAlign w:val="subscript"/>
              </w:rPr>
              <w:t>​ ​​</w:t>
            </w:r>
            <w:r>
              <w:rPr>
                <w:rFonts w:ascii="Arial" w:cs="Arial" w:eastAsia="Arial" w:hAnsi="Arial"/>
                <w:sz w:val="13"/>
                <w:szCs w:val="13"/>
                <w:color w:val="auto"/>
              </w:rPr>
              <w:t>$</w:t>
            </w:r>
          </w:p>
        </w:tc>
        <w:tc>
          <w:tcPr>
            <w:tcW w:w="1360" w:type="dxa"/>
            <w:vAlign w:val="bottom"/>
            <w:gridSpan w:val="4"/>
          </w:tcPr>
          <w:p>
            <w:pPr>
              <w:jc w:val="right"/>
              <w:spacing w:after="0" w:line="223" w:lineRule="exact"/>
              <w:rPr>
                <w:sz w:val="20"/>
                <w:szCs w:val="20"/>
                <w:color w:val="auto"/>
              </w:rPr>
            </w:pPr>
            <w:r>
              <w:rPr>
                <w:rFonts w:ascii="Arial" w:cs="Arial" w:eastAsia="Arial" w:hAnsi="Arial"/>
                <w:sz w:val="13"/>
                <w:szCs w:val="13"/>
                <w:color w:val="auto"/>
              </w:rPr>
              <w:t>(65,374)</w:t>
            </w:r>
            <w:r>
              <w:rPr>
                <w:rFonts w:ascii="Arial" w:cs="Arial" w:eastAsia="Arial" w:hAnsi="Arial"/>
                <w:sz w:val="25"/>
                <w:szCs w:val="25"/>
                <w:color w:val="auto"/>
                <w:vertAlign w:val="subscript"/>
              </w:rPr>
              <w:t>​ ​​</w:t>
            </w:r>
            <w:r>
              <w:rPr>
                <w:rFonts w:ascii="Arial" w:cs="Arial" w:eastAsia="Arial" w:hAnsi="Arial"/>
                <w:sz w:val="13"/>
                <w:szCs w:val="13"/>
                <w:color w:val="auto"/>
              </w:rPr>
              <w:t>$ 648,223</w:t>
            </w:r>
          </w:p>
        </w:tc>
        <w:tc>
          <w:tcPr>
            <w:tcW w:w="840" w:type="dxa"/>
            <w:vAlign w:val="bottom"/>
            <w:gridSpan w:val="4"/>
          </w:tcPr>
          <w:p>
            <w:pPr>
              <w:jc w:val="right"/>
              <w:spacing w:after="0" w:line="223" w:lineRule="exact"/>
              <w:rPr>
                <w:sz w:val="20"/>
                <w:szCs w:val="20"/>
                <w:color w:val="auto"/>
              </w:rPr>
            </w:pPr>
            <w:r>
              <w:rPr>
                <w:rFonts w:ascii="Arial" w:cs="Arial" w:eastAsia="Arial" w:hAnsi="Arial"/>
                <w:sz w:val="25"/>
                <w:szCs w:val="25"/>
                <w:color w:val="auto"/>
                <w:vertAlign w:val="subscript"/>
              </w:rPr>
              <w:t>​ ​​</w:t>
            </w:r>
            <w:r>
              <w:rPr>
                <w:rFonts w:ascii="Arial" w:cs="Arial" w:eastAsia="Arial" w:hAnsi="Arial"/>
                <w:sz w:val="13"/>
                <w:szCs w:val="13"/>
                <w:u w:val="single" w:color="auto"/>
                <w:color w:val="auto"/>
              </w:rPr>
              <w:t>$</w:t>
            </w:r>
            <w:r>
              <w:rPr>
                <w:rFonts w:ascii="Arial" w:cs="Arial" w:eastAsia="Arial" w:hAnsi="Arial"/>
                <w:sz w:val="13"/>
                <w:szCs w:val="13"/>
                <w:color w:val="auto"/>
              </w:rPr>
              <w:t>(197,845)</w:t>
            </w:r>
          </w:p>
        </w:tc>
      </w:tr>
      <w:tr>
        <w:trPr>
          <w:trHeight w:val="20"/>
        </w:trPr>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-2171065</wp:posOffset>
            </wp:positionH>
            <wp:positionV relativeFrom="paragraph">
              <wp:posOffset>-462280</wp:posOffset>
            </wp:positionV>
            <wp:extent cx="5212080" cy="2743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212080" cy="2743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680" w:space="0"/>
            <w:col w:w="5199"/>
          </w:cols>
          <w:pgMar w:left="580" w:top="97" w:right="1440" w:bottom="1440" w:gutter="0" w:footer="0" w:header="0"/>
          <w:type w:val="continuous"/>
        </w:sectPr>
      </w:pPr>
    </w:p>
    <w:p>
      <w:pPr>
        <w:spacing w:after="0" w:line="38" w:lineRule="exact"/>
        <w:rPr>
          <w:sz w:val="20"/>
          <w:szCs w:val="20"/>
          <w:color w:val="auto"/>
        </w:rPr>
      </w:pPr>
    </w:p>
    <w:p>
      <w:pPr>
        <w:jc w:val="both"/>
        <w:ind w:left="1260" w:right="419"/>
        <w:spacing w:after="0" w:line="267" w:lineRule="auto"/>
        <w:rPr>
          <w:sz w:val="20"/>
          <w:szCs w:val="20"/>
          <w:color w:val="auto"/>
        </w:rPr>
      </w:pPr>
      <w:r>
        <w:rPr>
          <w:rFonts w:ascii="Arial" w:cs="Arial" w:eastAsia="Arial" w:hAnsi="Arial"/>
          <w:sz w:val="18"/>
          <w:szCs w:val="18"/>
          <w:color w:val="auto"/>
        </w:rPr>
        <w:t>In addition, because Mr. Partridge was an NEO during a portion of 2024, the calculation above of “Average Compensation Actually Paid to non-PEO NEOs” for 2024 includes amounts paid to Mr. Partridge for such year. If Mr. Partridge’s 2024 compensation had not been included in such calculation for 2024, the “Average Summary Compensation Table Total for Non-PEO NEOs” and “Average Compensation Actually Paid to Non-PEOP NEOs” for 2024 would have been $1,023,393 and $1,281,073, respectively.</w:t>
      </w:r>
    </w:p>
    <w:p>
      <w:pPr>
        <w:sectPr>
          <w:pgSz w:w="11900" w:h="16838" w:orient="portrait"/>
          <w:cols w:equalWidth="0" w:num="1">
            <w:col w:w="9879"/>
          </w:cols>
          <w:pgMar w:left="580" w:top="97" w:right="1440" w:bottom="1440" w:gutter="0" w:footer="0" w:header="0"/>
          <w:type w:val="continuous"/>
        </w:sectPr>
      </w:pPr>
    </w:p>
    <w:p>
      <w:pPr>
        <w:spacing w:after="0" w:line="360"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9" w:name="page60"/>
    <w:bookmarkEnd w:id="5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Relationship Between Financial Performance Measures</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following graphs compare the CAP for the PEO and the average CAP for the non-PEO NEOs with</w:t>
      </w:r>
    </w:p>
    <w:p>
      <w:pPr>
        <w:spacing w:after="0" w:line="32" w:lineRule="exact"/>
        <w:rPr>
          <w:sz w:val="20"/>
          <w:szCs w:val="20"/>
          <w:color w:val="auto"/>
        </w:rPr>
      </w:pPr>
    </w:p>
    <w:p>
      <w:pPr>
        <w:jc w:val="both"/>
        <w:ind w:left="1260" w:right="419"/>
        <w:spacing w:after="0" w:line="306" w:lineRule="auto"/>
        <w:tabs>
          <w:tab w:leader="none" w:pos="1476" w:val="left"/>
        </w:tabs>
        <w:numPr>
          <w:ilvl w:val="0"/>
          <w:numId w:val="55"/>
        </w:numPr>
        <w:rPr>
          <w:rFonts w:ascii="Arial" w:cs="Arial" w:eastAsia="Arial" w:hAnsi="Arial"/>
          <w:sz w:val="17"/>
          <w:szCs w:val="17"/>
          <w:color w:val="auto"/>
        </w:rPr>
      </w:pPr>
      <w:r>
        <w:rPr>
          <w:rFonts w:ascii="Arial" w:cs="Arial" w:eastAsia="Arial" w:hAnsi="Arial"/>
          <w:sz w:val="17"/>
          <w:szCs w:val="17"/>
          <w:color w:val="auto"/>
        </w:rPr>
        <w:t>our cumulative TSR and our peer group TSR, (ii) our net income and (iii) our Adjusted FFO per fully diluted share, in each case, for the fiscal years ended December 31, 2021, 2022, 2023, 2024, and 2025.</w:t>
      </w:r>
    </w:p>
    <w:p>
      <w:pPr>
        <w:spacing w:after="0" w:line="86" w:lineRule="exact"/>
        <w:rPr>
          <w:sz w:val="20"/>
          <w:szCs w:val="20"/>
          <w:color w:val="auto"/>
        </w:rPr>
      </w:pPr>
    </w:p>
    <w:p>
      <w:pPr>
        <w:ind w:left="1260" w:right="419"/>
        <w:spacing w:after="0" w:line="287" w:lineRule="auto"/>
        <w:rPr>
          <w:sz w:val="20"/>
          <w:szCs w:val="20"/>
          <w:color w:val="auto"/>
        </w:rPr>
      </w:pPr>
      <w:r>
        <w:rPr>
          <w:rFonts w:ascii="Arial" w:cs="Arial" w:eastAsia="Arial" w:hAnsi="Arial"/>
          <w:sz w:val="18"/>
          <w:szCs w:val="18"/>
          <w:color w:val="auto"/>
        </w:rPr>
        <w:t>TSR amounts reported in the graph assume an initial fixed investment of $100, and that all dividends, if any, were reinvested.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825500</wp:posOffset>
            </wp:positionH>
            <wp:positionV relativeFrom="paragraph">
              <wp:posOffset>100330</wp:posOffset>
            </wp:positionV>
            <wp:extent cx="5168900" cy="540893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68900" cy="5408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0" w:name="page61"/>
    <w:bookmarkEnd w:id="60"/>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825500</wp:posOffset>
            </wp:positionH>
            <wp:positionV relativeFrom="paragraph">
              <wp:posOffset>569595</wp:posOffset>
            </wp:positionV>
            <wp:extent cx="5168900" cy="26231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68900" cy="2623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Performance Measures</w:t>
      </w:r>
    </w:p>
    <w:p>
      <w:pPr>
        <w:spacing w:after="0" w:line="144" w:lineRule="exact"/>
        <w:rPr>
          <w:sz w:val="20"/>
          <w:szCs w:val="20"/>
          <w:color w:val="auto"/>
        </w:rPr>
      </w:pPr>
    </w:p>
    <w:p>
      <w:pPr>
        <w:ind w:left="1260" w:right="419"/>
        <w:spacing w:after="0" w:line="287" w:lineRule="auto"/>
        <w:rPr>
          <w:sz w:val="20"/>
          <w:szCs w:val="20"/>
          <w:color w:val="auto"/>
        </w:rPr>
      </w:pPr>
      <w:r>
        <w:rPr>
          <w:rFonts w:ascii="Arial" w:cs="Arial" w:eastAsia="Arial" w:hAnsi="Arial"/>
          <w:sz w:val="18"/>
          <w:szCs w:val="18"/>
          <w:color w:val="auto"/>
        </w:rPr>
        <w:t>We believe the following performance measures represent the most important financial performance measures used by us to link our NEOs’ CAP for the fiscal year ended December 31, 2025:</w:t>
      </w:r>
    </w:p>
    <w:p>
      <w:pPr>
        <w:spacing w:after="0" w:line="45" w:lineRule="exact"/>
        <w:rPr>
          <w:sz w:val="20"/>
          <w:szCs w:val="20"/>
          <w:color w:val="auto"/>
        </w:rPr>
      </w:pPr>
    </w:p>
    <w:p>
      <w:pPr>
        <w:ind w:left="1800" w:hanging="180"/>
        <w:spacing w:after="0"/>
        <w:tabs>
          <w:tab w:leader="none" w:pos="18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TSR over a 3-year performance period versus the performance of the Index</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Adjusted FFO per fully diluted share</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Other income growth</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Same-store leased occupancy change</w:t>
      </w:r>
    </w:p>
    <w:p>
      <w:pPr>
        <w:spacing w:after="0" w:line="158" w:lineRule="exact"/>
        <w:rPr>
          <w:sz w:val="20"/>
          <w:szCs w:val="20"/>
          <w:color w:val="auto"/>
        </w:rPr>
      </w:pPr>
    </w:p>
    <w:p>
      <w:pPr>
        <w:jc w:val="both"/>
        <w:ind w:left="1260" w:right="419"/>
        <w:spacing w:after="0" w:line="268" w:lineRule="auto"/>
        <w:rPr>
          <w:sz w:val="20"/>
          <w:szCs w:val="20"/>
          <w:color w:val="auto"/>
        </w:rPr>
      </w:pPr>
      <w:r>
        <w:rPr>
          <w:rFonts w:ascii="Arial" w:cs="Arial" w:eastAsia="Arial" w:hAnsi="Arial"/>
          <w:sz w:val="18"/>
          <w:szCs w:val="18"/>
          <w:color w:val="auto"/>
        </w:rPr>
        <w:t>For additional details regarding our most important financial performance measures, please see the sections titled “Annual Incentive Plan” and “Equity Compensation — Performance Shares” in the CD&amp;A included in this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1" w:name="page62"/>
    <w:bookmarkEnd w:id="6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REPORT OF THE AUDIT COMMITTEE</w:t>
      </w:r>
    </w:p>
    <w:p>
      <w:pPr>
        <w:spacing w:after="0" w:line="158" w:lineRule="exact"/>
        <w:rPr>
          <w:sz w:val="20"/>
          <w:szCs w:val="20"/>
          <w:color w:val="auto"/>
        </w:rPr>
      </w:pPr>
    </w:p>
    <w:p>
      <w:pPr>
        <w:jc w:val="both"/>
        <w:ind w:left="1260" w:right="419"/>
        <w:spacing w:after="0" w:line="259" w:lineRule="auto"/>
        <w:rPr>
          <w:sz w:val="20"/>
          <w:szCs w:val="20"/>
          <w:color w:val="auto"/>
        </w:rPr>
      </w:pPr>
      <w:r>
        <w:rPr>
          <w:rFonts w:ascii="Arial" w:cs="Arial" w:eastAsia="Arial" w:hAnsi="Arial"/>
          <w:sz w:val="18"/>
          <w:szCs w:val="18"/>
          <w:color w:val="auto"/>
        </w:rPr>
        <w:t>The Audit Committee assists the Board of Directors in fulfilling its oversight responsibilities with respect to the integrity of our consolidated financial statements, our compliance with legal and regulatory requirements, the qualifications, independence and performance of our independent auditors, our systems of internal controls over financial reporting established by management and the Board, and our auditing, accounting, and financial reporting processes generally.</w:t>
      </w:r>
    </w:p>
    <w:p>
      <w:pPr>
        <w:spacing w:after="0" w:line="112" w:lineRule="exact"/>
        <w:rPr>
          <w:sz w:val="20"/>
          <w:szCs w:val="20"/>
          <w:color w:val="auto"/>
        </w:rPr>
      </w:pPr>
    </w:p>
    <w:p>
      <w:pPr>
        <w:jc w:val="both"/>
        <w:ind w:left="1260" w:right="419"/>
        <w:spacing w:after="0" w:line="256" w:lineRule="auto"/>
        <w:rPr>
          <w:sz w:val="20"/>
          <w:szCs w:val="20"/>
          <w:color w:val="auto"/>
        </w:rPr>
      </w:pPr>
      <w:r>
        <w:rPr>
          <w:rFonts w:ascii="Arial" w:cs="Arial" w:eastAsia="Arial" w:hAnsi="Arial"/>
          <w:sz w:val="18"/>
          <w:szCs w:val="18"/>
          <w:color w:val="auto"/>
        </w:rPr>
        <w:t>Among other things, the Audit Committee contracts with the independent auditors to audit our financial statements; inquires as to the independence of the auditors, and obtains at least annually the auditors’ written statement describing their independent status; meets with the independent auditors, with and without management present, to discuss their examination, their evaluation of our internal controls, and the overall quality of our financial reporting; and investigates any matter brought to its attention within the scope of its duties, with the power to retain outside counsel for this purpose, as deemed necessary by the Audit Committee.</w:t>
      </w:r>
    </w:p>
    <w:p>
      <w:pPr>
        <w:spacing w:after="0" w:line="10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In connection with the preparation and filing of our 2025 Annual Report:</w:t>
      </w:r>
    </w:p>
    <w:p>
      <w:pPr>
        <w:spacing w:after="0" w:line="158" w:lineRule="exact"/>
        <w:rPr>
          <w:sz w:val="20"/>
          <w:szCs w:val="20"/>
          <w:color w:val="auto"/>
        </w:rPr>
      </w:pPr>
    </w:p>
    <w:p>
      <w:pPr>
        <w:jc w:val="both"/>
        <w:ind w:left="1980" w:right="419" w:hanging="360"/>
        <w:spacing w:after="0" w:line="259" w:lineRule="auto"/>
        <w:tabs>
          <w:tab w:leader="none" w:pos="1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Audit Committee reviewed and discussed with management and the independent auditors our audited consolidated financial statements for the year ended December 31, 2025, and reports on the effectiveness of internal controls over financial reporting contained in our 2025 Annual Report, including a discussion of the reasonableness of significant judgements and the clarity of disclosures in the consolidated financial statements.</w:t>
      </w:r>
    </w:p>
    <w:p>
      <w:pPr>
        <w:spacing w:after="0" w:line="111" w:lineRule="exact"/>
        <w:rPr>
          <w:rFonts w:ascii="Arial" w:cs="Arial" w:eastAsia="Arial" w:hAnsi="Arial"/>
          <w:sz w:val="18"/>
          <w:szCs w:val="18"/>
          <w:color w:val="auto"/>
        </w:rPr>
      </w:pPr>
    </w:p>
    <w:p>
      <w:pPr>
        <w:jc w:val="both"/>
        <w:ind w:left="1980" w:right="419" w:hanging="360"/>
        <w:spacing w:after="0" w:line="268" w:lineRule="auto"/>
        <w:tabs>
          <w:tab w:leader="none" w:pos="1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Audit Committee has discussed with the independent auditors the matters required to be discussed by the applicable requirements of the Public Company Accounting Oversight Board (“PCAOB”) and the SEC.</w:t>
      </w:r>
    </w:p>
    <w:p>
      <w:pPr>
        <w:spacing w:after="0" w:line="89" w:lineRule="exact"/>
        <w:rPr>
          <w:rFonts w:ascii="Arial" w:cs="Arial" w:eastAsia="Arial" w:hAnsi="Arial"/>
          <w:sz w:val="18"/>
          <w:szCs w:val="18"/>
          <w:color w:val="auto"/>
        </w:rPr>
      </w:pPr>
    </w:p>
    <w:p>
      <w:pPr>
        <w:jc w:val="both"/>
        <w:ind w:left="1980" w:right="419" w:hanging="360"/>
        <w:spacing w:after="0" w:line="262" w:lineRule="auto"/>
        <w:tabs>
          <w:tab w:leader="none" w:pos="1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Audit Committee discussed with the independent auditors the auditors’ independence and received the written disclosures and the letter from the independent auditors as required by applicable requirements of the PCAOB regarding the independent auditors’ communications with the Audit Committee regarding independence.</w:t>
      </w:r>
    </w:p>
    <w:p>
      <w:pPr>
        <w:spacing w:after="0" w:line="109" w:lineRule="exact"/>
        <w:rPr>
          <w:sz w:val="20"/>
          <w:szCs w:val="20"/>
          <w:color w:val="auto"/>
        </w:rPr>
      </w:pPr>
    </w:p>
    <w:p>
      <w:pPr>
        <w:jc w:val="both"/>
        <w:ind w:left="1260" w:right="419"/>
        <w:spacing w:after="0" w:line="259" w:lineRule="auto"/>
        <w:rPr>
          <w:sz w:val="20"/>
          <w:szCs w:val="20"/>
          <w:color w:val="auto"/>
        </w:rPr>
      </w:pPr>
      <w:r>
        <w:rPr>
          <w:rFonts w:ascii="Arial" w:cs="Arial" w:eastAsia="Arial" w:hAnsi="Arial"/>
          <w:sz w:val="18"/>
          <w:szCs w:val="18"/>
          <w:color w:val="auto"/>
        </w:rPr>
        <w:t>Based on the review and discussions referred to above, the Audit Committee recommended to the Board of Directors that the audited consolidated financial statements be included in the 2025 Annual Report on Form 10-K. The Audit Committee also has appointed, and requested stockholder ratification of the appointment of, Grant Thornton LLP, as the Company’s independent registered public accounting firm for the fiscal year ending December 31, 2026.</w:t>
      </w:r>
    </w:p>
    <w:p>
      <w:pPr>
        <w:spacing w:after="0" w:line="112" w:lineRule="exact"/>
        <w:rPr>
          <w:sz w:val="20"/>
          <w:szCs w:val="20"/>
          <w:color w:val="auto"/>
        </w:rPr>
      </w:pPr>
    </w:p>
    <w:p>
      <w:pPr>
        <w:jc w:val="both"/>
        <w:ind w:left="1260" w:right="419"/>
        <w:spacing w:after="0" w:line="287" w:lineRule="auto"/>
        <w:rPr>
          <w:sz w:val="20"/>
          <w:szCs w:val="20"/>
          <w:color w:val="auto"/>
        </w:rPr>
      </w:pPr>
      <w:r>
        <w:rPr>
          <w:rFonts w:ascii="Arial" w:cs="Arial" w:eastAsia="Arial" w:hAnsi="Arial"/>
          <w:sz w:val="18"/>
          <w:szCs w:val="18"/>
          <w:color w:val="auto"/>
        </w:rPr>
        <w:t>Submitted by the Audit Committee: George R. Brokaw, Chairman, R. Blakeslee Gable and Christopher W. Haga.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2" w:name="page63"/>
    <w:bookmarkEnd w:id="6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PROPOSAL 2: RATIFICATION OF APPOINTMENT OF INDEPENDENT REGISTERED PUBLIC</w:t>
      </w:r>
    </w:p>
    <w:p>
      <w:pPr>
        <w:spacing w:after="0" w:line="27"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ACCOUNTING FIRM</w:t>
      </w:r>
    </w:p>
    <w:p>
      <w:pPr>
        <w:spacing w:after="0" w:line="194" w:lineRule="exact"/>
        <w:rPr>
          <w:sz w:val="20"/>
          <w:szCs w:val="20"/>
          <w:color w:val="auto"/>
        </w:rPr>
      </w:pPr>
    </w:p>
    <w:p>
      <w:pPr>
        <w:ind w:left="1260" w:right="839"/>
        <w:spacing w:after="0" w:line="311" w:lineRule="auto"/>
        <w:rPr>
          <w:sz w:val="20"/>
          <w:szCs w:val="20"/>
          <w:color w:val="auto"/>
        </w:rPr>
      </w:pPr>
      <w:r>
        <w:rPr>
          <w:rFonts w:ascii="Arial" w:cs="Arial" w:eastAsia="Arial" w:hAnsi="Arial"/>
          <w:sz w:val="17"/>
          <w:szCs w:val="17"/>
          <w:b w:val="1"/>
          <w:bCs w:val="1"/>
          <w:color w:val="auto"/>
        </w:rPr>
        <w:t>OUR BOARD RECOMMENDS THAT YOU VOTE “FOR” THIS PROPOSAL. IF NOT OTHERWISE SPECIFIED, PROXIES WILL BE VOTED “FOR” APPROVAL OF THIS PROPOSAL.</w:t>
      </w:r>
    </w:p>
    <w:p>
      <w:pPr>
        <w:spacing w:after="0" w:line="12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Ratification of Independent Registered Public Accounting Firm</w:t>
      </w:r>
    </w:p>
    <w:p>
      <w:pPr>
        <w:spacing w:after="0" w:line="144" w:lineRule="exact"/>
        <w:rPr>
          <w:sz w:val="20"/>
          <w:szCs w:val="20"/>
          <w:color w:val="auto"/>
        </w:rPr>
      </w:pPr>
    </w:p>
    <w:p>
      <w:pPr>
        <w:jc w:val="both"/>
        <w:ind w:left="1260" w:right="419"/>
        <w:spacing w:after="0" w:line="252" w:lineRule="auto"/>
        <w:rPr>
          <w:sz w:val="20"/>
          <w:szCs w:val="20"/>
          <w:color w:val="auto"/>
        </w:rPr>
      </w:pPr>
      <w:r>
        <w:rPr>
          <w:rFonts w:ascii="Arial" w:cs="Arial" w:eastAsia="Arial" w:hAnsi="Arial"/>
          <w:sz w:val="18"/>
          <w:szCs w:val="18"/>
          <w:color w:val="auto"/>
        </w:rPr>
        <w:t>The Audit Committee has selected Grant Thornton LLP (“Grant Thornton”) to serve as the independent registered public accounting firm of the Company for the fiscal year ending December 31, 2026. Grant Thornton was appointed as the Company’s independent registered public accounting firm on March 2, 2012.</w:t>
      </w:r>
    </w:p>
    <w:p>
      <w:pPr>
        <w:spacing w:after="0" w:line="103" w:lineRule="exact"/>
        <w:rPr>
          <w:sz w:val="20"/>
          <w:szCs w:val="20"/>
          <w:color w:val="auto"/>
        </w:rPr>
      </w:pPr>
    </w:p>
    <w:p>
      <w:pPr>
        <w:jc w:val="both"/>
        <w:ind w:left="1260" w:right="419"/>
        <w:spacing w:after="0" w:line="261" w:lineRule="auto"/>
        <w:rPr>
          <w:sz w:val="20"/>
          <w:szCs w:val="20"/>
          <w:color w:val="auto"/>
        </w:rPr>
      </w:pPr>
      <w:r>
        <w:rPr>
          <w:rFonts w:ascii="Arial" w:cs="Arial" w:eastAsia="Arial" w:hAnsi="Arial"/>
          <w:sz w:val="18"/>
          <w:szCs w:val="18"/>
          <w:color w:val="auto"/>
        </w:rPr>
        <w:t>Representatives of Grant Thornton are required to be present at the Annual Meeting, will have the opportunity to make a statement if they desire to do so, and are expected to be available to respond to appropriate questions.</w:t>
      </w:r>
    </w:p>
    <w:p>
      <w:pPr>
        <w:spacing w:after="0" w:line="94" w:lineRule="exact"/>
        <w:rPr>
          <w:sz w:val="20"/>
          <w:szCs w:val="20"/>
          <w:color w:val="auto"/>
        </w:rPr>
      </w:pPr>
    </w:p>
    <w:p>
      <w:pPr>
        <w:jc w:val="both"/>
        <w:ind w:left="1260" w:right="419"/>
        <w:spacing w:after="0" w:line="242" w:lineRule="auto"/>
        <w:rPr>
          <w:sz w:val="20"/>
          <w:szCs w:val="20"/>
          <w:color w:val="auto"/>
        </w:rPr>
      </w:pPr>
      <w:r>
        <w:rPr>
          <w:rFonts w:ascii="Arial" w:cs="Arial" w:eastAsia="Arial" w:hAnsi="Arial"/>
          <w:sz w:val="18"/>
          <w:szCs w:val="18"/>
          <w:color w:val="auto"/>
        </w:rPr>
        <w:t>Although ratification by our stockholders is not a prerequisite to the power of the Audit Committee to appoint Grant Thornton as our independent registered public accounting firm, our Board and the Audit Committee believe such ratification to be advisable and in the best interest of the company. Accordingly, stockholders are being requested to ratify, confirm, and approve the appointment of Grant Thornton as our independent registered public accounting firm to conduct the annual audit of our consolidated financial statements and internal control over financial reporting for the year ending December 31, 2026. If the stockholders do not ratify the appointment of Grant Thornton, the appointment of an independent registered public accounting firm will be reconsidered by the Audit Committee; however, the Audit Committee has no obligation to change its appointment based on stockholder ratification. If the appointment of Grant Thornton is ratified, the Audit Committee will continue to conduct an ongoing review of Grant Thornton’s scope of engagement, pricing and work quality, among other factors, and will retain the right to replace Grant Thornton at any time. This proposal will be approved if the number of votes cast “for” the proposal exceed the number of votes cast “against” the proposal. Abstentions are not considered votes vast for the foregoing purpose, and will have no effect on the outcome of this proposal. Shares represented by validly-executed proxies on proxy cards will be voted, if specific instructions are not otherwise given, for the ratification of Grant Thornton as our independent registered public accounting firm.</w:t>
      </w:r>
    </w:p>
    <w:p>
      <w:pPr>
        <w:spacing w:after="0" w:line="178" w:lineRule="exact"/>
        <w:rPr>
          <w:sz w:val="20"/>
          <w:szCs w:val="20"/>
          <w:color w:val="auto"/>
        </w:rPr>
      </w:pPr>
    </w:p>
    <w:p>
      <w:pPr>
        <w:ind w:left="1260" w:right="819"/>
        <w:spacing w:after="0" w:line="296" w:lineRule="auto"/>
        <w:rPr>
          <w:sz w:val="20"/>
          <w:szCs w:val="20"/>
          <w:color w:val="auto"/>
        </w:rPr>
      </w:pPr>
      <w:r>
        <w:rPr>
          <w:rFonts w:ascii="Arial" w:cs="Arial" w:eastAsia="Arial" w:hAnsi="Arial"/>
          <w:sz w:val="18"/>
          <w:szCs w:val="18"/>
          <w:b w:val="1"/>
          <w:bCs w:val="1"/>
          <w:color w:val="auto"/>
        </w:rPr>
        <w:t>Our Board recommends a vote “FOR” the ratification of Grant Thornton as our independent registered public accounting firm.</w:t>
      </w:r>
    </w:p>
    <w:p>
      <w:pPr>
        <w:spacing w:after="0" w:line="12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Auditor Fees</w:t>
      </w:r>
    </w:p>
    <w:p>
      <w:pPr>
        <w:spacing w:after="0" w:line="158" w:lineRule="exact"/>
        <w:rPr>
          <w:sz w:val="20"/>
          <w:szCs w:val="20"/>
          <w:color w:val="auto"/>
        </w:rPr>
      </w:pPr>
    </w:p>
    <w:p>
      <w:pPr>
        <w:jc w:val="both"/>
        <w:ind w:left="1260" w:right="419"/>
        <w:spacing w:after="0" w:line="253" w:lineRule="auto"/>
        <w:rPr>
          <w:sz w:val="20"/>
          <w:szCs w:val="20"/>
          <w:color w:val="auto"/>
        </w:rPr>
      </w:pPr>
      <w:r>
        <w:rPr>
          <w:rFonts w:ascii="Arial" w:cs="Arial" w:eastAsia="Arial" w:hAnsi="Arial"/>
          <w:sz w:val="18"/>
          <w:szCs w:val="18"/>
          <w:color w:val="auto"/>
        </w:rPr>
        <w:t>The following table represents aggregate fees paid to Grant Thornton pertaining to fiscal years 2025 and 2024, by category as described in the notes to the table. All fees were pre-approved by the Audit Committee.</w:t>
      </w:r>
    </w:p>
    <w:p>
      <w:pPr>
        <w:spacing w:after="0" w:line="138" w:lineRule="exact"/>
        <w:rPr>
          <w:sz w:val="20"/>
          <w:szCs w:val="20"/>
          <w:color w:val="auto"/>
        </w:rPr>
      </w:pPr>
    </w:p>
    <w:tbl>
      <w:tblPr>
        <w:tblLayout w:type="fixed"/>
        <w:tblInd w:w="1260" w:type="dxa"/>
        <w:tblCellMar>
          <w:top w:w="0" w:type="dxa"/>
          <w:left w:w="0" w:type="dxa"/>
          <w:bottom w:w="0" w:type="dxa"/>
          <w:right w:w="0" w:type="dxa"/>
        </w:tblCellMar>
      </w:tblPr>
      <w:tr>
        <w:trPr>
          <w:trHeight w:val="198"/>
        </w:trPr>
        <w:tc>
          <w:tcPr>
            <w:tcW w:w="3820" w:type="dxa"/>
            <w:vAlign w:val="bottom"/>
            <w:gridSpan w:val="3"/>
          </w:tcPr>
          <w:p>
            <w:pPr>
              <w:ind w:left="360"/>
              <w:spacing w:after="0"/>
              <w:rPr>
                <w:sz w:val="20"/>
                <w:szCs w:val="20"/>
                <w:color w:val="auto"/>
              </w:rPr>
            </w:pPr>
            <w:r>
              <w:rPr>
                <w:rFonts w:ascii="Arial" w:cs="Arial" w:eastAsia="Arial" w:hAnsi="Arial"/>
                <w:sz w:val="14"/>
                <w:szCs w:val="14"/>
                <w:b w:val="1"/>
                <w:bCs w:val="1"/>
                <w:color w:val="auto"/>
              </w:rPr>
              <w:t>​</w:t>
            </w:r>
          </w:p>
        </w:tc>
        <w:tc>
          <w:tcPr>
            <w:tcW w:w="2180" w:type="dxa"/>
            <w:vAlign w:val="bottom"/>
            <w:gridSpan w:val="2"/>
          </w:tcPr>
          <w:p>
            <w:pPr>
              <w:ind w:left="1800"/>
              <w:spacing w:after="0"/>
              <w:rPr>
                <w:sz w:val="20"/>
                <w:szCs w:val="20"/>
                <w:color w:val="auto"/>
              </w:rPr>
            </w:pPr>
            <w:r>
              <w:rPr>
                <w:rFonts w:ascii="Arial" w:cs="Arial" w:eastAsia="Arial" w:hAnsi="Arial"/>
                <w:sz w:val="14"/>
                <w:szCs w:val="14"/>
                <w:b w:val="1"/>
                <w:bCs w:val="1"/>
                <w:color w:val="auto"/>
              </w:rPr>
              <w:t>​ ​</w:t>
            </w: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2025</w:t>
            </w:r>
          </w:p>
        </w:tc>
        <w:tc>
          <w:tcPr>
            <w:tcW w:w="2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gridSpan w:val="2"/>
          </w:tcPr>
          <w:p>
            <w:pPr>
              <w:ind w:left="2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2024</w:t>
            </w:r>
          </w:p>
        </w:tc>
        <w:tc>
          <w:tcPr>
            <w:tcW w:w="28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460" w:type="dxa"/>
            <w:vAlign w:val="bottom"/>
            <w:gridSpan w:val="2"/>
            <w:vMerge w:val="restart"/>
            <w:shd w:val="clear" w:color="auto" w:fill="CCEEFF"/>
          </w:tcPr>
          <w:p>
            <w:pPr>
              <w:spacing w:after="0" w:line="256" w:lineRule="exact"/>
              <w:rPr>
                <w:sz w:val="20"/>
                <w:szCs w:val="20"/>
                <w:color w:val="auto"/>
              </w:rPr>
            </w:pPr>
            <w:r>
              <w:rPr>
                <w:rFonts w:ascii="Arial" w:cs="Arial" w:eastAsia="Arial" w:hAnsi="Arial"/>
                <w:sz w:val="18"/>
                <w:szCs w:val="18"/>
                <w:color w:val="auto"/>
              </w:rPr>
              <w:t>Audit Fees</w:t>
            </w:r>
            <w:r>
              <w:rPr>
                <w:rFonts w:ascii="Arial" w:cs="Arial" w:eastAsia="Arial" w:hAnsi="Arial"/>
                <w:sz w:val="23"/>
                <w:szCs w:val="23"/>
                <w:color w:val="auto"/>
                <w:vertAlign w:val="superscript"/>
              </w:rPr>
              <w:t>(1)</w:t>
            </w:r>
          </w:p>
        </w:tc>
        <w:tc>
          <w:tcPr>
            <w:tcW w:w="1980" w:type="dxa"/>
            <w:vAlign w:val="bottom"/>
            <w:shd w:val="clear" w:color="auto" w:fill="CCEEFF"/>
          </w:tcPr>
          <w:p>
            <w:pPr>
              <w:spacing w:after="0" w:line="20" w:lineRule="exact"/>
              <w:rPr>
                <w:sz w:val="1"/>
                <w:szCs w:val="1"/>
                <w:color w:val="auto"/>
              </w:rPr>
            </w:pPr>
          </w:p>
        </w:tc>
        <w:tc>
          <w:tcPr>
            <w:tcW w:w="900" w:type="dxa"/>
            <w:vAlign w:val="bottom"/>
            <w:gridSpan w:val="3"/>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60" w:type="dxa"/>
            <w:vAlign w:val="bottom"/>
          </w:tcPr>
          <w:p>
            <w:pPr>
              <w:spacing w:after="0"/>
              <w:rPr>
                <w:sz w:val="20"/>
                <w:szCs w:val="20"/>
                <w:color w:val="auto"/>
              </w:rPr>
            </w:pPr>
          </w:p>
        </w:tc>
        <w:tc>
          <w:tcPr>
            <w:tcW w:w="3460" w:type="dxa"/>
            <w:vAlign w:val="bottom"/>
            <w:gridSpan w:val="2"/>
            <w:vMerge w:val="continue"/>
            <w:shd w:val="clear" w:color="auto" w:fill="CCEEFF"/>
          </w:tcPr>
          <w:p>
            <w:pPr>
              <w:spacing w:after="0"/>
              <w:rPr>
                <w:sz w:val="20"/>
                <w:szCs w:val="20"/>
                <w:color w:val="auto"/>
              </w:rPr>
            </w:pPr>
          </w:p>
        </w:tc>
        <w:tc>
          <w:tcPr>
            <w:tcW w:w="3020" w:type="dxa"/>
            <w:vAlign w:val="bottom"/>
            <w:gridSpan w:val="5"/>
            <w:shd w:val="clear" w:color="auto" w:fill="CCEEFF"/>
          </w:tcPr>
          <w:p>
            <w:pPr>
              <w:ind w:left="1800"/>
              <w:spacing w:after="0"/>
              <w:rPr>
                <w:sz w:val="20"/>
                <w:szCs w:val="20"/>
                <w:color w:val="auto"/>
              </w:rPr>
            </w:pPr>
            <w:r>
              <w:rPr>
                <w:rFonts w:ascii="Arial" w:cs="Arial" w:eastAsia="Arial" w:hAnsi="Arial"/>
                <w:sz w:val="18"/>
                <w:szCs w:val="18"/>
                <w:color w:val="auto"/>
              </w:rPr>
              <w:t>​ ​​$   619,182​​</w:t>
            </w: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8"/>
              </w:rPr>
              <w:t>610,488​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3460" w:type="dxa"/>
            <w:vAlign w:val="bottom"/>
            <w:gridSpan w:val="2"/>
          </w:tcPr>
          <w:p>
            <w:pPr>
              <w:spacing w:after="0" w:line="243" w:lineRule="exact"/>
              <w:rPr>
                <w:sz w:val="20"/>
                <w:szCs w:val="20"/>
                <w:color w:val="auto"/>
              </w:rPr>
            </w:pPr>
            <w:r>
              <w:rPr>
                <w:rFonts w:ascii="Arial" w:cs="Arial" w:eastAsia="Arial" w:hAnsi="Arial"/>
                <w:sz w:val="18"/>
                <w:szCs w:val="18"/>
                <w:color w:val="auto"/>
              </w:rPr>
              <w:t>Audit-Related Fees</w:t>
            </w:r>
            <w:r>
              <w:rPr>
                <w:rFonts w:ascii="Arial" w:cs="Arial" w:eastAsia="Arial" w:hAnsi="Arial"/>
                <w:sz w:val="23"/>
                <w:szCs w:val="23"/>
                <w:color w:val="auto"/>
                <w:vertAlign w:val="superscript"/>
              </w:rPr>
              <w:t>(2)</w:t>
            </w:r>
          </w:p>
        </w:tc>
        <w:tc>
          <w:tcPr>
            <w:tcW w:w="2180" w:type="dxa"/>
            <w:vAlign w:val="bottom"/>
            <w:gridSpan w:val="2"/>
          </w:tcPr>
          <w:p>
            <w:pPr>
              <w:ind w:left="1800"/>
              <w:spacing w:after="0"/>
              <w:rPr>
                <w:sz w:val="20"/>
                <w:szCs w:val="20"/>
                <w:color w:val="auto"/>
              </w:rPr>
            </w:pPr>
            <w:r>
              <w:rPr>
                <w:rFonts w:ascii="Arial" w:cs="Arial" w:eastAsia="Arial" w:hAnsi="Arial"/>
                <w:sz w:val="18"/>
                <w:szCs w:val="18"/>
                <w:color w:val="auto"/>
              </w:rPr>
              <w:t>​ ​​ ​</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94,500​​</w:t>
            </w:r>
          </w:p>
        </w:tc>
        <w:tc>
          <w:tcPr>
            <w:tcW w:w="2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323,400​</w:t>
            </w: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3460" w:type="dxa"/>
            <w:vAlign w:val="bottom"/>
            <w:gridSpan w:val="2"/>
            <w:shd w:val="clear" w:color="auto" w:fill="CCEEFF"/>
          </w:tcPr>
          <w:p>
            <w:pPr>
              <w:spacing w:after="0" w:line="243" w:lineRule="exact"/>
              <w:rPr>
                <w:sz w:val="20"/>
                <w:szCs w:val="20"/>
                <w:color w:val="auto"/>
              </w:rPr>
            </w:pPr>
            <w:r>
              <w:rPr>
                <w:rFonts w:ascii="Arial" w:cs="Arial" w:eastAsia="Arial" w:hAnsi="Arial"/>
                <w:sz w:val="18"/>
                <w:szCs w:val="18"/>
                <w:color w:val="auto"/>
              </w:rPr>
              <w:t>Tax Fees</w:t>
            </w:r>
            <w:r>
              <w:rPr>
                <w:rFonts w:ascii="Arial" w:cs="Arial" w:eastAsia="Arial" w:hAnsi="Arial"/>
                <w:sz w:val="23"/>
                <w:szCs w:val="23"/>
                <w:color w:val="auto"/>
                <w:vertAlign w:val="superscript"/>
              </w:rPr>
              <w:t>(3)</w:t>
            </w:r>
          </w:p>
        </w:tc>
        <w:tc>
          <w:tcPr>
            <w:tcW w:w="2180" w:type="dxa"/>
            <w:vAlign w:val="bottom"/>
            <w:gridSpan w:val="2"/>
            <w:shd w:val="clear" w:color="auto" w:fill="CCEEFF"/>
          </w:tcPr>
          <w:p>
            <w:pPr>
              <w:ind w:left="1800"/>
              <w:spacing w:after="0"/>
              <w:rPr>
                <w:sz w:val="20"/>
                <w:szCs w:val="20"/>
                <w:color w:val="auto"/>
              </w:rPr>
            </w:pPr>
            <w:r>
              <w:rPr>
                <w:rFonts w:ascii="Arial" w:cs="Arial" w:eastAsia="Arial" w:hAnsi="Arial"/>
                <w:sz w:val="18"/>
                <w:szCs w:val="18"/>
                <w:color w:val="auto"/>
              </w:rPr>
              <w:t>​ ​​ ​</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172,369​​</w:t>
            </w: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8"/>
              </w:rPr>
              <w:t>178,421​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20" w:type="dxa"/>
            <w:vAlign w:val="bottom"/>
            <w:gridSpan w:val="3"/>
          </w:tcPr>
          <w:p>
            <w:pPr>
              <w:ind w:left="360"/>
              <w:spacing w:after="0"/>
              <w:rPr>
                <w:sz w:val="20"/>
                <w:szCs w:val="20"/>
                <w:color w:val="auto"/>
              </w:rPr>
            </w:pPr>
            <w:r>
              <w:rPr>
                <w:rFonts w:ascii="Arial" w:cs="Arial" w:eastAsia="Arial" w:hAnsi="Arial"/>
                <w:sz w:val="18"/>
                <w:szCs w:val="18"/>
                <w:color w:val="auto"/>
              </w:rPr>
              <w:t>All Other Fees</w:t>
            </w:r>
          </w:p>
        </w:tc>
        <w:tc>
          <w:tcPr>
            <w:tcW w:w="2180" w:type="dxa"/>
            <w:vAlign w:val="bottom"/>
            <w:gridSpan w:val="2"/>
          </w:tcPr>
          <w:p>
            <w:pPr>
              <w:ind w:left="1800"/>
              <w:spacing w:after="0"/>
              <w:rPr>
                <w:sz w:val="20"/>
                <w:szCs w:val="20"/>
                <w:color w:val="auto"/>
              </w:rPr>
            </w:pPr>
            <w:r>
              <w:rPr>
                <w:rFonts w:ascii="Arial" w:cs="Arial" w:eastAsia="Arial" w:hAnsi="Arial"/>
                <w:sz w:val="18"/>
                <w:szCs w:val="18"/>
                <w:color w:val="auto"/>
              </w:rPr>
              <w:t>​ ​​ ​</w:t>
            </w:r>
          </w:p>
        </w:tc>
        <w:tc>
          <w:tcPr>
            <w:tcW w:w="460" w:type="dxa"/>
            <w:vAlign w:val="bottom"/>
          </w:tcPr>
          <w:p>
            <w:pPr>
              <w:spacing w:after="0"/>
              <w:rPr>
                <w:sz w:val="21"/>
                <w:szCs w:val="21"/>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1880" w:type="dxa"/>
            <w:vAlign w:val="bottom"/>
            <w:shd w:val="clear" w:color="auto" w:fill="CCEEFF"/>
          </w:tcPr>
          <w:p>
            <w:pPr>
              <w:spacing w:after="0" w:line="20" w:lineRule="exact"/>
              <w:rPr>
                <w:sz w:val="1"/>
                <w:szCs w:val="1"/>
                <w:color w:val="auto"/>
              </w:rPr>
            </w:pPr>
          </w:p>
        </w:tc>
        <w:tc>
          <w:tcPr>
            <w:tcW w:w="19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360" w:type="dxa"/>
            <w:vAlign w:val="bottom"/>
          </w:tcPr>
          <w:p>
            <w:pPr>
              <w:spacing w:after="0"/>
              <w:rPr>
                <w:sz w:val="22"/>
                <w:szCs w:val="22"/>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180" w:type="dxa"/>
            <w:vAlign w:val="bottom"/>
            <w:gridSpan w:val="2"/>
            <w:shd w:val="clear" w:color="auto" w:fill="CCEEFF"/>
          </w:tcPr>
          <w:p>
            <w:pPr>
              <w:ind w:left="1800"/>
              <w:spacing w:after="0" w:line="223" w:lineRule="exact"/>
              <w:rPr>
                <w:sz w:val="20"/>
                <w:szCs w:val="20"/>
                <w:color w:val="auto"/>
              </w:rPr>
            </w:pPr>
            <w:r>
              <w:rPr>
                <w:rFonts w:ascii="Arial" w:cs="Arial" w:eastAsia="Arial" w:hAnsi="Arial"/>
                <w:sz w:val="14"/>
                <w:szCs w:val="14"/>
                <w:color w:val="auto"/>
              </w:rPr>
              <w:t xml:space="preserve">​ ​​ </w:t>
            </w:r>
            <w:r>
              <w:rPr>
                <w:rFonts w:ascii="Arial" w:cs="Arial" w:eastAsia="Arial" w:hAnsi="Arial"/>
                <w:sz w:val="25"/>
                <w:szCs w:val="25"/>
                <w:color w:val="auto"/>
                <w:vertAlign w:val="superscript"/>
              </w:rPr>
              <w:t>​</w:t>
            </w:r>
          </w:p>
        </w:tc>
        <w:tc>
          <w:tcPr>
            <w:tcW w:w="840" w:type="dxa"/>
            <w:vAlign w:val="bottom"/>
            <w:gridSpan w:val="3"/>
            <w:shd w:val="clear" w:color="auto" w:fill="CCEEFF"/>
          </w:tcPr>
          <w:p>
            <w:pPr>
              <w:jc w:val="right"/>
              <w:spacing w:after="0" w:line="223" w:lineRule="exact"/>
              <w:rPr>
                <w:sz w:val="20"/>
                <w:szCs w:val="20"/>
                <w:color w:val="auto"/>
              </w:rPr>
            </w:pPr>
            <w:r>
              <w:rPr>
                <w:rFonts w:ascii="Arial" w:cs="Arial" w:eastAsia="Arial" w:hAnsi="Arial"/>
                <w:sz w:val="14"/>
                <w:szCs w:val="14"/>
                <w:color w:val="auto"/>
              </w:rPr>
              <w:t>886,051</w:t>
            </w:r>
            <w:r>
              <w:rPr>
                <w:rFonts w:ascii="Arial" w:cs="Arial" w:eastAsia="Arial" w:hAnsi="Arial"/>
                <w:sz w:val="25"/>
                <w:szCs w:val="25"/>
                <w:color w:val="auto"/>
                <w:vertAlign w:val="subscript"/>
              </w:rPr>
              <w:t>​​</w:t>
            </w: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7"/>
              </w:rPr>
              <w:t>​1,112,309</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
        </w:trPr>
        <w:tc>
          <w:tcPr>
            <w:tcW w:w="36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1880" w:type="dxa"/>
            <w:vAlign w:val="bottom"/>
          </w:tcPr>
          <w:p>
            <w:pPr>
              <w:spacing w:after="0"/>
              <w:rPr>
                <w:sz w:val="5"/>
                <w:szCs w:val="5"/>
                <w:color w:val="auto"/>
              </w:rPr>
            </w:pPr>
          </w:p>
        </w:tc>
        <w:tc>
          <w:tcPr>
            <w:tcW w:w="19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-264795</wp:posOffset>
            </wp:positionV>
            <wp:extent cx="417449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174490"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-890905</wp:posOffset>
            </wp:positionV>
            <wp:extent cx="416623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119" w:lineRule="exact"/>
        <w:rPr>
          <w:sz w:val="20"/>
          <w:szCs w:val="20"/>
          <w:color w:val="auto"/>
        </w:rPr>
      </w:pPr>
    </w:p>
    <w:p>
      <w:pPr>
        <w:jc w:val="both"/>
        <w:ind w:left="1620" w:right="419" w:hanging="360"/>
        <w:spacing w:after="0" w:line="293" w:lineRule="auto"/>
        <w:tabs>
          <w:tab w:leader="none" w:pos="1620" w:val="left"/>
        </w:tabs>
        <w:numPr>
          <w:ilvl w:val="0"/>
          <w:numId w:val="58"/>
        </w:numPr>
        <w:rPr>
          <w:rFonts w:ascii="Arial" w:cs="Arial" w:eastAsia="Arial" w:hAnsi="Arial"/>
          <w:sz w:val="14"/>
          <w:szCs w:val="14"/>
          <w:color w:val="auto"/>
        </w:rPr>
      </w:pPr>
      <w:r>
        <w:rPr>
          <w:rFonts w:ascii="Arial" w:cs="Arial" w:eastAsia="Arial" w:hAnsi="Arial"/>
          <w:sz w:val="14"/>
          <w:szCs w:val="14"/>
          <w:color w:val="auto"/>
        </w:rPr>
        <w:t>Aggregate fees incurred for professional services rendered by Grant Thornton for the audit of our annual consolidated financial statements, review of interim consolidated financial statements included in our Quarterly Reports on Form 10-Q and other services normally provided in connection with our statutory and regulatory filings or engagements by year.</w:t>
      </w:r>
    </w:p>
    <w:p>
      <w:pPr>
        <w:spacing w:after="0" w:line="17" w:lineRule="exact"/>
        <w:rPr>
          <w:rFonts w:ascii="Arial" w:cs="Arial" w:eastAsia="Arial" w:hAnsi="Arial"/>
          <w:sz w:val="14"/>
          <w:szCs w:val="14"/>
          <w:color w:val="auto"/>
        </w:rPr>
      </w:pPr>
    </w:p>
    <w:p>
      <w:pPr>
        <w:ind w:left="1620" w:hanging="360"/>
        <w:spacing w:after="0"/>
        <w:tabs>
          <w:tab w:leader="none" w:pos="1620"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The audit-related fees incurred in 2025 and 2024 included fees related to property acquisitions and equity offerings.</w:t>
      </w:r>
    </w:p>
    <w:p>
      <w:pPr>
        <w:spacing w:after="0" w:line="82" w:lineRule="exact"/>
        <w:rPr>
          <w:rFonts w:ascii="Arial" w:cs="Arial" w:eastAsia="Arial" w:hAnsi="Arial"/>
          <w:sz w:val="14"/>
          <w:szCs w:val="14"/>
          <w:color w:val="auto"/>
        </w:rPr>
      </w:pPr>
    </w:p>
    <w:p>
      <w:pPr>
        <w:jc w:val="both"/>
        <w:ind w:left="1620" w:right="419" w:hanging="360"/>
        <w:spacing w:after="0" w:line="293" w:lineRule="auto"/>
        <w:tabs>
          <w:tab w:leader="none" w:pos="1620" w:val="left"/>
        </w:tabs>
        <w:numPr>
          <w:ilvl w:val="0"/>
          <w:numId w:val="58"/>
        </w:numPr>
        <w:rPr>
          <w:rFonts w:ascii="Arial" w:cs="Arial" w:eastAsia="Arial" w:hAnsi="Arial"/>
          <w:sz w:val="14"/>
          <w:szCs w:val="14"/>
          <w:color w:val="auto"/>
        </w:rPr>
      </w:pPr>
      <w:r>
        <w:rPr>
          <w:rFonts w:ascii="Arial" w:cs="Arial" w:eastAsia="Arial" w:hAnsi="Arial"/>
          <w:sz w:val="14"/>
          <w:szCs w:val="14"/>
          <w:color w:val="auto"/>
        </w:rPr>
        <w:t>Aggregate fees incurred for professional services rendered by Grant Thornton for tax compliance, tax advice, and tax planning, including preparation of tax forms, including federal and state income tax returns, and income tax consulting services.</w:t>
      </w:r>
    </w:p>
    <w:p>
      <w:pPr>
        <w:sectPr>
          <w:pgSz w:w="11900" w:h="16838" w:orient="portrait"/>
          <w:cols w:equalWidth="0" w:num="1">
            <w:col w:w="9879"/>
          </w:cols>
          <w:pgMar w:left="580" w:top="97" w:right="1440" w:bottom="1440" w:gutter="0" w:footer="0" w:header="0"/>
        </w:sectPr>
      </w:pPr>
    </w:p>
    <w:p>
      <w:pPr>
        <w:spacing w:after="0" w:line="34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3" w:name="page64"/>
    <w:bookmarkEnd w:id="6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Pre-approval Policy</w:t>
      </w:r>
    </w:p>
    <w:p>
      <w:pPr>
        <w:spacing w:after="0" w:line="158" w:lineRule="exact"/>
        <w:rPr>
          <w:sz w:val="20"/>
          <w:szCs w:val="20"/>
          <w:color w:val="auto"/>
        </w:rPr>
      </w:pPr>
    </w:p>
    <w:p>
      <w:pPr>
        <w:jc w:val="both"/>
        <w:ind w:left="1260" w:right="419"/>
        <w:spacing w:after="0" w:line="268" w:lineRule="auto"/>
        <w:rPr>
          <w:sz w:val="20"/>
          <w:szCs w:val="20"/>
          <w:color w:val="auto"/>
        </w:rPr>
      </w:pPr>
      <w:r>
        <w:rPr>
          <w:rFonts w:ascii="Arial" w:cs="Arial" w:eastAsia="Arial" w:hAnsi="Arial"/>
          <w:sz w:val="18"/>
          <w:szCs w:val="18"/>
          <w:color w:val="auto"/>
        </w:rPr>
        <w:t>The Audit Committee has adopted a Pre-Approval Policy (the “Pre-Approval Policy”) governing the pre-approval of all audit and non-audit services performed by the independent auditor in order to ensure that the performance of such services does not impair the auditor’s independence.</w:t>
      </w:r>
    </w:p>
    <w:p>
      <w:pPr>
        <w:spacing w:after="0" w:line="103" w:lineRule="exact"/>
        <w:rPr>
          <w:sz w:val="20"/>
          <w:szCs w:val="20"/>
          <w:color w:val="auto"/>
        </w:rPr>
      </w:pPr>
    </w:p>
    <w:p>
      <w:pPr>
        <w:jc w:val="both"/>
        <w:ind w:left="1260" w:right="419"/>
        <w:spacing w:after="0" w:line="254" w:lineRule="auto"/>
        <w:rPr>
          <w:sz w:val="20"/>
          <w:szCs w:val="20"/>
          <w:color w:val="auto"/>
        </w:rPr>
      </w:pPr>
      <w:r>
        <w:rPr>
          <w:rFonts w:ascii="Arial" w:cs="Arial" w:eastAsia="Arial" w:hAnsi="Arial"/>
          <w:sz w:val="18"/>
          <w:szCs w:val="18"/>
          <w:color w:val="auto"/>
        </w:rPr>
        <w:t>According to the Pre-Approval Policy, the Audit Committee will annually review and pre-approve the audit services that may be provided by the independent auditor and the fees to be paid for those services during the following year, and may from time-to-time review and pre-approve audit-related services, tax services and all other services to be provided by the independent auditor. The term of any pre-approval is twelve months from the date of pre-approval, unless the Audit Committee specifically provides for a different period. For pre-approval, the Audit Committee will consider whether the service is consistent with the SEC’s rules on auditor independence, as well as whether the independent auditor is in the best position to provide the service for reasons such as its familiarity with our business, people, culture, accounting system, risk profile and other factors. All such factors will be considered as a whole, with no single factor being determinative.</w:t>
      </w:r>
    </w:p>
    <w:p>
      <w:pPr>
        <w:spacing w:after="0" w:line="104" w:lineRule="exact"/>
        <w:rPr>
          <w:sz w:val="20"/>
          <w:szCs w:val="20"/>
          <w:color w:val="auto"/>
        </w:rPr>
      </w:pPr>
    </w:p>
    <w:p>
      <w:pPr>
        <w:jc w:val="both"/>
        <w:ind w:left="1260" w:right="419"/>
        <w:spacing w:after="0" w:line="259" w:lineRule="auto"/>
        <w:rPr>
          <w:sz w:val="20"/>
          <w:szCs w:val="20"/>
          <w:color w:val="auto"/>
        </w:rPr>
      </w:pPr>
      <w:r>
        <w:rPr>
          <w:rFonts w:ascii="Arial" w:cs="Arial" w:eastAsia="Arial" w:hAnsi="Arial"/>
          <w:sz w:val="18"/>
          <w:szCs w:val="18"/>
          <w:color w:val="auto"/>
        </w:rPr>
        <w:t>For the fiscal years ended December 31, 2025 and 2024, the Audit Committee pre-approved 100% of services described above in the captions Audit Related Fees, Tax Fees and All Other Fees. For the fiscal year ended December 31, 2025, less than 50% of the hours expended on Grant Thornton’s engagement to audit our financial statements were attributed to work performed by persons other than full-time, permanent employees of Grant Thornton.</w:t>
      </w:r>
    </w:p>
    <w:p>
      <w:pPr>
        <w:spacing w:after="0" w:line="112" w:lineRule="exact"/>
        <w:rPr>
          <w:sz w:val="20"/>
          <w:szCs w:val="20"/>
          <w:color w:val="auto"/>
        </w:rPr>
      </w:pPr>
    </w:p>
    <w:p>
      <w:pPr>
        <w:jc w:val="both"/>
        <w:ind w:left="1260" w:right="419"/>
        <w:spacing w:after="0" w:line="262" w:lineRule="auto"/>
        <w:rPr>
          <w:sz w:val="20"/>
          <w:szCs w:val="20"/>
          <w:color w:val="auto"/>
        </w:rPr>
      </w:pPr>
      <w:r>
        <w:rPr>
          <w:rFonts w:ascii="Arial" w:cs="Arial" w:eastAsia="Arial" w:hAnsi="Arial"/>
          <w:sz w:val="18"/>
          <w:szCs w:val="18"/>
          <w:color w:val="auto"/>
        </w:rPr>
        <w:t>The Audit Committee may delegate pre-approval authority to one or more of its members. The member or members to whom such authority is delegated will report any pre-approval decisions to the Audit Committee at its next scheduled meeting. The Audit Committee does not delegate its responsibilities to pre-approve services performed by the independent auditor to management.</w:t>
      </w:r>
    </w:p>
    <w:p>
      <w:pPr>
        <w:spacing w:after="0" w:line="109" w:lineRule="exact"/>
        <w:rPr>
          <w:sz w:val="20"/>
          <w:szCs w:val="20"/>
          <w:color w:val="auto"/>
        </w:rPr>
      </w:pPr>
    </w:p>
    <w:p>
      <w:pPr>
        <w:jc w:val="both"/>
        <w:ind w:left="1260" w:right="419"/>
        <w:spacing w:after="0" w:line="268" w:lineRule="auto"/>
        <w:rPr>
          <w:sz w:val="20"/>
          <w:szCs w:val="20"/>
          <w:color w:val="auto"/>
        </w:rPr>
      </w:pPr>
      <w:r>
        <w:rPr>
          <w:rFonts w:ascii="Arial" w:cs="Arial" w:eastAsia="Arial" w:hAnsi="Arial"/>
          <w:sz w:val="18"/>
          <w:szCs w:val="18"/>
          <w:color w:val="auto"/>
        </w:rPr>
        <w:t>Pre-approval fee levels or budgeted amounts for all services to be provided by the independent auditor will be established periodically by the Audit Committee. Any proposed services exceeding these levels will require separate pre-approval by the Audit Committee.</w:t>
      </w:r>
    </w:p>
    <w:p>
      <w:pPr>
        <w:spacing w:after="0" w:line="90" w:lineRule="exact"/>
        <w:rPr>
          <w:sz w:val="20"/>
          <w:szCs w:val="20"/>
          <w:color w:val="auto"/>
        </w:rPr>
      </w:pPr>
    </w:p>
    <w:p>
      <w:pPr>
        <w:jc w:val="both"/>
        <w:ind w:left="1260" w:right="419"/>
        <w:spacing w:after="0" w:line="271" w:lineRule="auto"/>
        <w:rPr>
          <w:sz w:val="20"/>
          <w:szCs w:val="20"/>
          <w:color w:val="auto"/>
        </w:rPr>
      </w:pPr>
      <w:r>
        <w:rPr>
          <w:rFonts w:ascii="Arial" w:cs="Arial" w:eastAsia="Arial" w:hAnsi="Arial"/>
          <w:sz w:val="17"/>
          <w:szCs w:val="17"/>
          <w:color w:val="auto"/>
        </w:rPr>
        <w:t>Requests or applications to provide services that require pre-approval by the Audit Committee will be submitted to the Audit Committee by both the independent auditor and the Company’s CFO and must include (1) a joint statement as to whether, in their view, the request or application is consistent with the SEC’s rules on auditor independence, and (2) with respect to each proposed pre-approved service, detailed back-up documentation regarding the specific service to be provided. Requests or applications for services to be provided by the independent auditor that do not require separate approval by the Audit Committee will be submitted to the Company’s CFO and will include a description of the services to be rendered. The Company’s CFO will determine whether such services are included within the list of services that have previously received the pre-approval of the Audit Committee. The Audit Committee will be informed on a timely basis of any such services rendered by the independent auditor.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4" w:name="page65"/>
    <w:bookmarkEnd w:id="6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PROPOSAL 3: ADVISORY VOTE TO APPROVE EXECUTIVE COMPENSATION</w:t>
      </w:r>
    </w:p>
    <w:p>
      <w:pPr>
        <w:spacing w:after="0" w:line="225" w:lineRule="exact"/>
        <w:rPr>
          <w:sz w:val="20"/>
          <w:szCs w:val="20"/>
          <w:color w:val="auto"/>
        </w:rPr>
      </w:pPr>
    </w:p>
    <w:p>
      <w:pPr>
        <w:ind w:left="1260" w:right="839"/>
        <w:spacing w:after="0" w:line="328" w:lineRule="auto"/>
        <w:rPr>
          <w:sz w:val="20"/>
          <w:szCs w:val="20"/>
          <w:color w:val="auto"/>
        </w:rPr>
      </w:pPr>
      <w:r>
        <w:rPr>
          <w:rFonts w:ascii="Arial" w:cs="Arial" w:eastAsia="Arial" w:hAnsi="Arial"/>
          <w:sz w:val="17"/>
          <w:szCs w:val="17"/>
          <w:b w:val="1"/>
          <w:bCs w:val="1"/>
          <w:color w:val="auto"/>
        </w:rPr>
        <w:t>OUR BOARD RECOMMENDS THAT YOU VOTE “FOR” THIS PROPOSAL. IF NOT OTHERWISE SPECIFIED, PROXIES WILL BE VOTED “FOR” APPROVAL OF THIS PROPOSAL.</w:t>
      </w:r>
    </w:p>
    <w:p>
      <w:pPr>
        <w:spacing w:after="0" w:line="46" w:lineRule="exact"/>
        <w:rPr>
          <w:sz w:val="20"/>
          <w:szCs w:val="20"/>
          <w:color w:val="auto"/>
        </w:rPr>
      </w:pPr>
    </w:p>
    <w:p>
      <w:pPr>
        <w:jc w:val="both"/>
        <w:ind w:left="1260" w:right="419"/>
        <w:spacing w:after="0" w:line="268" w:lineRule="auto"/>
        <w:rPr>
          <w:sz w:val="20"/>
          <w:szCs w:val="20"/>
          <w:color w:val="auto"/>
        </w:rPr>
      </w:pPr>
      <w:r>
        <w:rPr>
          <w:rFonts w:ascii="Arial" w:cs="Arial" w:eastAsia="Arial" w:hAnsi="Arial"/>
          <w:sz w:val="18"/>
          <w:szCs w:val="18"/>
          <w:color w:val="auto"/>
        </w:rPr>
        <w:t>Pursuant to Section 14A of the Exchange Act, we are providing our stockholders with an opportunity to vote, on a non-binding advisory basis, to approve the compensation of our NEOs as disclosed in this proxy statement.</w:t>
      </w:r>
    </w:p>
    <w:p>
      <w:pPr>
        <w:spacing w:after="0" w:line="103" w:lineRule="exact"/>
        <w:rPr>
          <w:sz w:val="20"/>
          <w:szCs w:val="20"/>
          <w:color w:val="auto"/>
        </w:rPr>
      </w:pPr>
    </w:p>
    <w:p>
      <w:pPr>
        <w:jc w:val="both"/>
        <w:ind w:left="1260" w:right="419"/>
        <w:spacing w:after="0" w:line="256" w:lineRule="auto"/>
        <w:rPr>
          <w:sz w:val="20"/>
          <w:szCs w:val="20"/>
          <w:color w:val="auto"/>
        </w:rPr>
      </w:pPr>
      <w:r>
        <w:rPr>
          <w:rFonts w:ascii="Arial" w:cs="Arial" w:eastAsia="Arial" w:hAnsi="Arial"/>
          <w:sz w:val="18"/>
          <w:szCs w:val="18"/>
          <w:color w:val="auto"/>
        </w:rPr>
        <w:t>As described in detail under the heading “Compensation Discussion and Analysis,” our executive compensation programs are designed to attract and retain our NEOs, motivate them to perform to their fullest potential, and align their interests with the interests of our stockholders. Under these programs, our NEOs are rewarded for the achievement of specific annual, long-term and strategic and corporate goals. Please read the Compensation Discussion and Analysis for additional details about our executive compensation programs and policies, including information about the fiscal 2025 compensation of our NEOs.</w:t>
      </w:r>
    </w:p>
    <w:p>
      <w:pPr>
        <w:spacing w:after="0" w:line="102" w:lineRule="exact"/>
        <w:rPr>
          <w:sz w:val="20"/>
          <w:szCs w:val="20"/>
          <w:color w:val="auto"/>
        </w:rPr>
      </w:pPr>
    </w:p>
    <w:p>
      <w:pPr>
        <w:jc w:val="both"/>
        <w:ind w:left="1260" w:right="419"/>
        <w:spacing w:after="0" w:line="255" w:lineRule="auto"/>
        <w:rPr>
          <w:sz w:val="20"/>
          <w:szCs w:val="20"/>
          <w:color w:val="auto"/>
        </w:rPr>
      </w:pPr>
      <w:r>
        <w:rPr>
          <w:rFonts w:ascii="Arial" w:cs="Arial" w:eastAsia="Arial" w:hAnsi="Arial"/>
          <w:sz w:val="18"/>
          <w:szCs w:val="18"/>
          <w:color w:val="auto"/>
        </w:rPr>
        <w:t>The Compensation Committee continually reviews the compensation programs for our NEOs to ensure they achieve the desired goals of aligning our executive compensation structure with our stockholders’ interests and current market practices. We are asking our stockholders to indicate their support for our NEO compensation as described in this proxy statement. This proposal, commonly known as a “Say-on-Pay” proposal, gives our stockholders the opportunity to express their views on our NEOs’ compensation. This vote is not intended to address any specific item of compensation, but rather the overall compensation of our NEOs and the philosophy, policies and practices described in this proxy statement. Accordingly, we will ask our stockholders to vote for the following resolution at the annual meeting:</w:t>
      </w:r>
    </w:p>
    <w:p>
      <w:pPr>
        <w:spacing w:after="0" w:line="113" w:lineRule="exact"/>
        <w:rPr>
          <w:sz w:val="20"/>
          <w:szCs w:val="20"/>
          <w:color w:val="auto"/>
        </w:rPr>
      </w:pPr>
    </w:p>
    <w:p>
      <w:pPr>
        <w:jc w:val="both"/>
        <w:ind w:left="1620" w:right="419"/>
        <w:spacing w:after="0" w:line="259" w:lineRule="auto"/>
        <w:rPr>
          <w:sz w:val="20"/>
          <w:szCs w:val="20"/>
          <w:color w:val="auto"/>
        </w:rPr>
      </w:pPr>
      <w:r>
        <w:rPr>
          <w:rFonts w:ascii="Arial" w:cs="Arial" w:eastAsia="Arial" w:hAnsi="Arial"/>
          <w:sz w:val="18"/>
          <w:szCs w:val="18"/>
          <w:color w:val="auto"/>
        </w:rPr>
        <w:t>“RESOLVED, that the Company’s stockholders approve, on an advisory basis, the compensation of the named executive officers, as disclosed in the Company’s Proxy Statement for the 2026 Annual Meeting of Stockholders pursuant to the rules and regulations of the Securities and Exchange Commission, including the Compensation Discussion and Analysis, the Summary Compensation Table and the related tables and disclosure.”</w:t>
      </w:r>
    </w:p>
    <w:p>
      <w:pPr>
        <w:spacing w:after="0" w:line="112" w:lineRule="exact"/>
        <w:rPr>
          <w:sz w:val="20"/>
          <w:szCs w:val="20"/>
          <w:color w:val="auto"/>
        </w:rPr>
      </w:pPr>
    </w:p>
    <w:p>
      <w:pPr>
        <w:jc w:val="both"/>
        <w:ind w:left="1260" w:right="419"/>
        <w:spacing w:after="0" w:line="268" w:lineRule="auto"/>
        <w:rPr>
          <w:sz w:val="20"/>
          <w:szCs w:val="20"/>
          <w:color w:val="auto"/>
        </w:rPr>
      </w:pPr>
      <w:r>
        <w:rPr>
          <w:rFonts w:ascii="Arial" w:cs="Arial" w:eastAsia="Arial" w:hAnsi="Arial"/>
          <w:sz w:val="18"/>
          <w:szCs w:val="18"/>
          <w:color w:val="auto"/>
        </w:rPr>
        <w:t>While this vote is advisory, and therefore binding on neither the Company, the Compensation Committee nor our Board, we value the opinions of our stockholders and will consider those opinions and the vote outcome when making future compensation decisions for our NEOs.</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Board recommends a vote “FOR” the approval of our executive compensation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5" w:name="page66"/>
    <w:bookmarkEnd w:id="6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PROPOSAL 4: APPROVAL OF THE COMPANY’S</w:t>
      </w:r>
    </w:p>
    <w:p>
      <w:pPr>
        <w:spacing w:after="0" w:line="27"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SIXTH AMENDED AND RESTATED 2010 EQUITY INCENTIVE PLAN</w:t>
      </w:r>
    </w:p>
    <w:p>
      <w:pPr>
        <w:spacing w:after="0" w:line="194" w:lineRule="exact"/>
        <w:rPr>
          <w:sz w:val="20"/>
          <w:szCs w:val="20"/>
          <w:color w:val="auto"/>
        </w:rPr>
      </w:pPr>
    </w:p>
    <w:p>
      <w:pPr>
        <w:ind w:left="1260" w:right="839"/>
        <w:spacing w:after="0" w:line="311" w:lineRule="auto"/>
        <w:rPr>
          <w:sz w:val="20"/>
          <w:szCs w:val="20"/>
          <w:color w:val="auto"/>
        </w:rPr>
      </w:pPr>
      <w:r>
        <w:rPr>
          <w:rFonts w:ascii="Arial" w:cs="Arial" w:eastAsia="Arial" w:hAnsi="Arial"/>
          <w:sz w:val="17"/>
          <w:szCs w:val="17"/>
          <w:b w:val="1"/>
          <w:bCs w:val="1"/>
          <w:color w:val="auto"/>
        </w:rPr>
        <w:t>OUR BOARD RECOMMENDS THAT YOU VOTE “FOR” THIS PROPOSAL. IF NOT OTHERWISE SPECIFIED, PROXIES WILL BE VOTED “FOR” APPROVAL OF THIS PROPOSAL.</w:t>
      </w:r>
    </w:p>
    <w:p>
      <w:pPr>
        <w:spacing w:after="0" w:line="47" w:lineRule="exact"/>
        <w:rPr>
          <w:sz w:val="20"/>
          <w:szCs w:val="20"/>
          <w:color w:val="auto"/>
        </w:rPr>
      </w:pPr>
    </w:p>
    <w:p>
      <w:pPr>
        <w:jc w:val="both"/>
        <w:ind w:left="1260" w:right="419"/>
        <w:spacing w:after="0" w:line="252" w:lineRule="auto"/>
        <w:rPr>
          <w:sz w:val="20"/>
          <w:szCs w:val="20"/>
          <w:color w:val="auto"/>
        </w:rPr>
      </w:pPr>
      <w:r>
        <w:rPr>
          <w:rFonts w:ascii="Arial" w:cs="Arial" w:eastAsia="Arial" w:hAnsi="Arial"/>
          <w:sz w:val="18"/>
          <w:szCs w:val="18"/>
          <w:color w:val="auto"/>
        </w:rPr>
        <w:t>On April 21, 2026, our Board adopted, subject to stockholder approval, the Company’s Sixth Amended and Restated 2010 Equity Incentive Plan (the “New Plan”), which replaces the Company’s Fifth Amended and Restated 2010 Equity Incentive Plan (the “Existing Plan”) and makes the following material changes:</w:t>
      </w:r>
    </w:p>
    <w:p>
      <w:pPr>
        <w:spacing w:after="0" w:line="62" w:lineRule="exact"/>
        <w:rPr>
          <w:sz w:val="20"/>
          <w:szCs w:val="20"/>
          <w:color w:val="auto"/>
        </w:rPr>
      </w:pPr>
    </w:p>
    <w:p>
      <w:pPr>
        <w:jc w:val="both"/>
        <w:ind w:left="1800" w:right="419" w:hanging="180"/>
        <w:spacing w:after="0" w:line="268" w:lineRule="auto"/>
        <w:tabs>
          <w:tab w:leader="none" w:pos="18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Increases the number of shares of common stock available for issuance under the New Plan from 1,004,558 (the number of shares authorized under the Existing Plan as of April 21, 2026) to 2,254,558 (an increase of 1,250,000 shares);</w:t>
      </w:r>
    </w:p>
    <w:p>
      <w:pPr>
        <w:spacing w:after="0" w:line="49" w:lineRule="exact"/>
        <w:rPr>
          <w:rFonts w:ascii="Arial" w:cs="Arial" w:eastAsia="Arial" w:hAnsi="Arial"/>
          <w:sz w:val="18"/>
          <w:szCs w:val="18"/>
          <w:color w:val="auto"/>
        </w:rPr>
      </w:pPr>
    </w:p>
    <w:p>
      <w:pPr>
        <w:jc w:val="both"/>
        <w:ind w:left="1800" w:right="419" w:hanging="180"/>
        <w:spacing w:after="0" w:line="262" w:lineRule="auto"/>
        <w:tabs>
          <w:tab w:leader="none" w:pos="18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Increases the annual limit on nonemployee director compensation to Awards worth $500,000 (as calculated by the Award’s fair value as determined in accordance with Financial Accounting Standards Board Accounting Standards Codification Topic 718, or any successor thereto as of the Grant Date);</w:t>
      </w:r>
    </w:p>
    <w:p>
      <w:pPr>
        <w:spacing w:after="0" w:line="41" w:lineRule="exact"/>
        <w:rPr>
          <w:rFonts w:ascii="Arial" w:cs="Arial" w:eastAsia="Arial" w:hAnsi="Arial"/>
          <w:sz w:val="18"/>
          <w:szCs w:val="18"/>
          <w:color w:val="auto"/>
        </w:rPr>
      </w:pPr>
    </w:p>
    <w:p>
      <w:pPr>
        <w:ind w:left="1800" w:right="419" w:hanging="180"/>
        <w:spacing w:after="0" w:line="287" w:lineRule="auto"/>
        <w:tabs>
          <w:tab w:leader="none" w:pos="18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Increases the annual limit applicable to any single Grantee to Awards representing 250,000 shares; and</w:t>
      </w:r>
    </w:p>
    <w:p>
      <w:pPr>
        <w:spacing w:after="0" w:line="31" w:lineRule="exact"/>
        <w:rPr>
          <w:rFonts w:ascii="Arial" w:cs="Arial" w:eastAsia="Arial" w:hAnsi="Arial"/>
          <w:sz w:val="18"/>
          <w:szCs w:val="18"/>
          <w:color w:val="auto"/>
        </w:rPr>
      </w:pPr>
    </w:p>
    <w:p>
      <w:pPr>
        <w:ind w:left="1800" w:hanging="180"/>
        <w:spacing w:after="0"/>
        <w:tabs>
          <w:tab w:leader="none" w:pos="18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Extends the plan expiration date from June 21, 2033 to June 17, 2036.</w:t>
      </w:r>
    </w:p>
    <w:p>
      <w:pPr>
        <w:spacing w:after="0" w:line="144" w:lineRule="exact"/>
        <w:rPr>
          <w:sz w:val="20"/>
          <w:szCs w:val="20"/>
          <w:color w:val="auto"/>
        </w:rPr>
      </w:pPr>
    </w:p>
    <w:p>
      <w:pPr>
        <w:jc w:val="both"/>
        <w:ind w:left="1260" w:right="419"/>
        <w:spacing w:after="0" w:line="287" w:lineRule="auto"/>
        <w:rPr>
          <w:sz w:val="20"/>
          <w:szCs w:val="20"/>
          <w:color w:val="auto"/>
        </w:rPr>
      </w:pPr>
      <w:r>
        <w:rPr>
          <w:rFonts w:ascii="Arial" w:cs="Arial" w:eastAsia="Arial" w:hAnsi="Arial"/>
          <w:sz w:val="18"/>
          <w:szCs w:val="18"/>
          <w:color w:val="auto"/>
        </w:rPr>
        <w:t>Our continuing ability to offer equity incentive awards under an equity incentive plan is critical to our ability to attract, motivate, and retain qualified personnel.</w:t>
      </w:r>
    </w:p>
    <w:p>
      <w:pPr>
        <w:spacing w:after="0" w:line="13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Background</w:t>
      </w:r>
    </w:p>
    <w:p>
      <w:pPr>
        <w:spacing w:after="0" w:line="144" w:lineRule="exact"/>
        <w:rPr>
          <w:sz w:val="20"/>
          <w:szCs w:val="20"/>
          <w:color w:val="auto"/>
        </w:rPr>
      </w:pPr>
    </w:p>
    <w:p>
      <w:pPr>
        <w:jc w:val="both"/>
        <w:ind w:left="1260" w:right="419"/>
        <w:spacing w:after="0" w:line="261" w:lineRule="auto"/>
        <w:rPr>
          <w:sz w:val="20"/>
          <w:szCs w:val="20"/>
          <w:color w:val="auto"/>
        </w:rPr>
      </w:pPr>
      <w:r>
        <w:rPr>
          <w:rFonts w:ascii="Arial" w:cs="Arial" w:eastAsia="Arial" w:hAnsi="Arial"/>
          <w:sz w:val="18"/>
          <w:szCs w:val="18"/>
          <w:color w:val="auto"/>
        </w:rPr>
        <w:t>The 2010 Plan was initially adopted by the Board of Directors in 2010, and has been amended by stockholder vote in 2014, 2018, 2020 and 2023 to adjust the number of Shares reserved for issuance thereunder. As of April 16, 2026, the share reserve under the Existing Plan is 1,004,558 Shares.</w:t>
      </w:r>
    </w:p>
    <w:p>
      <w:pPr>
        <w:spacing w:after="0" w:line="94" w:lineRule="exact"/>
        <w:rPr>
          <w:sz w:val="20"/>
          <w:szCs w:val="20"/>
          <w:color w:val="auto"/>
        </w:rPr>
      </w:pPr>
    </w:p>
    <w:p>
      <w:pPr>
        <w:jc w:val="both"/>
        <w:ind w:left="1260" w:right="419"/>
        <w:spacing w:after="0" w:line="245" w:lineRule="auto"/>
        <w:rPr>
          <w:sz w:val="20"/>
          <w:szCs w:val="20"/>
          <w:color w:val="auto"/>
        </w:rPr>
      </w:pPr>
      <w:r>
        <w:rPr>
          <w:rFonts w:ascii="Arial" w:cs="Arial" w:eastAsia="Arial" w:hAnsi="Arial"/>
          <w:sz w:val="18"/>
          <w:szCs w:val="18"/>
          <w:color w:val="auto"/>
        </w:rPr>
        <w:t>If stockholders approve this proposal, the New Plan will become effective as of the date of stockholder approval. If stockholders do not approve this proposal, the New Plan will not take effect, and the Existing Plan will continue to be administered in its current form until its expiration on June 21, 2033 (or until such time as the shares available for issuance thereunder have been depleted, whichever occurs first). Following the expiration or termination of the Existing Plan, we will be unable to maintain our current equity grant practices and, therefore, we will be at a significant competitive disadvantage in attracting, motivating, and retaining talented individuals who contribute to our success. We will also be compelled to replace equity incentive awards with cash awards, which may not align the interests of our executives and employees with those of our stockholders as effectively as equity incentive awards.</w:t>
      </w:r>
    </w:p>
    <w:p>
      <w:pPr>
        <w:spacing w:after="0" w:line="110" w:lineRule="exact"/>
        <w:rPr>
          <w:sz w:val="20"/>
          <w:szCs w:val="20"/>
          <w:color w:val="auto"/>
        </w:rPr>
      </w:pPr>
    </w:p>
    <w:p>
      <w:pPr>
        <w:jc w:val="both"/>
        <w:ind w:left="1260" w:right="419"/>
        <w:spacing w:after="0" w:line="271" w:lineRule="auto"/>
        <w:rPr>
          <w:sz w:val="20"/>
          <w:szCs w:val="20"/>
          <w:color w:val="auto"/>
        </w:rPr>
      </w:pPr>
      <w:r>
        <w:rPr>
          <w:rFonts w:ascii="Arial" w:cs="Arial" w:eastAsia="Arial" w:hAnsi="Arial"/>
          <w:sz w:val="18"/>
          <w:szCs w:val="18"/>
          <w:b w:val="1"/>
          <w:bCs w:val="1"/>
          <w:i w:val="1"/>
          <w:iCs w:val="1"/>
          <w:color w:val="auto"/>
        </w:rPr>
        <w:t>Promotion of Good Corporate Governance Practices</w:t>
      </w:r>
      <w:r>
        <w:rPr>
          <w:rFonts w:ascii="Arial" w:cs="Arial" w:eastAsia="Arial" w:hAnsi="Arial"/>
          <w:sz w:val="18"/>
          <w:szCs w:val="18"/>
          <w:color w:val="auto"/>
        </w:rPr>
        <w:t>. The 2010 Plan includes a number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corporate governance best practices. These include, but are not limited to, the following:</w:t>
      </w:r>
    </w:p>
    <w:p>
      <w:pPr>
        <w:spacing w:after="0" w:line="46" w:lineRule="exact"/>
        <w:rPr>
          <w:sz w:val="20"/>
          <w:szCs w:val="20"/>
          <w:color w:val="auto"/>
        </w:rPr>
      </w:pPr>
    </w:p>
    <w:p>
      <w:pPr>
        <w:jc w:val="both"/>
        <w:ind w:left="1800" w:right="419" w:hanging="180"/>
        <w:spacing w:after="0" w:line="268" w:lineRule="auto"/>
        <w:tabs>
          <w:tab w:leader="none" w:pos="1800"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Minimum vesting</w:t>
      </w:r>
      <w:r>
        <w:rPr>
          <w:rFonts w:ascii="Arial" w:cs="Arial" w:eastAsia="Arial" w:hAnsi="Arial"/>
          <w:sz w:val="18"/>
          <w:szCs w:val="18"/>
          <w:color w:val="auto"/>
        </w:rPr>
        <w:t>. Awards may not become exercisable, vest or settle prior to the one-year</w:t>
      </w:r>
      <w:r>
        <w:rPr>
          <w:rFonts w:ascii="Arial" w:cs="Arial" w:eastAsia="Arial" w:hAnsi="Arial"/>
          <w:sz w:val="18"/>
          <w:szCs w:val="18"/>
          <w:i w:val="1"/>
          <w:iCs w:val="1"/>
          <w:color w:val="auto"/>
        </w:rPr>
        <w:t xml:space="preserve"> </w:t>
      </w:r>
      <w:r>
        <w:rPr>
          <w:rFonts w:ascii="Arial" w:cs="Arial" w:eastAsia="Arial" w:hAnsi="Arial"/>
          <w:sz w:val="18"/>
          <w:szCs w:val="18"/>
          <w:color w:val="auto"/>
        </w:rPr>
        <w:t>anniversary of the date of grant, except in the case of a participant’s termination of employment or in the event of a change in control (subject to a 5% carve-out).</w:t>
      </w:r>
    </w:p>
    <w:p>
      <w:pPr>
        <w:spacing w:after="0" w:line="49" w:lineRule="exact"/>
        <w:rPr>
          <w:rFonts w:ascii="Arial" w:cs="Arial" w:eastAsia="Arial" w:hAnsi="Arial"/>
          <w:sz w:val="18"/>
          <w:szCs w:val="18"/>
          <w:color w:val="auto"/>
        </w:rPr>
      </w:pPr>
    </w:p>
    <w:p>
      <w:pPr>
        <w:ind w:left="1800" w:right="419" w:hanging="180"/>
        <w:spacing w:after="0" w:line="287" w:lineRule="auto"/>
        <w:tabs>
          <w:tab w:leader="none" w:pos="1800"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No evergreen provision</w:t>
      </w:r>
      <w:r>
        <w:rPr>
          <w:rFonts w:ascii="Arial" w:cs="Arial" w:eastAsia="Arial" w:hAnsi="Arial"/>
          <w:sz w:val="18"/>
          <w:szCs w:val="18"/>
          <w:color w:val="auto"/>
        </w:rPr>
        <w:t>. There is no “evergreen” feature pursuant to which the Shares</w:t>
      </w:r>
      <w:r>
        <w:rPr>
          <w:rFonts w:ascii="Arial" w:cs="Arial" w:eastAsia="Arial" w:hAnsi="Arial"/>
          <w:sz w:val="18"/>
          <w:szCs w:val="18"/>
          <w:i w:val="1"/>
          <w:iCs w:val="1"/>
          <w:color w:val="auto"/>
        </w:rPr>
        <w:t xml:space="preserve"> </w:t>
      </w:r>
      <w:r>
        <w:rPr>
          <w:rFonts w:ascii="Arial" w:cs="Arial" w:eastAsia="Arial" w:hAnsi="Arial"/>
          <w:sz w:val="18"/>
          <w:szCs w:val="18"/>
          <w:color w:val="auto"/>
        </w:rPr>
        <w:t>authorized for issuance can be increased automatically without stockholder approval.</w:t>
      </w:r>
    </w:p>
    <w:p>
      <w:pPr>
        <w:spacing w:after="0" w:line="17" w:lineRule="exact"/>
        <w:rPr>
          <w:rFonts w:ascii="Arial" w:cs="Arial" w:eastAsia="Arial" w:hAnsi="Arial"/>
          <w:sz w:val="18"/>
          <w:szCs w:val="18"/>
          <w:color w:val="auto"/>
        </w:rPr>
      </w:pPr>
    </w:p>
    <w:p>
      <w:pPr>
        <w:jc w:val="both"/>
        <w:ind w:left="1800" w:right="419" w:hanging="180"/>
        <w:spacing w:after="0" w:line="268" w:lineRule="auto"/>
        <w:tabs>
          <w:tab w:leader="none" w:pos="1800"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No discounted stock options or stock appreciation rights</w:t>
      </w:r>
      <w:r>
        <w:rPr>
          <w:rFonts w:ascii="Arial" w:cs="Arial" w:eastAsia="Arial" w:hAnsi="Arial"/>
          <w:sz w:val="18"/>
          <w:szCs w:val="18"/>
          <w:color w:val="auto"/>
        </w:rPr>
        <w:t>. Stock options and stock appreciation</w:t>
      </w:r>
      <w:r>
        <w:rPr>
          <w:rFonts w:ascii="Arial" w:cs="Arial" w:eastAsia="Arial" w:hAnsi="Arial"/>
          <w:sz w:val="18"/>
          <w:szCs w:val="18"/>
          <w:i w:val="1"/>
          <w:iCs w:val="1"/>
          <w:color w:val="auto"/>
        </w:rPr>
        <w:t xml:space="preserve"> </w:t>
      </w:r>
      <w:r>
        <w:rPr>
          <w:rFonts w:ascii="Arial" w:cs="Arial" w:eastAsia="Arial" w:hAnsi="Arial"/>
          <w:sz w:val="18"/>
          <w:szCs w:val="18"/>
          <w:color w:val="auto"/>
        </w:rPr>
        <w:t>rights may not be granted with a per Share exercise price less than 100% of our common stock’s fair market value on the date of grant.</w:t>
      </w:r>
    </w:p>
    <w:p>
      <w:pPr>
        <w:spacing w:after="0" w:line="35" w:lineRule="exact"/>
        <w:rPr>
          <w:rFonts w:ascii="Arial" w:cs="Arial" w:eastAsia="Arial" w:hAnsi="Arial"/>
          <w:sz w:val="18"/>
          <w:szCs w:val="18"/>
          <w:color w:val="auto"/>
        </w:rPr>
      </w:pPr>
    </w:p>
    <w:p>
      <w:pPr>
        <w:ind w:left="1800" w:right="419" w:hanging="180"/>
        <w:spacing w:after="0" w:line="287" w:lineRule="auto"/>
        <w:tabs>
          <w:tab w:leader="none" w:pos="1800"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Restricted dividend equivalents awards</w:t>
      </w:r>
      <w:r>
        <w:rPr>
          <w:rFonts w:ascii="Arial" w:cs="Arial" w:eastAsia="Arial" w:hAnsi="Arial"/>
          <w:sz w:val="18"/>
          <w:szCs w:val="18"/>
          <w:color w:val="auto"/>
        </w:rPr>
        <w:t>. The 2010 Plan permits payment of dividends or</w:t>
      </w:r>
      <w:r>
        <w:rPr>
          <w:rFonts w:ascii="Arial" w:cs="Arial" w:eastAsia="Arial" w:hAnsi="Arial"/>
          <w:sz w:val="18"/>
          <w:szCs w:val="18"/>
          <w:i w:val="1"/>
          <w:iCs w:val="1"/>
          <w:color w:val="auto"/>
        </w:rPr>
        <w:t xml:space="preserve"> </w:t>
      </w:r>
      <w:r>
        <w:rPr>
          <w:rFonts w:ascii="Arial" w:cs="Arial" w:eastAsia="Arial" w:hAnsi="Arial"/>
          <w:sz w:val="18"/>
          <w:szCs w:val="18"/>
          <w:color w:val="auto"/>
        </w:rPr>
        <w:t>dividend equivalents on awards only if and when the underlying awards vest.</w:t>
      </w:r>
    </w:p>
    <w:p>
      <w:pPr>
        <w:spacing w:after="0" w:line="31" w:lineRule="exact"/>
        <w:rPr>
          <w:rFonts w:ascii="Arial" w:cs="Arial" w:eastAsia="Arial" w:hAnsi="Arial"/>
          <w:sz w:val="18"/>
          <w:szCs w:val="18"/>
          <w:color w:val="auto"/>
        </w:rPr>
      </w:pPr>
    </w:p>
    <w:p>
      <w:pPr>
        <w:jc w:val="both"/>
        <w:ind w:left="1800" w:right="419" w:hanging="180"/>
        <w:spacing w:after="0" w:line="268" w:lineRule="auto"/>
        <w:tabs>
          <w:tab w:leader="none" w:pos="1800"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No Tax Gross-Ups</w:t>
      </w:r>
      <w:r>
        <w:rPr>
          <w:rFonts w:ascii="Arial" w:cs="Arial" w:eastAsia="Arial" w:hAnsi="Arial"/>
          <w:sz w:val="18"/>
          <w:szCs w:val="18"/>
          <w:color w:val="auto"/>
        </w:rPr>
        <w:t>. No participant will be entitled under the 2010 Plan to any tax gross-up</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for any excise tax pursuant to Section 280G or 4999 of the Tax Code that may be incurred in connection with awards granted under the 2010 Plan.</w:t>
      </w:r>
    </w:p>
    <w:p>
      <w:pPr>
        <w:sectPr>
          <w:pgSz w:w="11900" w:h="16838" w:orient="portrait"/>
          <w:cols w:equalWidth="0" w:num="1">
            <w:col w:w="9879"/>
          </w:cols>
          <w:pgMar w:left="580" w:top="97" w:right="1440" w:bottom="1440" w:gutter="0" w:footer="0" w:header="0"/>
        </w:sectPr>
      </w:pPr>
    </w:p>
    <w:p>
      <w:pPr>
        <w:spacing w:after="0" w:line="34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6" w:name="page67"/>
    <w:bookmarkEnd w:id="6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Shares Available for Future Awards</w:t>
      </w:r>
    </w:p>
    <w:p>
      <w:pPr>
        <w:spacing w:after="0" w:line="158" w:lineRule="exact"/>
        <w:rPr>
          <w:sz w:val="20"/>
          <w:szCs w:val="20"/>
          <w:color w:val="auto"/>
        </w:rPr>
      </w:pPr>
    </w:p>
    <w:p>
      <w:pPr>
        <w:jc w:val="both"/>
        <w:ind w:left="1260" w:right="419"/>
        <w:spacing w:after="0" w:line="257" w:lineRule="auto"/>
        <w:rPr>
          <w:sz w:val="20"/>
          <w:szCs w:val="20"/>
          <w:color w:val="auto"/>
        </w:rPr>
      </w:pPr>
      <w:r>
        <w:rPr>
          <w:rFonts w:ascii="Arial" w:cs="Arial" w:eastAsia="Arial" w:hAnsi="Arial"/>
          <w:sz w:val="18"/>
          <w:szCs w:val="18"/>
          <w:color w:val="auto"/>
        </w:rPr>
        <w:t>As of April 16, 2026, 106,156 Shares remained available for grant under the 2010 Plan. In determining the number of additional Shares requested for authorization, the Board of Directors and the Compensation Committee carefully considered our anticipated future equity needs, our historical equity compensation practices (including our historical “burn rate,” as discussed below) and the advice of Ferguson Partners. The additional Shares being requested for authorization under the amendment to the 2010 Plan is 1,250,000 Shares.</w:t>
      </w:r>
    </w:p>
    <w:p>
      <w:pPr>
        <w:spacing w:after="0" w:line="115" w:lineRule="exact"/>
        <w:rPr>
          <w:sz w:val="20"/>
          <w:szCs w:val="20"/>
          <w:color w:val="auto"/>
        </w:rPr>
      </w:pPr>
    </w:p>
    <w:p>
      <w:pPr>
        <w:jc w:val="both"/>
        <w:ind w:left="1260" w:right="419"/>
        <w:spacing w:after="0" w:line="259" w:lineRule="auto"/>
        <w:rPr>
          <w:sz w:val="20"/>
          <w:szCs w:val="20"/>
          <w:color w:val="auto"/>
        </w:rPr>
      </w:pPr>
      <w:r>
        <w:rPr>
          <w:rFonts w:ascii="Arial" w:cs="Arial" w:eastAsia="Arial" w:hAnsi="Arial"/>
          <w:sz w:val="18"/>
          <w:szCs w:val="18"/>
          <w:color w:val="auto"/>
        </w:rPr>
        <w:t>As of April 16, 2026, the only equity awards outstanding under Company equity plans were 240,110 shares of restricted stock, which are included in the common shares outstanding of 33,783,592; and 314,382 performance shares, which constitute an obligation to issue up to a maximum of 532,100 shares of common stock, depending on the Company’s performance, as set forth in the various performance share award agreements.</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Considerations for the Approval of the Amendment to the 2010 Plan</w:t>
      </w:r>
    </w:p>
    <w:p>
      <w:pPr>
        <w:spacing w:after="0" w:line="144" w:lineRule="exact"/>
        <w:rPr>
          <w:sz w:val="20"/>
          <w:szCs w:val="20"/>
          <w:color w:val="auto"/>
        </w:rPr>
      </w:pPr>
    </w:p>
    <w:p>
      <w:pPr>
        <w:jc w:val="both"/>
        <w:ind w:left="1260" w:right="419"/>
        <w:spacing w:after="0" w:line="287" w:lineRule="auto"/>
        <w:rPr>
          <w:sz w:val="20"/>
          <w:szCs w:val="20"/>
          <w:color w:val="auto"/>
        </w:rPr>
      </w:pPr>
      <w:r>
        <w:rPr>
          <w:rFonts w:ascii="Arial" w:cs="Arial" w:eastAsia="Arial" w:hAnsi="Arial"/>
          <w:sz w:val="18"/>
          <w:szCs w:val="18"/>
          <w:color w:val="auto"/>
        </w:rPr>
        <w:t>The following is a list of some of the primary factors to be considered by stockholders in connection with approving the amendment to the 2010 Plan:</w:t>
      </w:r>
    </w:p>
    <w:p>
      <w:pPr>
        <w:spacing w:after="0" w:line="85" w:lineRule="exact"/>
        <w:rPr>
          <w:sz w:val="20"/>
          <w:szCs w:val="20"/>
          <w:color w:val="auto"/>
        </w:rPr>
      </w:pPr>
    </w:p>
    <w:p>
      <w:pPr>
        <w:jc w:val="both"/>
        <w:ind w:left="1620" w:right="419"/>
        <w:spacing w:after="0" w:line="262" w:lineRule="auto"/>
        <w:rPr>
          <w:sz w:val="20"/>
          <w:szCs w:val="20"/>
          <w:color w:val="auto"/>
        </w:rPr>
      </w:pPr>
      <w:r>
        <w:rPr>
          <w:rFonts w:ascii="Arial" w:cs="Arial" w:eastAsia="Arial" w:hAnsi="Arial"/>
          <w:sz w:val="18"/>
          <w:szCs w:val="18"/>
          <w:b w:val="1"/>
          <w:bCs w:val="1"/>
          <w:i w:val="1"/>
          <w:iCs w:val="1"/>
          <w:color w:val="auto"/>
        </w:rPr>
        <w:t>Modest Share Usage</w:t>
      </w:r>
      <w:r>
        <w:rPr>
          <w:rFonts w:ascii="Arial" w:cs="Arial" w:eastAsia="Arial" w:hAnsi="Arial"/>
          <w:sz w:val="18"/>
          <w:szCs w:val="18"/>
          <w:color w:val="auto"/>
        </w:rPr>
        <w:t>. When determining the number of additional Shares authorized for issuance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the amendment to the 2010 Plan, the Board of Directors and the Compensation Committee carefully considered the potential dilution to our current stockholders as measured by our “burn rate,” “overhang” and projected future share usage.</w:t>
      </w:r>
    </w:p>
    <w:p>
      <w:pPr>
        <w:spacing w:after="0" w:line="68" w:lineRule="exact"/>
        <w:rPr>
          <w:sz w:val="20"/>
          <w:szCs w:val="20"/>
          <w:color w:val="auto"/>
        </w:rPr>
      </w:pPr>
    </w:p>
    <w:p>
      <w:pPr>
        <w:jc w:val="both"/>
        <w:ind w:left="1800" w:right="419" w:hanging="180"/>
        <w:spacing w:after="0" w:line="278" w:lineRule="auto"/>
        <w:tabs>
          <w:tab w:leader="none" w:pos="1800" w:val="left"/>
        </w:tabs>
        <w:numPr>
          <w:ilvl w:val="0"/>
          <w:numId w:val="61"/>
        </w:numPr>
        <w:rPr>
          <w:rFonts w:ascii="Arial" w:cs="Arial" w:eastAsia="Arial" w:hAnsi="Arial"/>
          <w:sz w:val="17"/>
          <w:szCs w:val="17"/>
          <w:color w:val="auto"/>
        </w:rPr>
      </w:pPr>
      <w:r>
        <w:rPr>
          <w:rFonts w:ascii="Arial" w:cs="Arial" w:eastAsia="Arial" w:hAnsi="Arial"/>
          <w:sz w:val="17"/>
          <w:szCs w:val="17"/>
          <w:color w:val="auto"/>
        </w:rPr>
        <w:t>Our three-year average burn rate is 0.68%. This factors in our significant share repurchases in several of the years presented below, as well as our director compensation policy under which our independent directors may elect to receive their annual retainer in the form of Shares. The burn rate demonstrates our sound approach to the grant of equity incentive compensation and our commitment to aligning our equity compensation program with the interests of our stockholders.</w:t>
      </w:r>
    </w:p>
    <w:p>
      <w:pPr>
        <w:spacing w:after="0" w:line="133"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20" w:type="dxa"/>
            <w:vAlign w:val="bottom"/>
            <w:gridSpan w:val="3"/>
          </w:tcPr>
          <w:p>
            <w:pPr>
              <w:jc w:val="center"/>
              <w:spacing w:after="0"/>
              <w:rPr>
                <w:sz w:val="20"/>
                <w:szCs w:val="20"/>
                <w:color w:val="auto"/>
              </w:rPr>
            </w:pPr>
            <w:r>
              <w:rPr>
                <w:rFonts w:ascii="Arial" w:cs="Arial" w:eastAsia="Arial" w:hAnsi="Arial"/>
                <w:sz w:val="14"/>
                <w:szCs w:val="14"/>
                <w:b w:val="1"/>
                <w:bCs w:val="1"/>
                <w:color w:val="auto"/>
              </w:rPr>
              <w:t>Time-Vesting   Performance-</w:t>
            </w:r>
          </w:p>
        </w:tc>
        <w:tc>
          <w:tcPr>
            <w:tcW w:w="18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Total Shares</w:t>
            </w:r>
          </w:p>
        </w:tc>
        <w:tc>
          <w:tcPr>
            <w:tcW w:w="22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Basic Weighted Avg</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2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Based Shares</w:t>
            </w:r>
          </w:p>
        </w:tc>
        <w:tc>
          <w:tcPr>
            <w:tcW w:w="18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Granted/</w:t>
            </w:r>
          </w:p>
        </w:tc>
        <w:tc>
          <w:tcPr>
            <w:tcW w:w="22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Common Shares</w:t>
            </w:r>
          </w:p>
        </w:tc>
        <w:tc>
          <w:tcPr>
            <w:tcW w:w="2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4"/>
                <w:szCs w:val="14"/>
                <w:b w:val="1"/>
                <w:bCs w:val="1"/>
                <w:color w:val="auto"/>
              </w:rPr>
              <w:t>Burn Rate</w:t>
            </w:r>
          </w:p>
        </w:tc>
        <w:tc>
          <w:tcPr>
            <w:tcW w:w="60" w:type="dxa"/>
            <w:vAlign w:val="bottom"/>
          </w:tcPr>
          <w:p>
            <w:pPr>
              <w:spacing w:after="0"/>
              <w:rPr>
                <w:sz w:val="14"/>
                <w:szCs w:val="14"/>
                <w:color w:val="auto"/>
              </w:rPr>
            </w:pPr>
          </w:p>
        </w:tc>
      </w:tr>
      <w:tr>
        <w:trPr>
          <w:trHeight w:val="198"/>
        </w:trPr>
        <w:tc>
          <w:tcPr>
            <w:tcW w:w="2220" w:type="dxa"/>
            <w:vAlign w:val="bottom"/>
          </w:tcPr>
          <w:p>
            <w:pPr>
              <w:spacing w:after="0"/>
              <w:rPr>
                <w:sz w:val="20"/>
                <w:szCs w:val="20"/>
                <w:color w:val="auto"/>
              </w:rPr>
            </w:pPr>
            <w:r>
              <w:rPr>
                <w:rFonts w:ascii="Arial" w:cs="Arial" w:eastAsia="Arial" w:hAnsi="Arial"/>
                <w:sz w:val="14"/>
                <w:szCs w:val="14"/>
                <w:b w:val="1"/>
                <w:bCs w:val="1"/>
                <w:color w:val="auto"/>
              </w:rPr>
              <w:t>Year</w:t>
            </w:r>
          </w:p>
        </w:tc>
        <w:tc>
          <w:tcPr>
            <w:tcW w:w="1120" w:type="dxa"/>
            <w:vAlign w:val="bottom"/>
            <w:gridSpan w:val="2"/>
          </w:tcPr>
          <w:p>
            <w:pPr>
              <w:ind w:left="60"/>
              <w:spacing w:after="0" w:line="199" w:lineRule="exact"/>
              <w:rPr>
                <w:sz w:val="20"/>
                <w:szCs w:val="20"/>
                <w:color w:val="auto"/>
              </w:rPr>
            </w:pPr>
            <w:r>
              <w:rPr>
                <w:rFonts w:ascii="Arial" w:cs="Arial" w:eastAsia="Arial" w:hAnsi="Arial"/>
                <w:sz w:val="22"/>
                <w:szCs w:val="22"/>
                <w:b w:val="1"/>
                <w:bCs w:val="1"/>
                <w:color w:val="auto"/>
                <w:vertAlign w:val="subscript"/>
              </w:rPr>
              <w:t>​ ​</w:t>
            </w:r>
            <w:r>
              <w:rPr>
                <w:rFonts w:ascii="Arial" w:cs="Arial" w:eastAsia="Arial" w:hAnsi="Arial"/>
                <w:sz w:val="12"/>
                <w:szCs w:val="12"/>
                <w:b w:val="1"/>
                <w:bCs w:val="1"/>
                <w:color w:val="auto"/>
              </w:rPr>
              <w:t xml:space="preserve"> Awarded (#)</w:t>
            </w:r>
          </w:p>
        </w:tc>
        <w:tc>
          <w:tcPr>
            <w:tcW w:w="200" w:type="dxa"/>
            <w:vAlign w:val="bottom"/>
          </w:tcPr>
          <w:p>
            <w:pPr>
              <w:jc w:val="center"/>
              <w:spacing w:after="0"/>
              <w:rPr>
                <w:sz w:val="20"/>
                <w:szCs w:val="20"/>
                <w:color w:val="auto"/>
              </w:rPr>
            </w:pPr>
            <w:r>
              <w:rPr>
                <w:rFonts w:ascii="Arial" w:cs="Arial" w:eastAsia="Arial" w:hAnsi="Arial"/>
                <w:sz w:val="14"/>
                <w:szCs w:val="14"/>
                <w:b w:val="1"/>
                <w:bCs w:val="1"/>
                <w:color w:val="auto"/>
              </w:rPr>
              <w:t>​ ​</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Earned (#)</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 ​</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Earned (#)</w:t>
            </w:r>
          </w:p>
        </w:tc>
        <w:tc>
          <w:tcPr>
            <w:tcW w:w="220" w:type="dxa"/>
            <w:vAlign w:val="bottom"/>
          </w:tcPr>
          <w:p>
            <w:pPr>
              <w:spacing w:after="0"/>
              <w:rPr>
                <w:sz w:val="17"/>
                <w:szCs w:val="17"/>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Outstanding (#)</w:t>
            </w:r>
          </w:p>
        </w:tc>
        <w:tc>
          <w:tcPr>
            <w:tcW w:w="220" w:type="dxa"/>
            <w:vAlign w:val="bottom"/>
          </w:tcPr>
          <w:p>
            <w:pPr>
              <w:spacing w:after="0"/>
              <w:rPr>
                <w:sz w:val="17"/>
                <w:szCs w:val="17"/>
                <w:color w:val="auto"/>
              </w:rPr>
            </w:pPr>
          </w:p>
        </w:tc>
        <w:tc>
          <w:tcPr>
            <w:tcW w:w="740" w:type="dxa"/>
            <w:vAlign w:val="bottom"/>
          </w:tcPr>
          <w:p>
            <w:pPr>
              <w:jc w:val="center"/>
              <w:spacing w:after="0" w:line="199" w:lineRule="exact"/>
              <w:rPr>
                <w:sz w:val="20"/>
                <w:szCs w:val="20"/>
                <w:color w:val="auto"/>
              </w:rPr>
            </w:pPr>
            <w:r>
              <w:rPr>
                <w:rFonts w:ascii="Arial" w:cs="Arial" w:eastAsia="Arial" w:hAnsi="Arial"/>
                <w:sz w:val="22"/>
                <w:szCs w:val="22"/>
                <w:b w:val="1"/>
                <w:bCs w:val="1"/>
                <w:color w:val="auto"/>
                <w:w w:val="98"/>
                <w:vertAlign w:val="subscript"/>
              </w:rPr>
              <w:t>(%)</w:t>
            </w:r>
            <w:r>
              <w:rPr>
                <w:rFonts w:ascii="Arial" w:cs="Arial" w:eastAsia="Arial" w:hAnsi="Arial"/>
                <w:sz w:val="8"/>
                <w:szCs w:val="8"/>
                <w:b w:val="1"/>
                <w:bCs w:val="1"/>
                <w:color w:val="auto"/>
                <w:w w:val="98"/>
              </w:rPr>
              <w:t>(1)</w:t>
            </w:r>
          </w:p>
        </w:tc>
        <w:tc>
          <w:tcPr>
            <w:tcW w:w="60" w:type="dxa"/>
            <w:vAlign w:val="bottom"/>
          </w:tcPr>
          <w:p>
            <w:pPr>
              <w:spacing w:after="0"/>
              <w:rPr>
                <w:sz w:val="17"/>
                <w:szCs w:val="17"/>
                <w:color w:val="auto"/>
              </w:rPr>
            </w:pPr>
          </w:p>
        </w:tc>
      </w:tr>
      <w:tr>
        <w:trPr>
          <w:trHeight w:val="20"/>
        </w:trPr>
        <w:tc>
          <w:tcPr>
            <w:tcW w:w="22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2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2023</w:t>
            </w:r>
          </w:p>
        </w:tc>
        <w:tc>
          <w:tcPr>
            <w:tcW w:w="20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 ​</w:t>
            </w:r>
          </w:p>
        </w:tc>
        <w:tc>
          <w:tcPr>
            <w:tcW w:w="92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rPr>
              <w:t>​ 96,453</w:t>
            </w:r>
          </w:p>
        </w:tc>
        <w:tc>
          <w:tcPr>
            <w:tcW w:w="2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rPr>
              <w:t>​​ ​</w:t>
            </w:r>
          </w:p>
        </w:tc>
        <w:tc>
          <w:tcPr>
            <w:tcW w:w="100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rPr>
              <w:t>​72,141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 ​</w:t>
            </w:r>
          </w:p>
        </w:tc>
        <w:tc>
          <w:tcPr>
            <w:tcW w:w="90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rPr>
              <w:t>​168,594</w:t>
            </w:r>
          </w:p>
        </w:tc>
        <w:tc>
          <w:tcPr>
            <w:tcW w:w="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400" w:type="dxa"/>
            <w:vAlign w:val="bottom"/>
            <w:tcBorders>
              <w:right w:val="single" w:sz="8" w:color="CCEEFF"/>
            </w:tcBorders>
            <w:shd w:val="clear" w:color="auto" w:fill="CCEEFF"/>
          </w:tcPr>
          <w:p>
            <w:pPr>
              <w:ind w:left="240"/>
              <w:spacing w:after="0"/>
              <w:rPr>
                <w:sz w:val="20"/>
                <w:szCs w:val="20"/>
                <w:color w:val="auto"/>
              </w:rPr>
            </w:pPr>
            <w:r>
              <w:rPr>
                <w:rFonts w:ascii="Arial" w:cs="Arial" w:eastAsia="Arial" w:hAnsi="Arial"/>
                <w:sz w:val="18"/>
                <w:szCs w:val="18"/>
                <w:b w:val="1"/>
                <w:bCs w:val="1"/>
                <w:color w:val="auto"/>
              </w:rPr>
              <w:t>​22,529,703</w:t>
            </w:r>
          </w:p>
        </w:tc>
        <w:tc>
          <w:tcPr>
            <w:tcW w:w="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rPr>
              <w:t>​0.75</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56"/>
        </w:trPr>
        <w:tc>
          <w:tcPr>
            <w:tcW w:w="2220" w:type="dxa"/>
            <w:vAlign w:val="bottom"/>
          </w:tcPr>
          <w:p>
            <w:pPr>
              <w:spacing w:after="0"/>
              <w:rPr>
                <w:sz w:val="20"/>
                <w:szCs w:val="20"/>
                <w:color w:val="auto"/>
              </w:rPr>
            </w:pPr>
            <w:r>
              <w:rPr>
                <w:rFonts w:ascii="Arial" w:cs="Arial" w:eastAsia="Arial" w:hAnsi="Arial"/>
                <w:sz w:val="18"/>
                <w:szCs w:val="18"/>
                <w:b w:val="1"/>
                <w:bCs w:val="1"/>
                <w:color w:val="auto"/>
              </w:rPr>
              <w:t>2024</w:t>
            </w:r>
          </w:p>
        </w:tc>
        <w:tc>
          <w:tcPr>
            <w:tcW w:w="200" w:type="dxa"/>
            <w:vAlign w:val="bottom"/>
          </w:tcPr>
          <w:p>
            <w:pPr>
              <w:ind w:left="60"/>
              <w:spacing w:after="0"/>
              <w:rPr>
                <w:sz w:val="20"/>
                <w:szCs w:val="20"/>
                <w:color w:val="auto"/>
              </w:rPr>
            </w:pPr>
            <w:r>
              <w:rPr>
                <w:rFonts w:ascii="Arial" w:cs="Arial" w:eastAsia="Arial" w:hAnsi="Arial"/>
                <w:sz w:val="18"/>
                <w:szCs w:val="18"/>
                <w:b w:val="1"/>
                <w:bCs w:val="1"/>
                <w:color w:val="auto"/>
              </w:rPr>
              <w:t>​ ​</w:t>
            </w: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rPr>
              <w:t>​108,391</w:t>
            </w:r>
          </w:p>
        </w:tc>
        <w:tc>
          <w:tcPr>
            <w:tcW w:w="200" w:type="dxa"/>
            <w:vAlign w:val="bottom"/>
          </w:tcPr>
          <w:p>
            <w:pPr>
              <w:jc w:val="center"/>
              <w:spacing w:after="0"/>
              <w:rPr>
                <w:sz w:val="20"/>
                <w:szCs w:val="20"/>
                <w:color w:val="auto"/>
              </w:rPr>
            </w:pPr>
            <w:r>
              <w:rPr>
                <w:rFonts w:ascii="Arial" w:cs="Arial" w:eastAsia="Arial" w:hAnsi="Arial"/>
                <w:sz w:val="18"/>
                <w:szCs w:val="18"/>
                <w:b w:val="1"/>
                <w:bCs w:val="1"/>
                <w:color w:val="auto"/>
              </w:rPr>
              <w:t>​​ ​</w:t>
            </w: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rPr>
              <w:t>​85,938</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 ​</w:t>
            </w: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rPr>
              <w:t>​194,329</w:t>
            </w:r>
          </w:p>
        </w:tc>
        <w:tc>
          <w:tcPr>
            <w:tcW w:w="220" w:type="dxa"/>
            <w:vAlign w:val="bottom"/>
          </w:tcPr>
          <w:p>
            <w:pPr>
              <w:spacing w:after="0"/>
              <w:rPr>
                <w:sz w:val="20"/>
                <w:szCs w:val="20"/>
                <w:color w:val="auto"/>
              </w:rPr>
            </w:pPr>
            <w:r>
              <w:rPr>
                <w:rFonts w:ascii="Arial" w:cs="Arial" w:eastAsia="Arial" w:hAnsi="Arial"/>
                <w:sz w:val="18"/>
                <w:szCs w:val="18"/>
                <w:b w:val="1"/>
                <w:bCs w:val="1"/>
                <w:color w:val="auto"/>
              </w:rPr>
              <w:t>​</w:t>
            </w:r>
          </w:p>
        </w:tc>
        <w:tc>
          <w:tcPr>
            <w:tcW w:w="1400" w:type="dxa"/>
            <w:vAlign w:val="bottom"/>
          </w:tcPr>
          <w:p>
            <w:pPr>
              <w:ind w:left="240"/>
              <w:spacing w:after="0"/>
              <w:rPr>
                <w:sz w:val="20"/>
                <w:szCs w:val="20"/>
                <w:color w:val="auto"/>
              </w:rPr>
            </w:pPr>
            <w:r>
              <w:rPr>
                <w:rFonts w:ascii="Arial" w:cs="Arial" w:eastAsia="Arial" w:hAnsi="Arial"/>
                <w:sz w:val="18"/>
                <w:szCs w:val="18"/>
                <w:b w:val="1"/>
                <w:bCs w:val="1"/>
                <w:color w:val="auto"/>
              </w:rPr>
              <w:t>​25,361,379</w:t>
            </w:r>
          </w:p>
        </w:tc>
        <w:tc>
          <w:tcPr>
            <w:tcW w:w="220" w:type="dxa"/>
            <w:vAlign w:val="bottom"/>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center"/>
              <w:spacing w:after="0"/>
              <w:rPr>
                <w:sz w:val="20"/>
                <w:szCs w:val="20"/>
                <w:color w:val="auto"/>
              </w:rPr>
            </w:pPr>
            <w:r>
              <w:rPr>
                <w:rFonts w:ascii="Arial" w:cs="Arial" w:eastAsia="Arial" w:hAnsi="Arial"/>
                <w:sz w:val="18"/>
                <w:szCs w:val="18"/>
                <w:b w:val="1"/>
                <w:bCs w:val="1"/>
                <w:color w:val="auto"/>
              </w:rPr>
              <w:t>​0.77</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57"/>
        </w:trPr>
        <w:tc>
          <w:tcPr>
            <w:tcW w:w="2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2025</w:t>
            </w:r>
          </w:p>
        </w:tc>
        <w:tc>
          <w:tcPr>
            <w:tcW w:w="20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 ​</w:t>
            </w:r>
          </w:p>
        </w:tc>
        <w:tc>
          <w:tcPr>
            <w:tcW w:w="92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rPr>
              <w:t>​117,739</w:t>
            </w:r>
          </w:p>
        </w:tc>
        <w:tc>
          <w:tcPr>
            <w:tcW w:w="2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rPr>
              <w:t>​​ ​</w:t>
            </w:r>
          </w:p>
        </w:tc>
        <w:tc>
          <w:tcPr>
            <w:tcW w:w="100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rPr>
              <w:t>​55,386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 ​</w:t>
            </w:r>
          </w:p>
        </w:tc>
        <w:tc>
          <w:tcPr>
            <w:tcW w:w="90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rPr>
              <w:t>​173,125</w:t>
            </w:r>
          </w:p>
        </w:tc>
        <w:tc>
          <w:tcPr>
            <w:tcW w:w="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400" w:type="dxa"/>
            <w:vAlign w:val="bottom"/>
            <w:tcBorders>
              <w:right w:val="single" w:sz="8" w:color="CCEEFF"/>
            </w:tcBorders>
            <w:shd w:val="clear" w:color="auto" w:fill="CCEEFF"/>
          </w:tcPr>
          <w:p>
            <w:pPr>
              <w:ind w:left="240"/>
              <w:spacing w:after="0"/>
              <w:rPr>
                <w:sz w:val="20"/>
                <w:szCs w:val="20"/>
                <w:color w:val="auto"/>
              </w:rPr>
            </w:pPr>
            <w:r>
              <w:rPr>
                <w:rFonts w:ascii="Arial" w:cs="Arial" w:eastAsia="Arial" w:hAnsi="Arial"/>
                <w:sz w:val="18"/>
                <w:szCs w:val="18"/>
                <w:b w:val="1"/>
                <w:bCs w:val="1"/>
                <w:color w:val="auto"/>
              </w:rPr>
              <w:t>​32,267,365</w:t>
            </w:r>
          </w:p>
        </w:tc>
        <w:tc>
          <w:tcPr>
            <w:tcW w:w="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rPr>
              <w:t>​0.54</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322"/>
        </w:trPr>
        <w:tc>
          <w:tcPr>
            <w:tcW w:w="2220" w:type="dxa"/>
            <w:vAlign w:val="bottom"/>
          </w:tcPr>
          <w:p>
            <w:pPr>
              <w:spacing w:after="0"/>
              <w:rPr>
                <w:sz w:val="20"/>
                <w:szCs w:val="20"/>
                <w:color w:val="auto"/>
              </w:rPr>
            </w:pPr>
            <w:r>
              <w:rPr>
                <w:rFonts w:ascii="Arial" w:cs="Arial" w:eastAsia="Arial" w:hAnsi="Arial"/>
                <w:sz w:val="18"/>
                <w:szCs w:val="18"/>
                <w:b w:val="1"/>
                <w:bCs w:val="1"/>
                <w:color w:val="auto"/>
              </w:rPr>
              <w:t>2026 (projected)</w:t>
            </w:r>
          </w:p>
        </w:tc>
        <w:tc>
          <w:tcPr>
            <w:tcW w:w="200" w:type="dxa"/>
            <w:vAlign w:val="bottom"/>
          </w:tcPr>
          <w:p>
            <w:pPr>
              <w:ind w:left="60"/>
              <w:spacing w:after="0"/>
              <w:rPr>
                <w:sz w:val="20"/>
                <w:szCs w:val="20"/>
                <w:color w:val="auto"/>
              </w:rPr>
            </w:pPr>
            <w:r>
              <w:rPr>
                <w:rFonts w:ascii="Arial" w:cs="Arial" w:eastAsia="Arial" w:hAnsi="Arial"/>
                <w:sz w:val="18"/>
                <w:szCs w:val="18"/>
                <w:color w:val="auto"/>
              </w:rPr>
              <w:t>​ ​</w:t>
            </w:r>
          </w:p>
        </w:tc>
        <w:tc>
          <w:tcPr>
            <w:tcW w:w="920" w:type="dxa"/>
            <w:vAlign w:val="bottom"/>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131,892</w:t>
            </w:r>
          </w:p>
        </w:tc>
        <w:tc>
          <w:tcPr>
            <w:tcW w:w="200" w:type="dxa"/>
            <w:vAlign w:val="bottom"/>
          </w:tcPr>
          <w:p>
            <w:pPr>
              <w:jc w:val="center"/>
              <w:spacing w:after="0"/>
              <w:rPr>
                <w:sz w:val="20"/>
                <w:szCs w:val="20"/>
                <w:color w:val="auto"/>
              </w:rPr>
            </w:pPr>
            <w:r>
              <w:rPr>
                <w:rFonts w:ascii="Arial" w:cs="Arial" w:eastAsia="Arial" w:hAnsi="Arial"/>
                <w:sz w:val="18"/>
                <w:szCs w:val="18"/>
                <w:color w:val="auto"/>
              </w:rPr>
              <w:t>​​ ​</w:t>
            </w:r>
          </w:p>
        </w:tc>
        <w:tc>
          <w:tcPr>
            <w:tcW w:w="1000" w:type="dxa"/>
            <w:vAlign w:val="bottom"/>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69,558</w:t>
            </w:r>
          </w:p>
        </w:tc>
        <w:tc>
          <w:tcPr>
            <w:tcW w:w="180" w:type="dxa"/>
            <w:vAlign w:val="bottom"/>
          </w:tcPr>
          <w:p>
            <w:pPr>
              <w:jc w:val="right"/>
              <w:spacing w:after="0"/>
              <w:rPr>
                <w:sz w:val="20"/>
                <w:szCs w:val="20"/>
                <w:color w:val="auto"/>
              </w:rPr>
            </w:pPr>
            <w:r>
              <w:rPr>
                <w:rFonts w:ascii="Arial" w:cs="Arial" w:eastAsia="Arial" w:hAnsi="Arial"/>
                <w:sz w:val="18"/>
                <w:szCs w:val="18"/>
                <w:color w:val="auto"/>
              </w:rPr>
              <w:t>​​ ​</w:t>
            </w:r>
          </w:p>
        </w:tc>
        <w:tc>
          <w:tcPr>
            <w:tcW w:w="900" w:type="dxa"/>
            <w:vAlign w:val="bottom"/>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201,450</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400" w:type="dxa"/>
            <w:vAlign w:val="bottom"/>
          </w:tcPr>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33,279,563</w:t>
            </w:r>
            <w:r>
              <w:rPr>
                <w:rFonts w:ascii="Arial" w:cs="Arial" w:eastAsia="Arial" w:hAnsi="Arial"/>
                <w:sz w:val="23"/>
                <w:szCs w:val="23"/>
                <w:b w:val="1"/>
                <w:bCs w:val="1"/>
                <w:color w:val="auto"/>
                <w:vertAlign w:val="superscript"/>
              </w:rPr>
              <w:t>(2)</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0.61</w:t>
            </w:r>
          </w:p>
        </w:tc>
        <w:tc>
          <w:tcPr>
            <w:tcW w:w="60" w:type="dxa"/>
            <w:vAlign w:val="bottom"/>
          </w:tcPr>
          <w:p>
            <w:pPr>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5403215</wp:posOffset>
            </wp:positionH>
            <wp:positionV relativeFrom="paragraph">
              <wp:posOffset>-701040</wp:posOffset>
            </wp:positionV>
            <wp:extent cx="13716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4366260</wp:posOffset>
            </wp:positionH>
            <wp:positionV relativeFrom="paragraph">
              <wp:posOffset>-701040</wp:posOffset>
            </wp:positionV>
            <wp:extent cx="13716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3680460</wp:posOffset>
            </wp:positionH>
            <wp:positionV relativeFrom="paragraph">
              <wp:posOffset>-701040</wp:posOffset>
            </wp:positionV>
            <wp:extent cx="12001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2926080</wp:posOffset>
            </wp:positionH>
            <wp:positionV relativeFrom="paragraph">
              <wp:posOffset>-701040</wp:posOffset>
            </wp:positionV>
            <wp:extent cx="12001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2214245</wp:posOffset>
            </wp:positionH>
            <wp:positionV relativeFrom="paragraph">
              <wp:posOffset>-701040</wp:posOffset>
            </wp:positionV>
            <wp:extent cx="12001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104140</wp:posOffset>
            </wp:positionV>
            <wp:extent cx="123444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97" w:lineRule="exact"/>
        <w:rPr>
          <w:sz w:val="20"/>
          <w:szCs w:val="20"/>
          <w:color w:val="auto"/>
        </w:rPr>
      </w:pPr>
    </w:p>
    <w:p>
      <w:pPr>
        <w:ind w:left="1620" w:right="419" w:hanging="360"/>
        <w:spacing w:after="0" w:line="305" w:lineRule="auto"/>
        <w:tabs>
          <w:tab w:leader="none" w:pos="1620" w:val="left"/>
        </w:tabs>
        <w:numPr>
          <w:ilvl w:val="0"/>
          <w:numId w:val="62"/>
        </w:numPr>
        <w:rPr>
          <w:rFonts w:ascii="Arial" w:cs="Arial" w:eastAsia="Arial" w:hAnsi="Arial"/>
          <w:sz w:val="14"/>
          <w:szCs w:val="14"/>
          <w:color w:val="auto"/>
        </w:rPr>
      </w:pPr>
      <w:r>
        <w:rPr>
          <w:rFonts w:ascii="Arial" w:cs="Arial" w:eastAsia="Arial" w:hAnsi="Arial"/>
          <w:sz w:val="14"/>
          <w:szCs w:val="14"/>
          <w:color w:val="auto"/>
        </w:rPr>
        <w:t>Annual share usage or “burn rate” is determined by dividing total awards granted by the basic weighted average common shares outstanding. Performance shares are included at target level.</w:t>
      </w:r>
    </w:p>
    <w:p>
      <w:pPr>
        <w:spacing w:after="0" w:line="22" w:lineRule="exact"/>
        <w:rPr>
          <w:rFonts w:ascii="Arial" w:cs="Arial" w:eastAsia="Arial" w:hAnsi="Arial"/>
          <w:sz w:val="14"/>
          <w:szCs w:val="14"/>
          <w:color w:val="auto"/>
        </w:rPr>
      </w:pPr>
    </w:p>
    <w:p>
      <w:pPr>
        <w:ind w:left="1620" w:right="419" w:hanging="360"/>
        <w:spacing w:after="0" w:line="305" w:lineRule="auto"/>
        <w:tabs>
          <w:tab w:leader="none" w:pos="1620" w:val="left"/>
        </w:tabs>
        <w:numPr>
          <w:ilvl w:val="0"/>
          <w:numId w:val="62"/>
        </w:numPr>
        <w:rPr>
          <w:rFonts w:ascii="Arial" w:cs="Arial" w:eastAsia="Arial" w:hAnsi="Arial"/>
          <w:sz w:val="14"/>
          <w:szCs w:val="14"/>
          <w:color w:val="auto"/>
        </w:rPr>
      </w:pPr>
      <w:r>
        <w:rPr>
          <w:rFonts w:ascii="Arial" w:cs="Arial" w:eastAsia="Arial" w:hAnsi="Arial"/>
          <w:sz w:val="14"/>
          <w:szCs w:val="14"/>
          <w:color w:val="auto"/>
        </w:rPr>
        <w:t>Represents projected weighted average shares outstanding as of the year ending December 31, 2026, assuming no change to number of shares outstanding as of April 16, 2026.</w:t>
      </w:r>
    </w:p>
    <w:p>
      <w:pPr>
        <w:spacing w:after="0" w:line="81"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Modest Stockholder Dilution</w:t>
      </w:r>
      <w:r>
        <w:rPr>
          <w:rFonts w:ascii="Arial" w:cs="Arial" w:eastAsia="Arial" w:hAnsi="Arial"/>
          <w:sz w:val="18"/>
          <w:szCs w:val="18"/>
          <w:color w:val="auto"/>
        </w:rPr>
        <w:t>.</w:t>
      </w:r>
    </w:p>
    <w:p>
      <w:pPr>
        <w:spacing w:after="0" w:line="117" w:lineRule="exact"/>
        <w:rPr>
          <w:sz w:val="20"/>
          <w:szCs w:val="20"/>
          <w:color w:val="auto"/>
        </w:rPr>
      </w:pPr>
    </w:p>
    <w:p>
      <w:pPr>
        <w:jc w:val="both"/>
        <w:ind w:left="1800" w:right="419" w:hanging="180"/>
        <w:spacing w:after="0" w:line="259" w:lineRule="auto"/>
        <w:tabs>
          <w:tab w:leader="none" w:pos="18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We are committed to limiting stockholder dilution from our equity compensation programs. If the increase in the additional Shares under the amendment to the 2010 Plan is approved by our stockholders, our overhang would be 4.82. We calculate “overhang” as the total of (i) Shares underlying outstanding awards at target plus Shares available for issuance for future awards, divided by (ii) the total number of Shares outstanding.</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7" w:name="page68"/>
    <w:bookmarkEnd w:id="6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auto"/>
        </w:rPr>
        <w:t>As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rPr>
              <w:t>Stock</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rPr>
              <w:t>Options</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80" w:type="dxa"/>
            <w:vAlign w:val="bottom"/>
          </w:tcPr>
          <w:p>
            <w:pPr>
              <w:spacing w:after="0"/>
              <w:rPr>
                <w:sz w:val="14"/>
                <w:szCs w:val="14"/>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Weighted</w:t>
            </w: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9"/>
              </w:rPr>
              <w:t>Total Full</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center"/>
              <w:ind w:right="28"/>
              <w:spacing w:after="0"/>
              <w:rPr>
                <w:sz w:val="20"/>
                <w:szCs w:val="20"/>
                <w:color w:val="auto"/>
              </w:rPr>
            </w:pPr>
            <w:r>
              <w:rPr>
                <w:rFonts w:ascii="Arial" w:cs="Arial" w:eastAsia="Arial" w:hAnsi="Arial"/>
                <w:sz w:val="14"/>
                <w:szCs w:val="14"/>
                <w:b w:val="1"/>
                <w:bCs w:val="1"/>
                <w:color w:val="auto"/>
                <w:w w:val="95"/>
              </w:rPr>
              <w:t>Total</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Diluted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40" w:type="dxa"/>
            <w:vAlign w:val="bottom"/>
          </w:tcPr>
          <w:p>
            <w:pPr>
              <w:spacing w:after="0"/>
              <w:rPr>
                <w:sz w:val="14"/>
                <w:szCs w:val="14"/>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Stock</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80" w:type="dxa"/>
            <w:vAlign w:val="bottom"/>
          </w:tcPr>
          <w:p>
            <w:pPr>
              <w:spacing w:after="0"/>
              <w:rPr>
                <w:sz w:val="14"/>
                <w:szCs w:val="14"/>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Average</w:t>
            </w: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Value</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center"/>
              <w:ind w:right="28"/>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Common</w:t>
            </w: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Common</w:t>
            </w:r>
          </w:p>
        </w:tc>
        <w:tc>
          <w:tcPr>
            <w:tcW w:w="5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Total</w:t>
            </w:r>
          </w:p>
        </w:tc>
      </w:tr>
      <w:tr>
        <w:trPr>
          <w:trHeight w:val="162"/>
        </w:trPr>
        <w:tc>
          <w:tcPr>
            <w:tcW w:w="40" w:type="dxa"/>
            <w:vAlign w:val="bottom"/>
          </w:tcPr>
          <w:p>
            <w:pPr>
              <w:spacing w:after="0"/>
              <w:rPr>
                <w:sz w:val="14"/>
                <w:szCs w:val="14"/>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Options</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rPr>
              <w:t>Exercise</w:t>
            </w:r>
          </w:p>
        </w:tc>
        <w:tc>
          <w:tcPr>
            <w:tcW w:w="80" w:type="dxa"/>
            <w:vAlign w:val="bottom"/>
          </w:tcPr>
          <w:p>
            <w:pPr>
              <w:spacing w:after="0"/>
              <w:rPr>
                <w:sz w:val="14"/>
                <w:szCs w:val="14"/>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Remaining</w:t>
            </w: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Awards</w:t>
            </w:r>
          </w:p>
        </w:tc>
        <w:tc>
          <w:tcPr>
            <w:tcW w:w="960" w:type="dxa"/>
            <w:vAlign w:val="bottom"/>
            <w:gridSpan w:val="3"/>
          </w:tcPr>
          <w:p>
            <w:pPr>
              <w:ind w:left="100"/>
              <w:spacing w:after="0"/>
              <w:rPr>
                <w:sz w:val="20"/>
                <w:szCs w:val="20"/>
                <w:color w:val="auto"/>
              </w:rPr>
            </w:pPr>
            <w:r>
              <w:rPr>
                <w:rFonts w:ascii="Arial" w:cs="Arial" w:eastAsia="Arial" w:hAnsi="Arial"/>
                <w:sz w:val="14"/>
                <w:szCs w:val="14"/>
                <w:b w:val="1"/>
                <w:bCs w:val="1"/>
                <w:color w:val="auto"/>
              </w:rPr>
              <w:t>Shares</w:t>
            </w:r>
          </w:p>
        </w:tc>
        <w:tc>
          <w:tcPr>
            <w:tcW w:w="740" w:type="dxa"/>
            <w:vAlign w:val="bottom"/>
          </w:tcPr>
          <w:p>
            <w:pPr>
              <w:jc w:val="center"/>
              <w:ind w:right="28"/>
              <w:spacing w:after="0"/>
              <w:rPr>
                <w:sz w:val="20"/>
                <w:szCs w:val="20"/>
                <w:color w:val="auto"/>
              </w:rPr>
            </w:pPr>
            <w:r>
              <w:rPr>
                <w:rFonts w:ascii="Arial" w:cs="Arial" w:eastAsia="Arial" w:hAnsi="Arial"/>
                <w:sz w:val="14"/>
                <w:szCs w:val="14"/>
                <w:b w:val="1"/>
                <w:bCs w:val="1"/>
                <w:color w:val="auto"/>
              </w:rPr>
              <w:t>Within</w:t>
            </w:r>
          </w:p>
        </w:tc>
        <w:tc>
          <w:tcPr>
            <w:tcW w:w="120" w:type="dxa"/>
            <w:vAlign w:val="bottom"/>
          </w:tcPr>
          <w:p>
            <w:pPr>
              <w:spacing w:after="0"/>
              <w:rPr>
                <w:sz w:val="14"/>
                <w:szCs w:val="14"/>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Shares</w:t>
            </w: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Shares</w:t>
            </w:r>
          </w:p>
        </w:tc>
        <w:tc>
          <w:tcPr>
            <w:tcW w:w="5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Equity</w:t>
            </w:r>
          </w:p>
        </w:tc>
      </w:tr>
      <w:tr>
        <w:trPr>
          <w:trHeight w:val="198"/>
        </w:trPr>
        <w:tc>
          <w:tcPr>
            <w:tcW w:w="1900" w:type="dxa"/>
            <w:vAlign w:val="bottom"/>
            <w:gridSpan w:val="4"/>
          </w:tcPr>
          <w:p>
            <w:pPr>
              <w:spacing w:after="0" w:line="199" w:lineRule="exact"/>
              <w:rPr>
                <w:sz w:val="20"/>
                <w:szCs w:val="20"/>
                <w:color w:val="auto"/>
              </w:rPr>
            </w:pPr>
            <w:r>
              <w:rPr>
                <w:rFonts w:ascii="Arial" w:cs="Arial" w:eastAsia="Arial" w:hAnsi="Arial"/>
                <w:sz w:val="22"/>
                <w:szCs w:val="22"/>
                <w:b w:val="1"/>
                <w:bCs w:val="1"/>
                <w:color w:val="auto"/>
                <w:vertAlign w:val="subscript"/>
              </w:rPr>
              <w:t>​​</w:t>
            </w:r>
            <w:r>
              <w:rPr>
                <w:rFonts w:ascii="Arial" w:cs="Arial" w:eastAsia="Arial" w:hAnsi="Arial"/>
                <w:sz w:val="12"/>
                <w:szCs w:val="12"/>
                <w:b w:val="1"/>
                <w:bCs w:val="1"/>
                <w:color w:val="auto"/>
              </w:rPr>
              <w:t xml:space="preserve">Outstanding (#) </w:t>
            </w:r>
            <w:r>
              <w:rPr>
                <w:rFonts w:ascii="Arial" w:cs="Arial" w:eastAsia="Arial" w:hAnsi="Arial"/>
                <w:sz w:val="22"/>
                <w:szCs w:val="22"/>
                <w:b w:val="1"/>
                <w:bCs w:val="1"/>
                <w:color w:val="auto"/>
                <w:vertAlign w:val="subscript"/>
              </w:rPr>
              <w:t>​​</w:t>
            </w:r>
            <w:r>
              <w:rPr>
                <w:rFonts w:ascii="Arial" w:cs="Arial" w:eastAsia="Arial" w:hAnsi="Arial"/>
                <w:sz w:val="12"/>
                <w:szCs w:val="12"/>
                <w:b w:val="1"/>
                <w:bCs w:val="1"/>
                <w:color w:val="auto"/>
              </w:rPr>
              <w:t xml:space="preserve"> Price </w:t>
            </w:r>
            <w:r>
              <w:rPr>
                <w:rFonts w:ascii="Arial" w:cs="Arial" w:eastAsia="Arial" w:hAnsi="Arial"/>
                <w:sz w:val="12"/>
                <w:szCs w:val="12"/>
                <w:b w:val="1"/>
                <w:bCs w:val="1"/>
                <w:u w:val="single" w:color="auto"/>
                <w:color w:val="auto"/>
              </w:rPr>
              <w:t>($</w:t>
            </w:r>
            <w:r>
              <w:rPr>
                <w:rFonts w:ascii="Arial" w:cs="Arial" w:eastAsia="Arial" w:hAnsi="Arial"/>
                <w:sz w:val="12"/>
                <w:szCs w:val="12"/>
                <w:b w:val="1"/>
                <w:bCs w:val="1"/>
                <w:color w:val="auto"/>
              </w:rPr>
              <w:t>)</w:t>
            </w:r>
          </w:p>
        </w:tc>
        <w:tc>
          <w:tcPr>
            <w:tcW w:w="1980" w:type="dxa"/>
            <w:vAlign w:val="bottom"/>
            <w:gridSpan w:val="5"/>
          </w:tcPr>
          <w:p>
            <w:pPr>
              <w:ind w:left="20"/>
              <w:spacing w:after="0" w:line="199" w:lineRule="exact"/>
              <w:rPr>
                <w:sz w:val="20"/>
                <w:szCs w:val="20"/>
                <w:color w:val="auto"/>
              </w:rPr>
            </w:pPr>
            <w:r>
              <w:rPr>
                <w:rFonts w:ascii="Arial" w:cs="Arial" w:eastAsia="Arial" w:hAnsi="Arial"/>
                <w:sz w:val="22"/>
                <w:szCs w:val="22"/>
                <w:b w:val="1"/>
                <w:bCs w:val="1"/>
                <w:color w:val="auto"/>
                <w:vertAlign w:val="subscript"/>
              </w:rPr>
              <w:t>​​</w:t>
            </w:r>
            <w:r>
              <w:rPr>
                <w:rFonts w:ascii="Arial" w:cs="Arial" w:eastAsia="Arial" w:hAnsi="Arial"/>
                <w:sz w:val="12"/>
                <w:szCs w:val="12"/>
                <w:b w:val="1"/>
                <w:bCs w:val="1"/>
                <w:color w:val="auto"/>
              </w:rPr>
              <w:t xml:space="preserve"> Term (Yrs) </w:t>
            </w:r>
            <w:r>
              <w:rPr>
                <w:rFonts w:ascii="Arial" w:cs="Arial" w:eastAsia="Arial" w:hAnsi="Arial"/>
                <w:sz w:val="22"/>
                <w:szCs w:val="22"/>
                <w:b w:val="1"/>
                <w:bCs w:val="1"/>
                <w:color w:val="auto"/>
                <w:vertAlign w:val="subscript"/>
              </w:rPr>
              <w:t>​​</w:t>
            </w:r>
            <w:r>
              <w:rPr>
                <w:rFonts w:ascii="Arial" w:cs="Arial" w:eastAsia="Arial" w:hAnsi="Arial"/>
                <w:sz w:val="12"/>
                <w:szCs w:val="12"/>
                <w:b w:val="1"/>
                <w:bCs w:val="1"/>
                <w:color w:val="auto"/>
              </w:rPr>
              <w:t xml:space="preserve">Outstanding </w:t>
            </w:r>
            <w:r>
              <w:rPr>
                <w:rFonts w:ascii="Arial" w:cs="Arial" w:eastAsia="Arial" w:hAnsi="Arial"/>
                <w:sz w:val="22"/>
                <w:szCs w:val="22"/>
                <w:b w:val="1"/>
                <w:bCs w:val="1"/>
                <w:color w:val="auto"/>
                <w:vertAlign w:val="subscript"/>
              </w:rPr>
              <w:t>​​</w:t>
            </w:r>
          </w:p>
        </w:tc>
        <w:tc>
          <w:tcPr>
            <w:tcW w:w="960" w:type="dxa"/>
            <w:vAlign w:val="bottom"/>
            <w:gridSpan w:val="3"/>
          </w:tcPr>
          <w:p>
            <w:pPr>
              <w:ind w:left="60"/>
              <w:spacing w:after="0" w:line="199" w:lineRule="exact"/>
              <w:rPr>
                <w:sz w:val="20"/>
                <w:szCs w:val="20"/>
                <w:color w:val="auto"/>
              </w:rPr>
            </w:pPr>
            <w:r>
              <w:rPr>
                <w:rFonts w:ascii="Arial" w:cs="Arial" w:eastAsia="Arial" w:hAnsi="Arial"/>
                <w:sz w:val="12"/>
                <w:szCs w:val="12"/>
                <w:b w:val="1"/>
                <w:bCs w:val="1"/>
                <w:color w:val="auto"/>
              </w:rPr>
              <w:t xml:space="preserve">Available  </w:t>
            </w:r>
            <w:r>
              <w:rPr>
                <w:rFonts w:ascii="Arial" w:cs="Arial" w:eastAsia="Arial" w:hAnsi="Arial"/>
                <w:sz w:val="22"/>
                <w:szCs w:val="22"/>
                <w:b w:val="1"/>
                <w:bCs w:val="1"/>
                <w:color w:val="auto"/>
                <w:vertAlign w:val="subscript"/>
              </w:rPr>
              <w:t>​​</w:t>
            </w:r>
          </w:p>
        </w:tc>
        <w:tc>
          <w:tcPr>
            <w:tcW w:w="740" w:type="dxa"/>
            <w:vAlign w:val="bottom"/>
          </w:tcPr>
          <w:p>
            <w:pPr>
              <w:jc w:val="center"/>
              <w:ind w:right="8"/>
              <w:spacing w:after="0"/>
              <w:rPr>
                <w:sz w:val="20"/>
                <w:szCs w:val="20"/>
                <w:color w:val="auto"/>
              </w:rPr>
            </w:pPr>
            <w:r>
              <w:rPr>
                <w:rFonts w:ascii="Arial" w:cs="Arial" w:eastAsia="Arial" w:hAnsi="Arial"/>
                <w:sz w:val="14"/>
                <w:szCs w:val="14"/>
                <w:b w:val="1"/>
                <w:bCs w:val="1"/>
                <w:color w:val="auto"/>
              </w:rPr>
              <w:t>Plans</w:t>
            </w:r>
          </w:p>
        </w:tc>
        <w:tc>
          <w:tcPr>
            <w:tcW w:w="2740" w:type="dxa"/>
            <w:vAlign w:val="bottom"/>
            <w:gridSpan w:val="7"/>
          </w:tcPr>
          <w:p>
            <w:pPr>
              <w:ind w:left="40"/>
              <w:spacing w:after="0" w:line="199" w:lineRule="exact"/>
              <w:rPr>
                <w:sz w:val="20"/>
                <w:szCs w:val="20"/>
                <w:color w:val="auto"/>
              </w:rPr>
            </w:pPr>
            <w:r>
              <w:rPr>
                <w:rFonts w:ascii="Arial" w:cs="Arial" w:eastAsia="Arial" w:hAnsi="Arial"/>
                <w:sz w:val="22"/>
                <w:szCs w:val="22"/>
                <w:b w:val="1"/>
                <w:bCs w:val="1"/>
                <w:color w:val="auto"/>
                <w:vertAlign w:val="subscript"/>
              </w:rPr>
              <w:t>​​</w:t>
            </w:r>
            <w:r>
              <w:rPr>
                <w:rFonts w:ascii="Arial" w:cs="Arial" w:eastAsia="Arial" w:hAnsi="Arial"/>
                <w:sz w:val="12"/>
                <w:szCs w:val="12"/>
                <w:b w:val="1"/>
                <w:bCs w:val="1"/>
                <w:color w:val="auto"/>
              </w:rPr>
              <w:t xml:space="preserve"> Outstanding </w:t>
            </w:r>
            <w:r>
              <w:rPr>
                <w:rFonts w:ascii="Arial" w:cs="Arial" w:eastAsia="Arial" w:hAnsi="Arial"/>
                <w:sz w:val="22"/>
                <w:szCs w:val="22"/>
                <w:b w:val="1"/>
                <w:bCs w:val="1"/>
                <w:color w:val="auto"/>
                <w:vertAlign w:val="subscript"/>
              </w:rPr>
              <w:t>​​</w:t>
            </w:r>
            <w:r>
              <w:rPr>
                <w:rFonts w:ascii="Arial" w:cs="Arial" w:eastAsia="Arial" w:hAnsi="Arial"/>
                <w:sz w:val="12"/>
                <w:szCs w:val="12"/>
                <w:b w:val="1"/>
                <w:bCs w:val="1"/>
                <w:color w:val="auto"/>
              </w:rPr>
              <w:t xml:space="preserve"> Outstanding </w:t>
            </w:r>
            <w:r>
              <w:rPr>
                <w:rFonts w:ascii="Arial" w:cs="Arial" w:eastAsia="Arial" w:hAnsi="Arial"/>
                <w:sz w:val="22"/>
                <w:szCs w:val="22"/>
                <w:b w:val="1"/>
                <w:bCs w:val="1"/>
                <w:color w:val="auto"/>
                <w:vertAlign w:val="subscript"/>
              </w:rPr>
              <w:t>​​</w:t>
            </w:r>
            <w:r>
              <w:rPr>
                <w:rFonts w:ascii="Arial" w:cs="Arial" w:eastAsia="Arial" w:hAnsi="Arial"/>
                <w:sz w:val="12"/>
                <w:szCs w:val="12"/>
                <w:b w:val="1"/>
                <w:bCs w:val="1"/>
                <w:color w:val="auto"/>
              </w:rPr>
              <w:t>Dilution</w:t>
            </w:r>
            <w:r>
              <w:rPr>
                <w:rFonts w:ascii="Arial" w:cs="Arial" w:eastAsia="Arial" w:hAnsi="Arial"/>
                <w:sz w:val="22"/>
                <w:szCs w:val="22"/>
                <w:b w:val="1"/>
                <w:bCs w:val="1"/>
                <w:color w:val="auto"/>
                <w:vertAlign w:val="subscript"/>
              </w:rPr>
              <w:t>​</w:t>
            </w:r>
          </w:p>
        </w:tc>
      </w:tr>
      <w:tr>
        <w:trPr>
          <w:trHeight w:val="20"/>
        </w:trPr>
        <w:tc>
          <w:tcPr>
            <w:tcW w:w="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4848860</wp:posOffset>
            </wp:positionH>
            <wp:positionV relativeFrom="paragraph">
              <wp:posOffset>-7620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4197350</wp:posOffset>
            </wp:positionH>
            <wp:positionV relativeFrom="paragraph">
              <wp:posOffset>-7620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-7620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-7620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2362835</wp:posOffset>
            </wp:positionH>
            <wp:positionV relativeFrom="paragraph">
              <wp:posOffset>-7620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1753870</wp:posOffset>
            </wp:positionH>
            <wp:positionV relativeFrom="paragraph">
              <wp:posOffset>-7620</wp:posOffset>
            </wp:positionV>
            <wp:extent cx="5143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-7620</wp:posOffset>
            </wp:positionV>
            <wp:extent cx="5143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716915</wp:posOffset>
            </wp:positionH>
            <wp:positionV relativeFrom="paragraph">
              <wp:posOffset>-7620</wp:posOffset>
            </wp:positionV>
            <wp:extent cx="5143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-7620</wp:posOffset>
            </wp:positionV>
            <wp:extent cx="5143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1220" w:space="720"/>
            <w:col w:w="8360"/>
          </w:cols>
          <w:pgMar w:left="580" w:top="97" w:right="1019" w:bottom="1440" w:gutter="0" w:footer="0" w:header="0"/>
        </w:sectPr>
      </w:pPr>
    </w:p>
    <w:tbl>
      <w:tblPr>
        <w:tblLayout w:type="fixed"/>
        <w:tblInd w:w="500" w:type="dxa"/>
        <w:tblCellMar>
          <w:top w:w="0" w:type="dxa"/>
          <w:left w:w="0" w:type="dxa"/>
          <w:bottom w:w="0" w:type="dxa"/>
          <w:right w:w="0" w:type="dxa"/>
        </w:tblCellMar>
      </w:tblPr>
      <w:tr>
        <w:trPr>
          <w:trHeight w:val="223"/>
        </w:trPr>
        <w:tc>
          <w:tcPr>
            <w:tcW w:w="1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April 16, 2026</w:t>
            </w:r>
          </w:p>
        </w:tc>
        <w:tc>
          <w:tcPr>
            <w:tcW w:w="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n/a</w:t>
            </w:r>
          </w:p>
        </w:tc>
        <w:tc>
          <w:tcPr>
            <w:tcW w:w="104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t>
            </w:r>
            <w:r>
              <w:rPr>
                <w:rFonts w:ascii="Arial" w:cs="Arial" w:eastAsia="Arial" w:hAnsi="Arial"/>
                <w:sz w:val="18"/>
                <w:szCs w:val="18"/>
                <w:color w:val="auto"/>
              </w:rPr>
              <w:t>314,382</w:t>
            </w:r>
          </w:p>
        </w:tc>
        <w:tc>
          <w:tcPr>
            <w:tcW w:w="4620" w:type="dxa"/>
            <w:vAlign w:val="bottom"/>
            <w:tcBorders>
              <w:top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106,156​​​</w:t>
            </w:r>
            <w:r>
              <w:rPr>
                <w:rFonts w:ascii="Arial" w:cs="Arial" w:eastAsia="Arial" w:hAnsi="Arial"/>
                <w:sz w:val="18"/>
                <w:szCs w:val="18"/>
                <w:b w:val="1"/>
                <w:bCs w:val="1"/>
                <w:color w:val="auto"/>
              </w:rPr>
              <w:t>​</w:t>
            </w:r>
            <w:r>
              <w:rPr>
                <w:rFonts w:ascii="Arial" w:cs="Arial" w:eastAsia="Arial" w:hAnsi="Arial"/>
                <w:sz w:val="18"/>
                <w:szCs w:val="18"/>
                <w:color w:val="auto"/>
              </w:rPr>
              <w:t xml:space="preserve"> 420,538​​​</w:t>
            </w:r>
            <w:r>
              <w:rPr>
                <w:rFonts w:ascii="Arial" w:cs="Arial" w:eastAsia="Arial" w:hAnsi="Arial"/>
                <w:sz w:val="18"/>
                <w:szCs w:val="18"/>
                <w:b w:val="1"/>
                <w:bCs w:val="1"/>
                <w:color w:val="auto"/>
              </w:rPr>
              <w:t>​</w:t>
            </w:r>
            <w:r>
              <w:rPr>
                <w:rFonts w:ascii="Arial" w:cs="Arial" w:eastAsia="Arial" w:hAnsi="Arial"/>
                <w:sz w:val="18"/>
                <w:szCs w:val="18"/>
                <w:color w:val="auto"/>
              </w:rPr>
              <w:t>33,783,592​​​</w:t>
            </w:r>
            <w:r>
              <w:rPr>
                <w:rFonts w:ascii="Arial" w:cs="Arial" w:eastAsia="Arial" w:hAnsi="Arial"/>
                <w:sz w:val="18"/>
                <w:szCs w:val="18"/>
                <w:b w:val="1"/>
                <w:bCs w:val="1"/>
                <w:color w:val="auto"/>
              </w:rPr>
              <w:t>​</w:t>
            </w:r>
            <w:r>
              <w:rPr>
                <w:rFonts w:ascii="Arial" w:cs="Arial" w:eastAsia="Arial" w:hAnsi="Arial"/>
                <w:sz w:val="18"/>
                <w:szCs w:val="18"/>
                <w:color w:val="auto"/>
              </w:rPr>
              <w:t xml:space="preserve">34,204,130​​​ </w:t>
            </w:r>
            <w:r>
              <w:rPr>
                <w:rFonts w:ascii="Arial" w:cs="Arial" w:eastAsia="Arial" w:hAnsi="Arial"/>
                <w:sz w:val="18"/>
                <w:szCs w:val="18"/>
                <w:b w:val="1"/>
                <w:bCs w:val="1"/>
                <w:color w:val="auto"/>
              </w:rPr>
              <w:t>​</w:t>
            </w:r>
            <w:r>
              <w:rPr>
                <w:rFonts w:ascii="Arial" w:cs="Arial" w:eastAsia="Arial" w:hAnsi="Arial"/>
                <w:sz w:val="18"/>
                <w:szCs w:val="18"/>
                <w:color w:val="auto"/>
              </w:rPr>
              <w:t>1.23%</w:t>
            </w:r>
          </w:p>
        </w:tc>
        <w:tc>
          <w:tcPr>
            <w:tcW w:w="8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38"/>
        </w:trPr>
        <w:tc>
          <w:tcPr>
            <w:tcW w:w="1400" w:type="dxa"/>
            <w:vAlign w:val="bottom"/>
          </w:tcPr>
          <w:p>
            <w:pPr>
              <w:spacing w:after="0"/>
              <w:rPr>
                <w:sz w:val="20"/>
                <w:szCs w:val="20"/>
                <w:color w:val="auto"/>
              </w:rPr>
            </w:pPr>
            <w:r>
              <w:rPr>
                <w:rFonts w:ascii="Arial" w:cs="Arial" w:eastAsia="Arial" w:hAnsi="Arial"/>
                <w:sz w:val="18"/>
                <w:szCs w:val="18"/>
                <w:color w:val="auto"/>
                <w:w w:val="99"/>
              </w:rPr>
              <w:t>Additional shares</w:t>
            </w: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5"/>
        </w:trPr>
        <w:tc>
          <w:tcPr>
            <w:tcW w:w="1400" w:type="dxa"/>
            <w:vAlign w:val="bottom"/>
          </w:tcPr>
          <w:p>
            <w:pPr>
              <w:ind w:left="180"/>
              <w:spacing w:after="0"/>
              <w:rPr>
                <w:sz w:val="20"/>
                <w:szCs w:val="20"/>
                <w:color w:val="auto"/>
              </w:rPr>
            </w:pPr>
            <w:r>
              <w:rPr>
                <w:rFonts w:ascii="Arial" w:cs="Arial" w:eastAsia="Arial" w:hAnsi="Arial"/>
                <w:sz w:val="18"/>
                <w:szCs w:val="18"/>
                <w:color w:val="auto"/>
              </w:rPr>
              <w:t>requested</w:t>
            </w: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600" w:type="dxa"/>
            <w:vAlign w:val="bottom"/>
          </w:tcPr>
          <w:p>
            <w:pPr>
              <w:ind w:left="20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440" w:type="dxa"/>
            <w:vAlign w:val="bottom"/>
          </w:tcPr>
          <w:p>
            <w:pPr>
              <w:ind w:left="240"/>
              <w:spacing w:after="0"/>
              <w:rPr>
                <w:sz w:val="20"/>
                <w:szCs w:val="20"/>
                <w:color w:val="auto"/>
              </w:rPr>
            </w:pPr>
            <w:r>
              <w:rPr>
                <w:rFonts w:ascii="Arial" w:cs="Arial" w:eastAsia="Arial" w:hAnsi="Arial"/>
                <w:sz w:val="18"/>
                <w:szCs w:val="18"/>
                <w:color w:val="auto"/>
              </w:rPr>
              <w:t>​​​</w:t>
            </w:r>
          </w:p>
        </w:tc>
        <w:tc>
          <w:tcPr>
            <w:tcW w:w="420" w:type="dxa"/>
            <w:vAlign w:val="bottom"/>
          </w:tcPr>
          <w:p>
            <w:pPr>
              <w:ind w:left="1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360" w:type="dxa"/>
            <w:vAlign w:val="bottom"/>
          </w:tcPr>
          <w:p>
            <w:pPr>
              <w:ind w:left="140"/>
              <w:spacing w:after="0"/>
              <w:rPr>
                <w:sz w:val="20"/>
                <w:szCs w:val="20"/>
                <w:color w:val="auto"/>
              </w:rPr>
            </w:pPr>
            <w:r>
              <w:rPr>
                <w:rFonts w:ascii="Arial" w:cs="Arial" w:eastAsia="Arial" w:hAnsi="Arial"/>
                <w:sz w:val="18"/>
                <w:szCs w:val="18"/>
                <w:color w:val="auto"/>
              </w:rPr>
              <w:t>​​​</w:t>
            </w:r>
          </w:p>
        </w:tc>
        <w:tc>
          <w:tcPr>
            <w:tcW w:w="500" w:type="dxa"/>
            <w:vAlign w:val="bottom"/>
          </w:tcPr>
          <w:p>
            <w:pPr>
              <w:ind w:left="10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n/a</w:t>
            </w:r>
          </w:p>
        </w:tc>
        <w:tc>
          <w:tcPr>
            <w:tcW w:w="600" w:type="dxa"/>
            <w:vAlign w:val="bottom"/>
          </w:tcPr>
          <w:p>
            <w:pPr>
              <w:ind w:left="1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440" w:type="dxa"/>
            <w:vAlign w:val="bottom"/>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1,250,000​​​</w:t>
            </w:r>
            <w:r>
              <w:rPr>
                <w:rFonts w:ascii="Arial" w:cs="Arial" w:eastAsia="Arial" w:hAnsi="Arial"/>
                <w:sz w:val="18"/>
                <w:szCs w:val="18"/>
                <w:b w:val="1"/>
                <w:bCs w:val="1"/>
                <w:color w:val="auto"/>
              </w:rPr>
              <w:t>​</w:t>
            </w:r>
            <w:r>
              <w:rPr>
                <w:rFonts w:ascii="Arial" w:cs="Arial" w:eastAsia="Arial" w:hAnsi="Arial"/>
                <w:sz w:val="18"/>
                <w:szCs w:val="18"/>
                <w:color w:val="auto"/>
              </w:rPr>
              <w:t>1,250,000​​​</w:t>
            </w:r>
            <w:r>
              <w:rPr>
                <w:rFonts w:ascii="Arial" w:cs="Arial" w:eastAsia="Arial" w:hAnsi="Arial"/>
                <w:sz w:val="18"/>
                <w:szCs w:val="18"/>
                <w:b w:val="1"/>
                <w:bCs w:val="1"/>
                <w:color w:val="auto"/>
              </w:rPr>
              <w:t>​</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1,250,000​​​ </w:t>
            </w:r>
            <w:r>
              <w:rPr>
                <w:rFonts w:ascii="Arial" w:cs="Arial" w:eastAsia="Arial" w:hAnsi="Arial"/>
                <w:sz w:val="18"/>
                <w:szCs w:val="18"/>
                <w:b w:val="1"/>
                <w:bCs w:val="1"/>
                <w:color w:val="auto"/>
              </w:rPr>
              <w:t>​</w:t>
            </w:r>
            <w:r>
              <w:rPr>
                <w:rFonts w:ascii="Arial" w:cs="Arial" w:eastAsia="Arial" w:hAnsi="Arial"/>
                <w:sz w:val="18"/>
                <w:szCs w:val="18"/>
                <w:color w:val="auto"/>
              </w:rPr>
              <w:t xml:space="preserve"> — </w:t>
            </w:r>
            <w:r>
              <w:rPr>
                <w:rFonts w:ascii="Arial" w:cs="Arial" w:eastAsia="Arial" w:hAnsi="Arial"/>
                <w:sz w:val="18"/>
                <w:szCs w:val="18"/>
                <w:b w:val="1"/>
                <w:bCs w:val="1"/>
                <w:color w:val="auto"/>
              </w:rPr>
              <w:t>​</w:t>
            </w:r>
          </w:p>
        </w:tc>
      </w:tr>
      <w:tr>
        <w:trPr>
          <w:trHeight w:val="243"/>
        </w:trPr>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April 16, 2026</w:t>
            </w:r>
          </w:p>
        </w:tc>
        <w:tc>
          <w:tcPr>
            <w:tcW w:w="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n/a</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t>
            </w:r>
            <w:r>
              <w:rPr>
                <w:rFonts w:ascii="Arial" w:cs="Arial" w:eastAsia="Arial" w:hAnsi="Arial"/>
                <w:sz w:val="18"/>
                <w:szCs w:val="18"/>
                <w:color w:val="auto"/>
              </w:rPr>
              <w:t>314,382</w:t>
            </w:r>
          </w:p>
        </w:tc>
        <w:tc>
          <w:tcPr>
            <w:tcW w:w="4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1,356,156​​​</w:t>
            </w:r>
            <w:r>
              <w:rPr>
                <w:rFonts w:ascii="Arial" w:cs="Arial" w:eastAsia="Arial" w:hAnsi="Arial"/>
                <w:sz w:val="18"/>
                <w:szCs w:val="18"/>
                <w:b w:val="1"/>
                <w:bCs w:val="1"/>
                <w:color w:val="auto"/>
              </w:rPr>
              <w:t>​</w:t>
            </w:r>
            <w:r>
              <w:rPr>
                <w:rFonts w:ascii="Arial" w:cs="Arial" w:eastAsia="Arial" w:hAnsi="Arial"/>
                <w:sz w:val="18"/>
                <w:szCs w:val="18"/>
                <w:color w:val="auto"/>
              </w:rPr>
              <w:t>1,686,400​​​</w:t>
            </w:r>
            <w:r>
              <w:rPr>
                <w:rFonts w:ascii="Arial" w:cs="Arial" w:eastAsia="Arial" w:hAnsi="Arial"/>
                <w:sz w:val="18"/>
                <w:szCs w:val="18"/>
                <w:b w:val="1"/>
                <w:bCs w:val="1"/>
                <w:color w:val="auto"/>
              </w:rPr>
              <w:t>​</w:t>
            </w:r>
            <w:r>
              <w:rPr>
                <w:rFonts w:ascii="Arial" w:cs="Arial" w:eastAsia="Arial" w:hAnsi="Arial"/>
                <w:sz w:val="18"/>
                <w:szCs w:val="18"/>
                <w:color w:val="auto"/>
              </w:rPr>
              <w:t>33,783,592​​​</w:t>
            </w:r>
            <w:r>
              <w:rPr>
                <w:rFonts w:ascii="Arial" w:cs="Arial" w:eastAsia="Arial" w:hAnsi="Arial"/>
                <w:sz w:val="18"/>
                <w:szCs w:val="18"/>
                <w:b w:val="1"/>
                <w:bCs w:val="1"/>
                <w:color w:val="auto"/>
              </w:rPr>
              <w:t>​</w:t>
            </w:r>
            <w:r>
              <w:rPr>
                <w:rFonts w:ascii="Arial" w:cs="Arial" w:eastAsia="Arial" w:hAnsi="Arial"/>
                <w:sz w:val="18"/>
                <w:szCs w:val="18"/>
                <w:color w:val="auto"/>
              </w:rPr>
              <w:t xml:space="preserve">35,454,130​​​ </w:t>
            </w:r>
            <w:r>
              <w:rPr>
                <w:rFonts w:ascii="Arial" w:cs="Arial" w:eastAsia="Arial" w:hAnsi="Arial"/>
                <w:sz w:val="18"/>
                <w:szCs w:val="18"/>
                <w:b w:val="1"/>
                <w:bCs w:val="1"/>
                <w:color w:val="auto"/>
              </w:rPr>
              <w:t>​</w:t>
            </w:r>
            <w:r>
              <w:rPr>
                <w:rFonts w:ascii="Arial" w:cs="Arial" w:eastAsia="Arial" w:hAnsi="Arial"/>
                <w:sz w:val="18"/>
                <w:szCs w:val="18"/>
                <w:color w:val="auto"/>
              </w:rPr>
              <w:t>4.71%</w:t>
            </w:r>
          </w:p>
        </w:tc>
        <w:tc>
          <w:tcPr>
            <w:tcW w:w="8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bl>
    <w:p>
      <w:pPr>
        <w:spacing w:after="0" w:line="197" w:lineRule="exact"/>
        <w:rPr>
          <w:sz w:val="20"/>
          <w:szCs w:val="20"/>
          <w:color w:val="auto"/>
        </w:rPr>
      </w:pPr>
    </w:p>
    <w:p>
      <w:pPr>
        <w:jc w:val="both"/>
        <w:ind w:left="1800" w:right="840" w:hanging="180"/>
        <w:spacing w:after="0" w:line="256" w:lineRule="auto"/>
        <w:tabs>
          <w:tab w:leader="none" w:pos="18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Based on our conservative usage of Shares authorized for issuance under the 2010 Plan to date and our reasonable expectation of future equity usage under the 2010 Plan, we believe that the number of additional Shares being requested, together with the Shares currently remaining, will last approximately three to five years. This estimate is based on a forecast that takes into account our current practices under our executive compensation program, an estimated range of our stock price over time, the variable nature of the performance shares that will vest, and our historical forfeiture rates.</w:t>
      </w:r>
    </w:p>
    <w:p>
      <w:pPr>
        <w:spacing w:after="0" w:line="115" w:lineRule="exact"/>
        <w:rPr>
          <w:sz w:val="20"/>
          <w:szCs w:val="20"/>
          <w:color w:val="auto"/>
        </w:rPr>
      </w:pPr>
    </w:p>
    <w:p>
      <w:pPr>
        <w:jc w:val="both"/>
        <w:ind w:left="1620" w:right="840"/>
        <w:spacing w:after="0" w:line="268" w:lineRule="auto"/>
        <w:rPr>
          <w:sz w:val="20"/>
          <w:szCs w:val="20"/>
          <w:color w:val="auto"/>
        </w:rPr>
      </w:pPr>
      <w:r>
        <w:rPr>
          <w:rFonts w:ascii="Arial" w:cs="Arial" w:eastAsia="Arial" w:hAnsi="Arial"/>
          <w:sz w:val="18"/>
          <w:szCs w:val="18"/>
          <w:b w:val="1"/>
          <w:bCs w:val="1"/>
          <w:i w:val="1"/>
          <w:iCs w:val="1"/>
          <w:color w:val="auto"/>
        </w:rPr>
        <w:t>Attract and Retain Talent</w:t>
      </w:r>
      <w:r>
        <w:rPr>
          <w:rFonts w:ascii="Arial" w:cs="Arial" w:eastAsia="Arial" w:hAnsi="Arial"/>
          <w:sz w:val="18"/>
          <w:szCs w:val="18"/>
          <w:color w:val="auto"/>
        </w:rPr>
        <w:t>. We grant equity incentive awards to our executives and employees.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Approving the amendment to the 2010 Plan will enable us to continue to recruit, retain and motivate top talent at many levels within our Company necessary to our success.</w:t>
      </w:r>
    </w:p>
    <w:p>
      <w:pPr>
        <w:spacing w:after="0" w:line="171" w:lineRule="exact"/>
        <w:rPr>
          <w:sz w:val="20"/>
          <w:szCs w:val="20"/>
          <w:color w:val="auto"/>
        </w:rPr>
      </w:pPr>
    </w:p>
    <w:p>
      <w:pPr>
        <w:ind w:left="1260" w:right="1420"/>
        <w:spacing w:after="0" w:line="296" w:lineRule="auto"/>
        <w:rPr>
          <w:sz w:val="20"/>
          <w:szCs w:val="20"/>
          <w:color w:val="auto"/>
        </w:rPr>
      </w:pPr>
      <w:r>
        <w:rPr>
          <w:rFonts w:ascii="Arial" w:cs="Arial" w:eastAsia="Arial" w:hAnsi="Arial"/>
          <w:sz w:val="18"/>
          <w:szCs w:val="18"/>
          <w:b w:val="1"/>
          <w:bCs w:val="1"/>
          <w:color w:val="auto"/>
        </w:rPr>
        <w:t>Our Board recommends a vote “FOR” the approval of the Company’s Sixth Amended and Restated 2010 Equity Incentive Plan. Summary of the 2010 Plan.</w:t>
      </w:r>
    </w:p>
    <w:p>
      <w:pPr>
        <w:spacing w:after="0" w:line="70" w:lineRule="exact"/>
        <w:rPr>
          <w:sz w:val="20"/>
          <w:szCs w:val="20"/>
          <w:color w:val="auto"/>
        </w:rPr>
      </w:pPr>
    </w:p>
    <w:p>
      <w:pPr>
        <w:jc w:val="both"/>
        <w:ind w:left="1260" w:right="840"/>
        <w:spacing w:after="0" w:line="255" w:lineRule="auto"/>
        <w:rPr>
          <w:sz w:val="20"/>
          <w:szCs w:val="20"/>
          <w:color w:val="auto"/>
        </w:rPr>
      </w:pPr>
      <w:r>
        <w:rPr>
          <w:rFonts w:ascii="Arial" w:cs="Arial" w:eastAsia="Arial" w:hAnsi="Arial"/>
          <w:sz w:val="18"/>
          <w:szCs w:val="18"/>
          <w:color w:val="auto"/>
        </w:rPr>
        <w:t xml:space="preserve">The following is a summary description of the 2010 Plan, including the effect of the proposed amendment to the 2010 Plan. A copy of the Company’s Sixth Amended and Restated 2010 Equity Incentive Plan, adopted pursuant to the Board of Directors’ recommendation, is attached to this proxy statement as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The statements made in this proxy statement with respect to the 2010 Plan, as proposed to be amended, should be read in conjunction with, and are qualified in their entirety by reference to, the full text of the Sixth Amended and Restated 2010 Equity Incentive Plan, which is attached hereto as </w:t>
      </w:r>
      <w:r>
        <w:rPr>
          <w:rFonts w:ascii="Arial" w:cs="Arial" w:eastAsia="Arial" w:hAnsi="Arial"/>
          <w:sz w:val="18"/>
          <w:szCs w:val="18"/>
          <w:u w:val="single" w:color="auto"/>
          <w:color w:val="auto"/>
        </w:rPr>
        <w:t>Appendix A</w:t>
      </w:r>
      <w:r>
        <w:rPr>
          <w:rFonts w:ascii="Arial" w:cs="Arial" w:eastAsia="Arial" w:hAnsi="Arial"/>
          <w:sz w:val="18"/>
          <w:szCs w:val="18"/>
          <w:color w:val="auto"/>
        </w:rPr>
        <w:t>. Capitalized terms in this summary that are not defined have the meanings as provided in the 2010 Plan.</w:t>
      </w:r>
    </w:p>
    <w:p>
      <w:pPr>
        <w:spacing w:after="0" w:line="104" w:lineRule="exact"/>
        <w:rPr>
          <w:sz w:val="20"/>
          <w:szCs w:val="20"/>
          <w:color w:val="auto"/>
        </w:rPr>
      </w:pPr>
    </w:p>
    <w:p>
      <w:pPr>
        <w:jc w:val="both"/>
        <w:ind w:left="1260" w:right="840"/>
        <w:spacing w:after="0" w:line="255" w:lineRule="auto"/>
        <w:rPr>
          <w:sz w:val="20"/>
          <w:szCs w:val="20"/>
          <w:color w:val="auto"/>
        </w:rPr>
      </w:pPr>
      <w:r>
        <w:rPr>
          <w:rFonts w:ascii="Arial" w:cs="Arial" w:eastAsia="Arial" w:hAnsi="Arial"/>
          <w:sz w:val="18"/>
          <w:szCs w:val="18"/>
          <w:b w:val="1"/>
          <w:bCs w:val="1"/>
          <w:i w:val="1"/>
          <w:iCs w:val="1"/>
          <w:color w:val="auto"/>
        </w:rPr>
        <w:t>Administration</w:t>
      </w:r>
      <w:r>
        <w:rPr>
          <w:rFonts w:ascii="Arial" w:cs="Arial" w:eastAsia="Arial" w:hAnsi="Arial"/>
          <w:sz w:val="18"/>
          <w:szCs w:val="18"/>
          <w:color w:val="auto"/>
        </w:rPr>
        <w:t>. The 2010 Plan is administered by the Compensation Committee of the Board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Directors. Awards are approved by the Compensation Committee. The 2010 Plan provides the Compensation Committee flexibility to design compensatory awards that are responsive to the Company’s needs. Subject to the terms of the 2010 Plan, the Compensation Committee has the discretion to determine the terms of each award. The Compensation Committee will be composed to comply with the requirements under applicable laws and regulations. For example, the Compensation Committee will meet the independence requirements of the NYSE and the “non-employee director” requirements under the Exchange Act, for awards granted to individuals subject to Section 16 of the Exchange Act.</w:t>
      </w:r>
    </w:p>
    <w:p>
      <w:pPr>
        <w:spacing w:after="0" w:line="113" w:lineRule="exact"/>
        <w:rPr>
          <w:sz w:val="20"/>
          <w:szCs w:val="20"/>
          <w:color w:val="auto"/>
        </w:rPr>
      </w:pPr>
    </w:p>
    <w:p>
      <w:pPr>
        <w:jc w:val="both"/>
        <w:ind w:left="1260" w:right="840"/>
        <w:spacing w:after="0" w:line="259" w:lineRule="auto"/>
        <w:rPr>
          <w:sz w:val="20"/>
          <w:szCs w:val="20"/>
          <w:color w:val="auto"/>
        </w:rPr>
      </w:pPr>
      <w:r>
        <w:rPr>
          <w:rFonts w:ascii="Arial" w:cs="Arial" w:eastAsia="Arial" w:hAnsi="Arial"/>
          <w:sz w:val="18"/>
          <w:szCs w:val="18"/>
          <w:b w:val="1"/>
          <w:bCs w:val="1"/>
          <w:i w:val="1"/>
          <w:iCs w:val="1"/>
          <w:color w:val="auto"/>
        </w:rPr>
        <w:t>Awards; Eligibility</w:t>
      </w:r>
      <w:r>
        <w:rPr>
          <w:rFonts w:ascii="Arial" w:cs="Arial" w:eastAsia="Arial" w:hAnsi="Arial"/>
          <w:sz w:val="18"/>
          <w:szCs w:val="18"/>
          <w:color w:val="auto"/>
        </w:rPr>
        <w:t>. Awards under the 2010 Plan may be in the form of stock options (nonqualified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options or incentive stock options), stock appreciation rights, restricted shares, restricted share units, performance shares, performance units and stock payments. Employees of the Company and its subsidiaries and non-employee directors may be selected by the Compensation Committee to receive awards under the 2010 Plan.</w:t>
      </w:r>
    </w:p>
    <w:p>
      <w:pPr>
        <w:spacing w:after="0" w:line="112" w:lineRule="exact"/>
        <w:rPr>
          <w:sz w:val="20"/>
          <w:szCs w:val="20"/>
          <w:color w:val="auto"/>
        </w:rPr>
      </w:pPr>
    </w:p>
    <w:p>
      <w:pPr>
        <w:jc w:val="both"/>
        <w:ind w:left="1260" w:right="840"/>
        <w:spacing w:after="0" w:line="256" w:lineRule="auto"/>
        <w:rPr>
          <w:sz w:val="20"/>
          <w:szCs w:val="20"/>
          <w:color w:val="auto"/>
        </w:rPr>
      </w:pPr>
      <w:r>
        <w:rPr>
          <w:rFonts w:ascii="Arial" w:cs="Arial" w:eastAsia="Arial" w:hAnsi="Arial"/>
          <w:sz w:val="18"/>
          <w:szCs w:val="18"/>
          <w:b w:val="1"/>
          <w:bCs w:val="1"/>
          <w:i w:val="1"/>
          <w:iCs w:val="1"/>
          <w:color w:val="auto"/>
        </w:rPr>
        <w:t>Share Reserve</w:t>
      </w:r>
      <w:r>
        <w:rPr>
          <w:rFonts w:ascii="Arial" w:cs="Arial" w:eastAsia="Arial" w:hAnsi="Arial"/>
          <w:sz w:val="18"/>
          <w:szCs w:val="18"/>
          <w:color w:val="auto"/>
        </w:rPr>
        <w:t>. The maximum number of Shares as to which stock awards may be granted under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2010 Plan from and after April 16, 2026, with respect to Awards shall not in the aggregate exceed 2,255,141. This reserved share amount is subject to adjustments by the Compensation Committee as provided in the 2010 Plan for stock splits, stock dividends, recapitalizations, and other similar transactions or events. Shares issued under the 2010 Plan may be shares of original issuance, shares held in Treasury, or shares that have been reacquired by the Company. The fair market value of a share of the Company’s common stock on April 16, 2026 was $19.77.</w:t>
      </w:r>
    </w:p>
    <w:p>
      <w:pPr>
        <w:sectPr>
          <w:pgSz w:w="11900" w:h="16838" w:orient="portrait"/>
          <w:cols w:equalWidth="0" w:num="1">
            <w:col w:w="10300"/>
          </w:cols>
          <w:pgMar w:left="580" w:top="97" w:right="1019" w:bottom="1440" w:gutter="0" w:footer="0" w:header="0"/>
          <w:type w:val="continuous"/>
        </w:sectPr>
      </w:pPr>
    </w:p>
    <w:p>
      <w:pPr>
        <w:spacing w:after="0" w:line="358"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300"/>
          </w:cols>
          <w:pgMar w:left="580" w:top="97" w:right="1019" w:bottom="1440" w:gutter="0" w:footer="0" w:header="0"/>
          <w:type w:val="continuous"/>
        </w:sectPr>
      </w:pPr>
    </w:p>
    <w:bookmarkStart w:id="68" w:name="page69"/>
    <w:bookmarkEnd w:id="6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left="1260" w:right="419"/>
        <w:spacing w:after="0" w:line="251" w:lineRule="auto"/>
        <w:rPr>
          <w:sz w:val="20"/>
          <w:szCs w:val="20"/>
          <w:color w:val="auto"/>
        </w:rPr>
      </w:pPr>
      <w:r>
        <w:rPr>
          <w:rFonts w:ascii="Arial" w:cs="Arial" w:eastAsia="Arial" w:hAnsi="Arial"/>
          <w:sz w:val="18"/>
          <w:szCs w:val="18"/>
          <w:color w:val="auto"/>
        </w:rPr>
        <w:t>Under the 2010 Plan, awards that are forfeited, expire or are canceled or settled without issuance of Shares are not counted against the maximum Shares available for grant. Shares that are tendered in payment of the option exercise price, withheld by the Company to satisfy tax withholding obligations, or are covered by a stock appreciation right (without regard to the number of Shares that are actually issued upon exercise) will not be available for future issuance under the 2010 Plan.</w:t>
      </w:r>
    </w:p>
    <w:p>
      <w:pPr>
        <w:spacing w:after="0" w:line="106" w:lineRule="exact"/>
        <w:rPr>
          <w:sz w:val="20"/>
          <w:szCs w:val="20"/>
          <w:color w:val="auto"/>
        </w:rPr>
      </w:pPr>
    </w:p>
    <w:p>
      <w:pPr>
        <w:jc w:val="both"/>
        <w:ind w:left="1260" w:right="419"/>
        <w:spacing w:after="0" w:line="245" w:lineRule="auto"/>
        <w:rPr>
          <w:sz w:val="20"/>
          <w:szCs w:val="20"/>
          <w:color w:val="auto"/>
        </w:rPr>
      </w:pPr>
      <w:r>
        <w:rPr>
          <w:rFonts w:ascii="Arial" w:cs="Arial" w:eastAsia="Arial" w:hAnsi="Arial"/>
          <w:sz w:val="18"/>
          <w:szCs w:val="18"/>
          <w:b w:val="1"/>
          <w:bCs w:val="1"/>
          <w:i w:val="1"/>
          <w:iCs w:val="1"/>
          <w:color w:val="auto"/>
        </w:rPr>
        <w:t>Limitations</w:t>
      </w:r>
      <w:r>
        <w:rPr>
          <w:rFonts w:ascii="Arial" w:cs="Arial" w:eastAsia="Arial" w:hAnsi="Arial"/>
          <w:sz w:val="18"/>
          <w:szCs w:val="18"/>
          <w:color w:val="auto"/>
        </w:rPr>
        <w:t>. No participant may receive awards during any one calendar year representing more than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250,000 Shares, including with respect to options, stock appreciation rights, and performance-based awards. Further, in no event will the number of Shares issued under the 2010 Plan upon the exercise of incentive stock options exceed 792,304 Shares. These limits are subject to adjustments by the Compensation Committee as provided in the 2010 Plan for stock splits, stock dividends, recapitalizations, and other similar transactions or events.</w:t>
      </w:r>
    </w:p>
    <w:p>
      <w:pPr>
        <w:spacing w:after="0" w:line="109" w:lineRule="exact"/>
        <w:rPr>
          <w:sz w:val="20"/>
          <w:szCs w:val="20"/>
          <w:color w:val="auto"/>
        </w:rPr>
      </w:pPr>
    </w:p>
    <w:p>
      <w:pPr>
        <w:jc w:val="both"/>
        <w:ind w:left="1260" w:right="419"/>
        <w:spacing w:after="0" w:line="251" w:lineRule="auto"/>
        <w:rPr>
          <w:sz w:val="20"/>
          <w:szCs w:val="20"/>
          <w:color w:val="auto"/>
        </w:rPr>
      </w:pPr>
      <w:r>
        <w:rPr>
          <w:rFonts w:ascii="Arial" w:cs="Arial" w:eastAsia="Arial" w:hAnsi="Arial"/>
          <w:sz w:val="18"/>
          <w:szCs w:val="18"/>
          <w:b w:val="1"/>
          <w:bCs w:val="1"/>
          <w:i w:val="1"/>
          <w:iCs w:val="1"/>
          <w:color w:val="auto"/>
        </w:rPr>
        <w:t>Individual Director Limits</w:t>
      </w:r>
      <w:r>
        <w:rPr>
          <w:rFonts w:ascii="Arial" w:cs="Arial" w:eastAsia="Arial" w:hAnsi="Arial"/>
          <w:sz w:val="18"/>
          <w:szCs w:val="18"/>
          <w:color w:val="auto"/>
        </w:rPr>
        <w:t>. The 2010 Plan caps the amount of equity compensation paid to non-employee directors in any one calendar year at $500,000. For purposes of this limit, the value of equity awards is calculated based on the award’s fair value as determined in accordance with Financial Accounting Standards Board Accounting Standards Codification Topic 718 (or any successor thereto) as of the date of grant.</w:t>
      </w:r>
    </w:p>
    <w:p>
      <w:pPr>
        <w:spacing w:after="0" w:line="106" w:lineRule="exact"/>
        <w:rPr>
          <w:sz w:val="20"/>
          <w:szCs w:val="20"/>
          <w:color w:val="auto"/>
        </w:rPr>
      </w:pPr>
    </w:p>
    <w:p>
      <w:pPr>
        <w:jc w:val="both"/>
        <w:ind w:left="1260" w:right="419"/>
        <w:spacing w:after="0" w:line="243" w:lineRule="auto"/>
        <w:rPr>
          <w:sz w:val="20"/>
          <w:szCs w:val="20"/>
          <w:color w:val="auto"/>
        </w:rPr>
      </w:pPr>
      <w:r>
        <w:rPr>
          <w:rFonts w:ascii="Arial" w:cs="Arial" w:eastAsia="Arial" w:hAnsi="Arial"/>
          <w:sz w:val="18"/>
          <w:szCs w:val="18"/>
          <w:b w:val="1"/>
          <w:bCs w:val="1"/>
          <w:i w:val="1"/>
          <w:iCs w:val="1"/>
          <w:color w:val="auto"/>
        </w:rPr>
        <w:t>Stock Options</w:t>
      </w:r>
      <w:r>
        <w:rPr>
          <w:rFonts w:ascii="Arial" w:cs="Arial" w:eastAsia="Arial" w:hAnsi="Arial"/>
          <w:sz w:val="18"/>
          <w:szCs w:val="18"/>
          <w:color w:val="auto"/>
        </w:rPr>
        <w:t>. Stock options entitle the participant to purchase Shares at a price equal to or greater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than the fair market value of the Company’s common stock on the date of grant. Options may be either incentive stock options or nonqualified stock options, provided that only employees may be granted incentive stock options. The award agreement may specify that the option price is payable: (i) in cash;</w:t>
      </w:r>
    </w:p>
    <w:p>
      <w:pPr>
        <w:spacing w:after="0" w:line="3" w:lineRule="exact"/>
        <w:rPr>
          <w:sz w:val="20"/>
          <w:szCs w:val="20"/>
          <w:color w:val="auto"/>
        </w:rPr>
      </w:pPr>
    </w:p>
    <w:p>
      <w:pPr>
        <w:jc w:val="both"/>
        <w:ind w:left="1260" w:right="419"/>
        <w:spacing w:after="0"/>
        <w:tabs>
          <w:tab w:leader="none" w:pos="1519" w:val="left"/>
        </w:tabs>
        <w:numPr>
          <w:ilvl w:val="0"/>
          <w:numId w:val="65"/>
        </w:numPr>
        <w:rPr>
          <w:rFonts w:ascii="Arial" w:cs="Arial" w:eastAsia="Arial" w:hAnsi="Arial"/>
          <w:sz w:val="18"/>
          <w:szCs w:val="18"/>
          <w:color w:val="auto"/>
        </w:rPr>
      </w:pPr>
      <w:r>
        <w:rPr>
          <w:rFonts w:ascii="Arial" w:cs="Arial" w:eastAsia="Arial" w:hAnsi="Arial"/>
          <w:sz w:val="18"/>
          <w:szCs w:val="18"/>
          <w:color w:val="auto"/>
        </w:rPr>
        <w:t>by the transfer to the Company of shares of unrestricted stock owned for at least six months at the time of exercise; (iii) with any other legal consideration the Compensation Committee may deem appropriate; or (iv) any combination of the foregoing. No stock option may be exercised more than 10 years from the date of grant (or five years for persons holding more than 10% of the total combined voting power of all classes of stock of the Company for an option intended to qualify as an incentive stock option). Each grant may specify a period of continuous employment or service with the Company or any subsidiary that is necessary before the stock option or any portion thereof will become exercisable and may provide for the earlier exercise of the option in the event of a change in control of the Company or similar event.</w:t>
      </w:r>
    </w:p>
    <w:p>
      <w:pPr>
        <w:spacing w:after="0" w:line="117" w:lineRule="exact"/>
        <w:rPr>
          <w:sz w:val="20"/>
          <w:szCs w:val="20"/>
          <w:color w:val="auto"/>
        </w:rPr>
      </w:pPr>
    </w:p>
    <w:p>
      <w:pPr>
        <w:jc w:val="both"/>
        <w:ind w:left="1260" w:right="419"/>
        <w:spacing w:after="0" w:line="261" w:lineRule="auto"/>
        <w:rPr>
          <w:sz w:val="20"/>
          <w:szCs w:val="20"/>
          <w:color w:val="auto"/>
        </w:rPr>
      </w:pPr>
      <w:r>
        <w:rPr>
          <w:rFonts w:ascii="Arial" w:cs="Arial" w:eastAsia="Arial" w:hAnsi="Arial"/>
          <w:sz w:val="17"/>
          <w:szCs w:val="17"/>
          <w:b w:val="1"/>
          <w:bCs w:val="1"/>
          <w:i w:val="1"/>
          <w:iCs w:val="1"/>
          <w:color w:val="auto"/>
        </w:rPr>
        <w:t>Stock Appreciation Rights</w:t>
      </w:r>
      <w:r>
        <w:rPr>
          <w:rFonts w:ascii="Arial" w:cs="Arial" w:eastAsia="Arial" w:hAnsi="Arial"/>
          <w:sz w:val="17"/>
          <w:szCs w:val="17"/>
          <w:color w:val="auto"/>
        </w:rPr>
        <w:t>. Stock appreciation rights represent the right to receive an amount,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determined by the Compensation Committee and expressed as a percentage not exceeding 100%, of the difference between the “base price” established for such rights and the fair market value of the Company’s common stock on the date the rights are exercised. The base price must not be less than the fair market value of the common stock on the date the right is granted. The grant will specify that the amount payable upon exercise of the stock appreciation right will be paid by the Company in Shares. Any grant may specify a waiting period or periods before the stock appreciation rights may become exercisable and permissible dates or periods on or during which the stock appreciation rights will be exercisable. No stock appreciation right may be exercised more than 10 years from the grant date.</w:t>
      </w:r>
    </w:p>
    <w:p>
      <w:pPr>
        <w:spacing w:after="0" w:line="98" w:lineRule="exact"/>
        <w:rPr>
          <w:sz w:val="20"/>
          <w:szCs w:val="20"/>
          <w:color w:val="auto"/>
        </w:rPr>
      </w:pPr>
    </w:p>
    <w:p>
      <w:pPr>
        <w:jc w:val="both"/>
        <w:ind w:left="1260" w:right="419"/>
        <w:spacing w:after="0" w:line="260" w:lineRule="auto"/>
        <w:rPr>
          <w:sz w:val="20"/>
          <w:szCs w:val="20"/>
          <w:color w:val="auto"/>
        </w:rPr>
      </w:pPr>
      <w:r>
        <w:rPr>
          <w:rFonts w:ascii="Arial" w:cs="Arial" w:eastAsia="Arial" w:hAnsi="Arial"/>
          <w:sz w:val="17"/>
          <w:szCs w:val="17"/>
          <w:b w:val="1"/>
          <w:bCs w:val="1"/>
          <w:i w:val="1"/>
          <w:iCs w:val="1"/>
          <w:color w:val="auto"/>
        </w:rPr>
        <w:t>Restricted Shares and Restricted Share Units</w:t>
      </w:r>
      <w:r>
        <w:rPr>
          <w:rFonts w:ascii="Arial" w:cs="Arial" w:eastAsia="Arial" w:hAnsi="Arial"/>
          <w:sz w:val="17"/>
          <w:szCs w:val="17"/>
          <w:color w:val="auto"/>
        </w:rPr>
        <w:t>. An award of restricted shares involves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immediate transfer by the Company to a participant of ownership of a specific number of Shares in return for the performance of services. The participant is entitled to voting rights in such Shares, subject to the discretion of the Compensation Committee. Restricted share units represent rights to receive Shares in return for the performance of services. The transfer may be made without additional consideration from the participant. The Compensation Committee may specify performance objectives that must be achieved for the restrictions to lapse. Restricted shares and restricted share units must be subject to a “substantial risk of forfeiture” within the meaning of Code Section 83 for a period to be determined by the Compensation Committee on the grant date and any grant or sale may provide for the earlier termination of such risk of forfeiture in the event of a change of control of the Company or similar event.</w:t>
      </w:r>
    </w:p>
    <w:p>
      <w:pPr>
        <w:spacing w:after="0" w:line="96" w:lineRule="exact"/>
        <w:rPr>
          <w:sz w:val="20"/>
          <w:szCs w:val="20"/>
          <w:color w:val="auto"/>
        </w:rPr>
      </w:pPr>
    </w:p>
    <w:p>
      <w:pPr>
        <w:jc w:val="both"/>
        <w:ind w:left="1260" w:right="419"/>
        <w:spacing w:after="0" w:line="271" w:lineRule="auto"/>
        <w:rPr>
          <w:sz w:val="20"/>
          <w:szCs w:val="20"/>
          <w:color w:val="auto"/>
        </w:rPr>
      </w:pPr>
      <w:r>
        <w:rPr>
          <w:rFonts w:ascii="Arial" w:cs="Arial" w:eastAsia="Arial" w:hAnsi="Arial"/>
          <w:sz w:val="17"/>
          <w:szCs w:val="17"/>
          <w:b w:val="1"/>
          <w:bCs w:val="1"/>
          <w:i w:val="1"/>
          <w:iCs w:val="1"/>
          <w:color w:val="auto"/>
        </w:rPr>
        <w:t>Performance Shares and Performance Units</w:t>
      </w:r>
      <w:r>
        <w:rPr>
          <w:rFonts w:ascii="Arial" w:cs="Arial" w:eastAsia="Arial" w:hAnsi="Arial"/>
          <w:sz w:val="17"/>
          <w:szCs w:val="17"/>
          <w:color w:val="auto"/>
        </w:rPr>
        <w:t>. A performance share is the equivalent of one Share,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a performance unit is the equivalent of $1.00. Each grant will specify one or more performance objectives to be met within a specified period (the “performance period”), which may be subject to earlier termination in the event of a change in control of the Company or a similar event. If by the end of the</w:t>
      </w:r>
    </w:p>
    <w:p>
      <w:pPr>
        <w:spacing w:after="0" w:line="34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9" w:name="page70"/>
    <w:bookmarkEnd w:id="6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left="1260" w:right="419"/>
        <w:spacing w:after="0" w:line="248" w:lineRule="auto"/>
        <w:rPr>
          <w:sz w:val="20"/>
          <w:szCs w:val="20"/>
          <w:color w:val="auto"/>
        </w:rPr>
      </w:pPr>
      <w:r>
        <w:rPr>
          <w:rFonts w:ascii="Arial" w:cs="Arial" w:eastAsia="Arial" w:hAnsi="Arial"/>
          <w:sz w:val="18"/>
          <w:szCs w:val="18"/>
          <w:color w:val="auto"/>
        </w:rPr>
        <w:t>performance period the participant has not achieved a minimum acceptable level of achievement, no payment will be made. If the participant is above the minimum acceptable level of achievement, but falls short of the maximum achievement specified, the participant may be deemed to have partly earned the performance shares or performance units in accordance with the predetermined formula. If by the end of the performance period the participant has achieved the specified performance objective, the participant will have earned the performance shares or performance units.</w:t>
      </w:r>
    </w:p>
    <w:p>
      <w:pPr>
        <w:spacing w:after="0" w:line="107" w:lineRule="exact"/>
        <w:rPr>
          <w:sz w:val="20"/>
          <w:szCs w:val="20"/>
          <w:color w:val="auto"/>
        </w:rPr>
      </w:pPr>
    </w:p>
    <w:p>
      <w:pPr>
        <w:jc w:val="both"/>
        <w:ind w:left="1260" w:right="419"/>
        <w:spacing w:after="0" w:line="261" w:lineRule="auto"/>
        <w:rPr>
          <w:sz w:val="20"/>
          <w:szCs w:val="20"/>
          <w:color w:val="auto"/>
        </w:rPr>
      </w:pPr>
      <w:r>
        <w:rPr>
          <w:rFonts w:ascii="Arial" w:cs="Arial" w:eastAsia="Arial" w:hAnsi="Arial"/>
          <w:sz w:val="18"/>
          <w:szCs w:val="18"/>
          <w:color w:val="auto"/>
        </w:rPr>
        <w:t>The Compensation Committee has the authority to adjust the performance objectives, or modify the level of achievement required for the performance objectives, for an award in order to prevent the dilution or enlargement of the rights of a participant.</w:t>
      </w:r>
    </w:p>
    <w:p>
      <w:pPr>
        <w:spacing w:after="0" w:line="94" w:lineRule="exact"/>
        <w:rPr>
          <w:sz w:val="20"/>
          <w:szCs w:val="20"/>
          <w:color w:val="auto"/>
        </w:rPr>
      </w:pPr>
    </w:p>
    <w:p>
      <w:pPr>
        <w:jc w:val="both"/>
        <w:ind w:left="1260" w:right="419"/>
        <w:spacing w:after="0" w:line="253" w:lineRule="auto"/>
        <w:rPr>
          <w:sz w:val="20"/>
          <w:szCs w:val="20"/>
          <w:color w:val="auto"/>
        </w:rPr>
      </w:pPr>
      <w:r>
        <w:rPr>
          <w:rFonts w:ascii="Arial" w:cs="Arial" w:eastAsia="Arial" w:hAnsi="Arial"/>
          <w:sz w:val="18"/>
          <w:szCs w:val="18"/>
          <w:color w:val="auto"/>
        </w:rPr>
        <w:t>To the extent earned, the performance shares or performance units will be paid to the participant at the time and in the manner determined by the Compensation Committee in cash, Shares or any combination thereof.</w:t>
      </w:r>
    </w:p>
    <w:p>
      <w:pPr>
        <w:spacing w:after="0" w:line="101" w:lineRule="exact"/>
        <w:rPr>
          <w:sz w:val="20"/>
          <w:szCs w:val="20"/>
          <w:color w:val="auto"/>
        </w:rPr>
      </w:pPr>
    </w:p>
    <w:p>
      <w:pPr>
        <w:jc w:val="both"/>
        <w:ind w:left="1260" w:right="419"/>
        <w:spacing w:after="0" w:line="287" w:lineRule="auto"/>
        <w:rPr>
          <w:sz w:val="20"/>
          <w:szCs w:val="20"/>
          <w:color w:val="auto"/>
        </w:rPr>
      </w:pPr>
      <w:r>
        <w:rPr>
          <w:rFonts w:ascii="Arial" w:cs="Arial" w:eastAsia="Arial" w:hAnsi="Arial"/>
          <w:sz w:val="18"/>
          <w:szCs w:val="18"/>
          <w:b w:val="1"/>
          <w:bCs w:val="1"/>
          <w:i w:val="1"/>
          <w:iCs w:val="1"/>
          <w:color w:val="auto"/>
        </w:rPr>
        <w:t>Section 162(m)</w:t>
      </w:r>
      <w:r>
        <w:rPr>
          <w:rFonts w:ascii="Arial" w:cs="Arial" w:eastAsia="Arial" w:hAnsi="Arial"/>
          <w:sz w:val="18"/>
          <w:szCs w:val="18"/>
          <w:color w:val="auto"/>
        </w:rPr>
        <w:t>. Code Section 162(m) prevents a publicly held corporation from claiming income tax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deductions for compensation in excess of $1 million paid to certain senior executives.</w:t>
      </w:r>
    </w:p>
    <w:p>
      <w:pPr>
        <w:spacing w:after="0" w:line="72" w:lineRule="exact"/>
        <w:rPr>
          <w:sz w:val="20"/>
          <w:szCs w:val="20"/>
          <w:color w:val="auto"/>
        </w:rPr>
      </w:pPr>
    </w:p>
    <w:p>
      <w:pPr>
        <w:jc w:val="both"/>
        <w:ind w:left="1260" w:right="419"/>
        <w:spacing w:after="0" w:line="252" w:lineRule="auto"/>
        <w:rPr>
          <w:sz w:val="20"/>
          <w:szCs w:val="20"/>
          <w:color w:val="auto"/>
        </w:rPr>
      </w:pPr>
      <w:r>
        <w:rPr>
          <w:rFonts w:ascii="Arial" w:cs="Arial" w:eastAsia="Arial" w:hAnsi="Arial"/>
          <w:sz w:val="18"/>
          <w:szCs w:val="18"/>
          <w:b w:val="1"/>
          <w:bCs w:val="1"/>
          <w:i w:val="1"/>
          <w:iCs w:val="1"/>
          <w:color w:val="auto"/>
        </w:rPr>
        <w:t>Transferability</w:t>
      </w:r>
      <w:r>
        <w:rPr>
          <w:rFonts w:ascii="Arial" w:cs="Arial" w:eastAsia="Arial" w:hAnsi="Arial"/>
          <w:sz w:val="18"/>
          <w:szCs w:val="18"/>
          <w:color w:val="auto"/>
        </w:rPr>
        <w:t>. No award under the 2010 Plan may be transferred by a participant other than by will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laws of descent and distribution, and stock options and stock appreciation rights may be exercised during the participant’s lifetime only by the participant or, in the event of the participant’s legal incapacity, the guardian or legal representative acting on behalf of the participant.</w:t>
      </w:r>
    </w:p>
    <w:p>
      <w:pPr>
        <w:spacing w:after="0" w:line="103" w:lineRule="exact"/>
        <w:rPr>
          <w:sz w:val="20"/>
          <w:szCs w:val="20"/>
          <w:color w:val="auto"/>
        </w:rPr>
      </w:pPr>
    </w:p>
    <w:p>
      <w:pPr>
        <w:jc w:val="both"/>
        <w:ind w:left="1260" w:right="419"/>
        <w:spacing w:after="0" w:line="253" w:lineRule="auto"/>
        <w:rPr>
          <w:sz w:val="20"/>
          <w:szCs w:val="20"/>
          <w:color w:val="auto"/>
        </w:rPr>
      </w:pPr>
      <w:r>
        <w:rPr>
          <w:rFonts w:ascii="Arial" w:cs="Arial" w:eastAsia="Arial" w:hAnsi="Arial"/>
          <w:sz w:val="18"/>
          <w:szCs w:val="18"/>
          <w:b w:val="1"/>
          <w:bCs w:val="1"/>
          <w:i w:val="1"/>
          <w:iCs w:val="1"/>
          <w:color w:val="auto"/>
        </w:rPr>
        <w:t>Clawback of Awards</w:t>
      </w:r>
      <w:r>
        <w:rPr>
          <w:rFonts w:ascii="Arial" w:cs="Arial" w:eastAsia="Arial" w:hAnsi="Arial"/>
          <w:sz w:val="18"/>
          <w:szCs w:val="18"/>
          <w:color w:val="auto"/>
        </w:rPr>
        <w:t>. The Compensation Committee may, to the extent permitted by applicable law,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exchange rules or by any Company policy, require recoupment of, or deductions from, any awards or payment made in respect thereof.</w:t>
      </w:r>
    </w:p>
    <w:p>
      <w:pPr>
        <w:spacing w:after="0" w:line="101" w:lineRule="exact"/>
        <w:rPr>
          <w:sz w:val="20"/>
          <w:szCs w:val="20"/>
          <w:color w:val="auto"/>
        </w:rPr>
      </w:pPr>
    </w:p>
    <w:p>
      <w:pPr>
        <w:jc w:val="both"/>
        <w:ind w:left="1260" w:right="419"/>
        <w:spacing w:after="0" w:line="252" w:lineRule="auto"/>
        <w:rPr>
          <w:sz w:val="20"/>
          <w:szCs w:val="20"/>
          <w:color w:val="auto"/>
        </w:rPr>
      </w:pPr>
      <w:r>
        <w:rPr>
          <w:rFonts w:ascii="Arial" w:cs="Arial" w:eastAsia="Arial" w:hAnsi="Arial"/>
          <w:sz w:val="18"/>
          <w:szCs w:val="18"/>
          <w:b w:val="1"/>
          <w:bCs w:val="1"/>
          <w:i w:val="1"/>
          <w:iCs w:val="1"/>
          <w:color w:val="auto"/>
        </w:rPr>
        <w:t>Prohibition on Repricing</w:t>
      </w:r>
      <w:r>
        <w:rPr>
          <w:rFonts w:ascii="Arial" w:cs="Arial" w:eastAsia="Arial" w:hAnsi="Arial"/>
          <w:sz w:val="18"/>
          <w:szCs w:val="18"/>
          <w:color w:val="auto"/>
        </w:rPr>
        <w:t>. Subject to the adjustment provision described above, the Compensation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Committee may not reprice any outstanding stock option or stock appreciation right or exchange for cash any outstanding stock option or stock appreciation right that is “out-of-the money” ​(i.e., with an exercise price that is equal to or greater than the fair market value of a Share).</w:t>
      </w:r>
    </w:p>
    <w:p>
      <w:pPr>
        <w:spacing w:after="0" w:line="103" w:lineRule="exact"/>
        <w:rPr>
          <w:sz w:val="20"/>
          <w:szCs w:val="20"/>
          <w:color w:val="auto"/>
        </w:rPr>
      </w:pPr>
    </w:p>
    <w:p>
      <w:pPr>
        <w:jc w:val="both"/>
        <w:ind w:left="1260" w:right="419"/>
        <w:spacing w:after="0" w:line="261" w:lineRule="auto"/>
        <w:rPr>
          <w:sz w:val="20"/>
          <w:szCs w:val="20"/>
          <w:color w:val="auto"/>
        </w:rPr>
      </w:pPr>
      <w:r>
        <w:rPr>
          <w:rFonts w:ascii="Arial" w:cs="Arial" w:eastAsia="Arial" w:hAnsi="Arial"/>
          <w:sz w:val="18"/>
          <w:szCs w:val="18"/>
          <w:b w:val="1"/>
          <w:bCs w:val="1"/>
          <w:i w:val="1"/>
          <w:iCs w:val="1"/>
          <w:color w:val="auto"/>
        </w:rPr>
        <w:t>Termination; Amendment</w:t>
      </w:r>
      <w:r>
        <w:rPr>
          <w:rFonts w:ascii="Arial" w:cs="Arial" w:eastAsia="Arial" w:hAnsi="Arial"/>
          <w:sz w:val="18"/>
          <w:szCs w:val="18"/>
          <w:color w:val="auto"/>
        </w:rPr>
        <w:t>. The 2010 Plan will terminate on June 17, 2036, the tenth anniversary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date adopted by the Company’s stockholders. No award will be granted under the 2010 Plan after the termination date.</w:t>
      </w:r>
    </w:p>
    <w:p>
      <w:pPr>
        <w:spacing w:after="0" w:line="94" w:lineRule="exact"/>
        <w:rPr>
          <w:sz w:val="20"/>
          <w:szCs w:val="20"/>
          <w:color w:val="auto"/>
        </w:rPr>
      </w:pPr>
    </w:p>
    <w:p>
      <w:pPr>
        <w:jc w:val="both"/>
        <w:ind w:left="1260" w:right="419"/>
        <w:spacing w:after="0" w:line="246" w:lineRule="auto"/>
        <w:rPr>
          <w:sz w:val="20"/>
          <w:szCs w:val="20"/>
          <w:color w:val="auto"/>
        </w:rPr>
      </w:pPr>
      <w:r>
        <w:rPr>
          <w:rFonts w:ascii="Arial" w:cs="Arial" w:eastAsia="Arial" w:hAnsi="Arial"/>
          <w:sz w:val="18"/>
          <w:szCs w:val="18"/>
          <w:color w:val="auto"/>
        </w:rPr>
        <w:t>The 2010 Plan may be amended by the Board of Directors, but (i) without further approval by the stockholders of the Company, no such amendment may increase the limitations set forth in the 2010 Plan on the number of Shares that may be issued under the 2010 Plan and (ii) no amendment may impair the rights of any Grantee, unless mutually agreed otherwise between the Grantee and the Company. The Board of Directors may condition any amendment on the approval of the stockholders if such approval is necessary or deemed advisable with respect to the applicable listing or other requirements of a national securities exchange or other applicable laws, policies or regulations.</w:t>
      </w:r>
    </w:p>
    <w:p>
      <w:pPr>
        <w:spacing w:after="0" w:line="108" w:lineRule="exact"/>
        <w:rPr>
          <w:sz w:val="20"/>
          <w:szCs w:val="20"/>
          <w:color w:val="auto"/>
        </w:rPr>
      </w:pPr>
    </w:p>
    <w:p>
      <w:pPr>
        <w:jc w:val="both"/>
        <w:ind w:left="1260" w:right="419"/>
        <w:spacing w:after="0" w:line="253" w:lineRule="auto"/>
        <w:rPr>
          <w:sz w:val="20"/>
          <w:szCs w:val="20"/>
          <w:color w:val="auto"/>
        </w:rPr>
      </w:pPr>
      <w:r>
        <w:rPr>
          <w:rFonts w:ascii="Arial" w:cs="Arial" w:eastAsia="Arial" w:hAnsi="Arial"/>
          <w:sz w:val="18"/>
          <w:szCs w:val="18"/>
          <w:b w:val="1"/>
          <w:bCs w:val="1"/>
          <w:i w:val="1"/>
          <w:iCs w:val="1"/>
          <w:color w:val="auto"/>
        </w:rPr>
        <w:t>Tax Consequences</w:t>
      </w:r>
      <w:r>
        <w:rPr>
          <w:rFonts w:ascii="Arial" w:cs="Arial" w:eastAsia="Arial" w:hAnsi="Arial"/>
          <w:sz w:val="18"/>
          <w:szCs w:val="18"/>
          <w:color w:val="auto"/>
        </w:rPr>
        <w:t>. The following is a brief summary of certain of the federal income tax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consequences of certain transactions under the 2010 Plan. This summary is not intended to be exhaustive and does not describe state or local tax consequences.</w:t>
      </w:r>
    </w:p>
    <w:p>
      <w:pPr>
        <w:spacing w:after="0" w:line="101" w:lineRule="exact"/>
        <w:rPr>
          <w:sz w:val="20"/>
          <w:szCs w:val="20"/>
          <w:color w:val="auto"/>
        </w:rPr>
      </w:pPr>
    </w:p>
    <w:p>
      <w:pPr>
        <w:jc w:val="both"/>
        <w:ind w:left="1260" w:right="419"/>
        <w:spacing w:after="0" w:line="246" w:lineRule="auto"/>
        <w:rPr>
          <w:sz w:val="20"/>
          <w:szCs w:val="20"/>
          <w:color w:val="auto"/>
        </w:rPr>
      </w:pPr>
      <w:r>
        <w:rPr>
          <w:rFonts w:ascii="Arial" w:cs="Arial" w:eastAsia="Arial" w:hAnsi="Arial"/>
          <w:sz w:val="18"/>
          <w:szCs w:val="18"/>
          <w:i w:val="1"/>
          <w:iCs w:val="1"/>
          <w:color w:val="auto"/>
        </w:rPr>
        <w:t>Nonqualified Stock Options</w:t>
      </w:r>
      <w:r>
        <w:rPr>
          <w:rFonts w:ascii="Arial" w:cs="Arial" w:eastAsia="Arial" w:hAnsi="Arial"/>
          <w:sz w:val="18"/>
          <w:szCs w:val="18"/>
          <w:color w:val="auto"/>
        </w:rPr>
        <w:t>. In general, a participant will not recognize income at the time a</w:t>
      </w:r>
      <w:r>
        <w:rPr>
          <w:rFonts w:ascii="Arial" w:cs="Arial" w:eastAsia="Arial" w:hAnsi="Arial"/>
          <w:sz w:val="18"/>
          <w:szCs w:val="18"/>
          <w:i w:val="1"/>
          <w:iCs w:val="1"/>
          <w:color w:val="auto"/>
        </w:rPr>
        <w:t xml:space="preserve"> </w:t>
      </w:r>
      <w:r>
        <w:rPr>
          <w:rFonts w:ascii="Arial" w:cs="Arial" w:eastAsia="Arial" w:hAnsi="Arial"/>
          <w:sz w:val="18"/>
          <w:szCs w:val="18"/>
          <w:color w:val="auto"/>
        </w:rPr>
        <w:t>nonqualified stock option is granted where the option is granted with an exercise price equal to or greater than the fair market value of the Company’s common stock on the date of grant. At the time of exercise, the participant will recognize ordinary income in an amount equal to the difference between the option price paid for the Shares and the fair market value of the Shares on the date of exercise. At the time of sale of the Shares acquired pursuant to the exercise of a nonqualified stock option, any appreciation (or depreciation) in the value of the Shares after the date of exercise generally will be treated as capital gain (or loss).</w:t>
      </w:r>
    </w:p>
    <w:p>
      <w:pPr>
        <w:spacing w:after="0" w:line="112" w:lineRule="exact"/>
        <w:rPr>
          <w:sz w:val="20"/>
          <w:szCs w:val="20"/>
          <w:color w:val="auto"/>
        </w:rPr>
      </w:pPr>
    </w:p>
    <w:p>
      <w:pPr>
        <w:jc w:val="both"/>
        <w:ind w:left="1260" w:right="419"/>
        <w:spacing w:after="0" w:line="271" w:lineRule="auto"/>
        <w:rPr>
          <w:sz w:val="20"/>
          <w:szCs w:val="20"/>
          <w:color w:val="auto"/>
        </w:rPr>
      </w:pPr>
      <w:r>
        <w:rPr>
          <w:rFonts w:ascii="Arial" w:cs="Arial" w:eastAsia="Arial" w:hAnsi="Arial"/>
          <w:sz w:val="17"/>
          <w:szCs w:val="17"/>
          <w:i w:val="1"/>
          <w:iCs w:val="1"/>
          <w:color w:val="auto"/>
        </w:rPr>
        <w:t>Incentive Stock Options</w:t>
      </w:r>
      <w:r>
        <w:rPr>
          <w:rFonts w:ascii="Arial" w:cs="Arial" w:eastAsia="Arial" w:hAnsi="Arial"/>
          <w:sz w:val="17"/>
          <w:szCs w:val="17"/>
          <w:color w:val="auto"/>
        </w:rPr>
        <w:t>. A participant generally will not recognize income upon the grant or exercise of</w:t>
      </w:r>
      <w:r>
        <w:rPr>
          <w:rFonts w:ascii="Arial" w:cs="Arial" w:eastAsia="Arial" w:hAnsi="Arial"/>
          <w:sz w:val="17"/>
          <w:szCs w:val="17"/>
          <w:i w:val="1"/>
          <w:iCs w:val="1"/>
          <w:color w:val="auto"/>
        </w:rPr>
        <w:t xml:space="preserve"> </w:t>
      </w:r>
      <w:r>
        <w:rPr>
          <w:rFonts w:ascii="Arial" w:cs="Arial" w:eastAsia="Arial" w:hAnsi="Arial"/>
          <w:sz w:val="17"/>
          <w:szCs w:val="17"/>
          <w:color w:val="auto"/>
        </w:rPr>
        <w:t>an incentive stock option. If Shares issued to a participant upon the exercise of an incentive stock option are not disposed of within two years after the date of grant or within one year after the transfer of the Shares to the participant, then upon the sale of the Shares any amount realized in excess of the exercise</w:t>
      </w:r>
    </w:p>
    <w:p>
      <w:pPr>
        <w:sectPr>
          <w:pgSz w:w="11900" w:h="16838" w:orient="portrait"/>
          <w:cols w:equalWidth="0" w:num="1">
            <w:col w:w="9879"/>
          </w:cols>
          <w:pgMar w:left="580" w:top="97" w:right="1440" w:bottom="1440" w:gutter="0" w:footer="0" w:header="0"/>
        </w:sectPr>
      </w:pPr>
    </w:p>
    <w:p>
      <w:pPr>
        <w:spacing w:after="0" w:line="33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0" w:name="page71"/>
    <w:bookmarkEnd w:id="7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left="1260" w:right="419"/>
        <w:spacing w:after="0" w:line="266" w:lineRule="auto"/>
        <w:rPr>
          <w:sz w:val="20"/>
          <w:szCs w:val="20"/>
          <w:color w:val="auto"/>
        </w:rPr>
      </w:pPr>
      <w:r>
        <w:rPr>
          <w:rFonts w:ascii="Arial" w:cs="Arial" w:eastAsia="Arial" w:hAnsi="Arial"/>
          <w:sz w:val="18"/>
          <w:szCs w:val="18"/>
          <w:color w:val="auto"/>
        </w:rPr>
        <w:t>price generally will be taxed to the participant as long-term capital gain and any loss sustained will be a long-term capital loss. If Shares acquired upon the exercise of an incentive stock option are disposed of prior to the expiration of either holding period described above (a “disqualifying disposition”), the participant generally will recognize ordinary income in the year of disposition in an amount equal to any excess of the fair market value of the Shares at the time of exercise (or, if less, the amount realized on the disposition of the Shares) over the exercise price paid for the Shares. Any further gain (or loss) realized by the participant generally will be taxed as short-term or long- term capital gain (or loss) depending on the holding period.</w:t>
      </w:r>
    </w:p>
    <w:p>
      <w:pPr>
        <w:spacing w:after="0" w:line="109" w:lineRule="exact"/>
        <w:rPr>
          <w:sz w:val="20"/>
          <w:szCs w:val="20"/>
          <w:color w:val="auto"/>
        </w:rPr>
      </w:pPr>
    </w:p>
    <w:p>
      <w:pPr>
        <w:jc w:val="both"/>
        <w:ind w:left="1260" w:right="419"/>
        <w:spacing w:after="0" w:line="270" w:lineRule="auto"/>
        <w:rPr>
          <w:sz w:val="20"/>
          <w:szCs w:val="20"/>
          <w:color w:val="auto"/>
        </w:rPr>
      </w:pPr>
      <w:r>
        <w:rPr>
          <w:rFonts w:ascii="Arial" w:cs="Arial" w:eastAsia="Arial" w:hAnsi="Arial"/>
          <w:sz w:val="18"/>
          <w:szCs w:val="18"/>
          <w:color w:val="auto"/>
        </w:rPr>
        <w:t>Although a participant does not generally recognize income for federal income tax purposes upon the grant of an incentive stock option, the difference between the fair market value of the stock on the date of grant and the option exercise price is a tax preference item that may subject the participant to the alternative minimum tax. Subject to certain exceptions for death or disability, if a participant exercises an incentive stock option more than three months after termination of employment, the exercise of the option will be taxed as the exercise of a nonqualified stock option.</w:t>
      </w:r>
    </w:p>
    <w:p>
      <w:pPr>
        <w:spacing w:after="0" w:line="101" w:lineRule="exact"/>
        <w:rPr>
          <w:sz w:val="20"/>
          <w:szCs w:val="20"/>
          <w:color w:val="auto"/>
        </w:rPr>
      </w:pPr>
    </w:p>
    <w:p>
      <w:pPr>
        <w:jc w:val="both"/>
        <w:ind w:left="1260" w:right="419"/>
        <w:spacing w:after="0" w:line="264" w:lineRule="auto"/>
        <w:rPr>
          <w:sz w:val="20"/>
          <w:szCs w:val="20"/>
          <w:color w:val="auto"/>
        </w:rPr>
      </w:pPr>
      <w:r>
        <w:rPr>
          <w:rFonts w:ascii="Arial" w:cs="Arial" w:eastAsia="Arial" w:hAnsi="Arial"/>
          <w:sz w:val="18"/>
          <w:szCs w:val="18"/>
          <w:i w:val="1"/>
          <w:iCs w:val="1"/>
          <w:color w:val="auto"/>
        </w:rPr>
        <w:t>Stock Appreciation Rights</w:t>
      </w:r>
      <w:r>
        <w:rPr>
          <w:rFonts w:ascii="Arial" w:cs="Arial" w:eastAsia="Arial" w:hAnsi="Arial"/>
          <w:sz w:val="18"/>
          <w:szCs w:val="18"/>
          <w:color w:val="auto"/>
        </w:rPr>
        <w:t>. In general, a participant will not recognize income at the time a stock</w:t>
      </w:r>
      <w:r>
        <w:rPr>
          <w:rFonts w:ascii="Arial" w:cs="Arial" w:eastAsia="Arial" w:hAnsi="Arial"/>
          <w:sz w:val="18"/>
          <w:szCs w:val="18"/>
          <w:i w:val="1"/>
          <w:iCs w:val="1"/>
          <w:color w:val="auto"/>
        </w:rPr>
        <w:t xml:space="preserve"> </w:t>
      </w:r>
      <w:r>
        <w:rPr>
          <w:rFonts w:ascii="Arial" w:cs="Arial" w:eastAsia="Arial" w:hAnsi="Arial"/>
          <w:sz w:val="18"/>
          <w:szCs w:val="18"/>
          <w:color w:val="auto"/>
        </w:rPr>
        <w:t>appreciation right is granted where the stock appreciation right is granted with an exercise price equal to the fair market value of the Company’s common stock on the date of grant. At the time of exercise, the participant will recognize ordinary income in an amount equal to the difference between the base price paid for the Shares and the fair market value of the Shares on the date of exercise. At the time of sale of the Shares acquired pursuant to the exercise of a stock appreciation right, any appreciation (or depreciation) in the value of the Shares after the date of exercise generally will be treated as capital gain (or loss).</w:t>
      </w:r>
    </w:p>
    <w:p>
      <w:pPr>
        <w:spacing w:after="0" w:line="123" w:lineRule="exact"/>
        <w:rPr>
          <w:sz w:val="20"/>
          <w:szCs w:val="20"/>
          <w:color w:val="auto"/>
        </w:rPr>
      </w:pPr>
    </w:p>
    <w:p>
      <w:pPr>
        <w:jc w:val="both"/>
        <w:ind w:left="1260" w:right="419"/>
        <w:spacing w:after="0" w:line="254" w:lineRule="auto"/>
        <w:rPr>
          <w:sz w:val="20"/>
          <w:szCs w:val="20"/>
          <w:color w:val="auto"/>
        </w:rPr>
      </w:pPr>
      <w:r>
        <w:rPr>
          <w:rFonts w:ascii="Arial" w:cs="Arial" w:eastAsia="Arial" w:hAnsi="Arial"/>
          <w:sz w:val="18"/>
          <w:szCs w:val="18"/>
          <w:i w:val="1"/>
          <w:iCs w:val="1"/>
          <w:color w:val="auto"/>
        </w:rPr>
        <w:t>Restricted Shares</w:t>
      </w:r>
      <w:r>
        <w:rPr>
          <w:rFonts w:ascii="Arial" w:cs="Arial" w:eastAsia="Arial" w:hAnsi="Arial"/>
          <w:sz w:val="18"/>
          <w:szCs w:val="18"/>
          <w:color w:val="auto"/>
        </w:rPr>
        <w:t>. A recipient of restricted shares generally will be subject to tax at ordinary income</w:t>
      </w:r>
      <w:r>
        <w:rPr>
          <w:rFonts w:ascii="Arial" w:cs="Arial" w:eastAsia="Arial" w:hAnsi="Arial"/>
          <w:sz w:val="18"/>
          <w:szCs w:val="18"/>
          <w:i w:val="1"/>
          <w:iCs w:val="1"/>
          <w:color w:val="auto"/>
        </w:rPr>
        <w:t xml:space="preserve"> </w:t>
      </w:r>
      <w:r>
        <w:rPr>
          <w:rFonts w:ascii="Arial" w:cs="Arial" w:eastAsia="Arial" w:hAnsi="Arial"/>
          <w:sz w:val="18"/>
          <w:szCs w:val="18"/>
          <w:color w:val="auto"/>
        </w:rPr>
        <w:t>rates on the fair market value of the restricted shares (reduced by any amount paid by the recipient) at such time as the Shares are no longer subject to a risk of forfeiture or restrictions on transfer for purposes of Code Section 83. However, a recipient who so elects under Code Section 83(b) within 30 days of the date of transfer of the restricted shares will recognize ordinary income on the date of transfer of the Shares equal to the excess of the fair market value of the restricted shares (determined without regard to the risk of forfeiture or restrictions on transfer) over any purchase price paid for the Shares. If a Section 83(b) election has not been made, any dividends received with respect to restricted shares that are subject at that time to a risk of forfeiture or restrictions on transfer generally will be treated as compensation that is taxable as ordinary income to the recipient.</w:t>
      </w:r>
    </w:p>
    <w:p>
      <w:pPr>
        <w:spacing w:after="0" w:line="104" w:lineRule="exact"/>
        <w:rPr>
          <w:sz w:val="20"/>
          <w:szCs w:val="20"/>
          <w:color w:val="auto"/>
        </w:rPr>
      </w:pPr>
    </w:p>
    <w:p>
      <w:pPr>
        <w:jc w:val="both"/>
        <w:ind w:left="1260" w:right="419"/>
        <w:spacing w:after="0" w:line="262" w:lineRule="auto"/>
        <w:rPr>
          <w:sz w:val="20"/>
          <w:szCs w:val="20"/>
          <w:color w:val="auto"/>
        </w:rPr>
      </w:pPr>
      <w:r>
        <w:rPr>
          <w:rFonts w:ascii="Arial" w:cs="Arial" w:eastAsia="Arial" w:hAnsi="Arial"/>
          <w:sz w:val="18"/>
          <w:szCs w:val="18"/>
          <w:i w:val="1"/>
          <w:iCs w:val="1"/>
          <w:color w:val="auto"/>
        </w:rPr>
        <w:t>Restricted Share Units</w:t>
      </w:r>
      <w:r>
        <w:rPr>
          <w:rFonts w:ascii="Arial" w:cs="Arial" w:eastAsia="Arial" w:hAnsi="Arial"/>
          <w:sz w:val="18"/>
          <w:szCs w:val="18"/>
          <w:color w:val="auto"/>
        </w:rPr>
        <w:t>. A recipient generally will recognize no income upon the receipt of a restricted</w:t>
      </w:r>
      <w:r>
        <w:rPr>
          <w:rFonts w:ascii="Arial" w:cs="Arial" w:eastAsia="Arial" w:hAnsi="Arial"/>
          <w:sz w:val="18"/>
          <w:szCs w:val="18"/>
          <w:i w:val="1"/>
          <w:iCs w:val="1"/>
          <w:color w:val="auto"/>
        </w:rPr>
        <w:t xml:space="preserve"> </w:t>
      </w:r>
      <w:r>
        <w:rPr>
          <w:rFonts w:ascii="Arial" w:cs="Arial" w:eastAsia="Arial" w:hAnsi="Arial"/>
          <w:sz w:val="18"/>
          <w:szCs w:val="18"/>
          <w:color w:val="auto"/>
        </w:rPr>
        <w:t>share unit award. Upon the settlement of a restricted share unit award, the recipient will recognize ordinary income in the year of receipt in an amount equal to the fair market value of any Shares received.</w:t>
      </w:r>
    </w:p>
    <w:p>
      <w:pPr>
        <w:spacing w:after="0" w:line="109" w:lineRule="exact"/>
        <w:rPr>
          <w:sz w:val="20"/>
          <w:szCs w:val="20"/>
          <w:color w:val="auto"/>
        </w:rPr>
      </w:pPr>
    </w:p>
    <w:p>
      <w:pPr>
        <w:jc w:val="both"/>
        <w:ind w:left="1260" w:right="419"/>
        <w:spacing w:after="0" w:line="262" w:lineRule="auto"/>
        <w:rPr>
          <w:sz w:val="20"/>
          <w:szCs w:val="20"/>
          <w:color w:val="auto"/>
        </w:rPr>
      </w:pPr>
      <w:r>
        <w:rPr>
          <w:rFonts w:ascii="Arial" w:cs="Arial" w:eastAsia="Arial" w:hAnsi="Arial"/>
          <w:sz w:val="18"/>
          <w:szCs w:val="18"/>
          <w:i w:val="1"/>
          <w:iCs w:val="1"/>
          <w:color w:val="auto"/>
        </w:rPr>
        <w:t>Performance Shares and Performance Units</w:t>
      </w:r>
      <w:r>
        <w:rPr>
          <w:rFonts w:ascii="Arial" w:cs="Arial" w:eastAsia="Arial" w:hAnsi="Arial"/>
          <w:sz w:val="18"/>
          <w:szCs w:val="18"/>
          <w:color w:val="auto"/>
        </w:rPr>
        <w:t>. A participant generally will not recognize income upon</w:t>
      </w:r>
      <w:r>
        <w:rPr>
          <w:rFonts w:ascii="Arial" w:cs="Arial" w:eastAsia="Arial" w:hAnsi="Arial"/>
          <w:sz w:val="18"/>
          <w:szCs w:val="18"/>
          <w:i w:val="1"/>
          <w:iCs w:val="1"/>
          <w:color w:val="auto"/>
        </w:rPr>
        <w:t xml:space="preserve"> </w:t>
      </w:r>
      <w:r>
        <w:rPr>
          <w:rFonts w:ascii="Arial" w:cs="Arial" w:eastAsia="Arial" w:hAnsi="Arial"/>
          <w:sz w:val="18"/>
          <w:szCs w:val="18"/>
          <w:color w:val="auto"/>
        </w:rPr>
        <w:t>the grant of performance shares or performance units. Upon payment, with respect to performance shares or performance units, the participant generally will recognize as ordinary income an amount equal to the amount of cash received and the fair market value of any unrestricted stock received.</w:t>
      </w:r>
    </w:p>
    <w:p>
      <w:pPr>
        <w:spacing w:after="0" w:line="109" w:lineRule="exact"/>
        <w:rPr>
          <w:sz w:val="20"/>
          <w:szCs w:val="20"/>
          <w:color w:val="auto"/>
        </w:rPr>
      </w:pPr>
    </w:p>
    <w:p>
      <w:pPr>
        <w:jc w:val="both"/>
        <w:ind w:left="1260" w:right="419"/>
        <w:spacing w:after="0" w:line="255" w:lineRule="auto"/>
        <w:rPr>
          <w:sz w:val="20"/>
          <w:szCs w:val="20"/>
          <w:color w:val="auto"/>
        </w:rPr>
      </w:pPr>
      <w:r>
        <w:rPr>
          <w:rFonts w:ascii="Arial" w:cs="Arial" w:eastAsia="Arial" w:hAnsi="Arial"/>
          <w:sz w:val="18"/>
          <w:szCs w:val="18"/>
          <w:i w:val="1"/>
          <w:iCs w:val="1"/>
          <w:color w:val="auto"/>
        </w:rPr>
        <w:t>Tax Effect for the Company</w:t>
      </w:r>
      <w:r>
        <w:rPr>
          <w:rFonts w:ascii="Arial" w:cs="Arial" w:eastAsia="Arial" w:hAnsi="Arial"/>
          <w:sz w:val="18"/>
          <w:szCs w:val="18"/>
          <w:color w:val="auto"/>
        </w:rPr>
        <w:t>. To the extent that a participant recognizes ordinary income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circumstances described above, the Company or subsidiary for which the participant performs services will be entitled to a corresponding deduction, provided that, among other things, the income meets the test of reasonableness, is an ordinary and necessary business expense, is not an “excess parachute payment” within the meaning of Code Section 280G and is not disallowed by the $1 million limitation on certain executive compensation under Code Section 162(m); provided that the Company is not entitled to a deduction with respect to the award of an incentive stock option, unless there is a disqualifying disposition of such incentive stock option.</w:t>
      </w:r>
    </w:p>
    <w:p>
      <w:pPr>
        <w:spacing w:after="0" w:line="104" w:lineRule="exact"/>
        <w:rPr>
          <w:sz w:val="20"/>
          <w:szCs w:val="20"/>
          <w:color w:val="auto"/>
        </w:rPr>
      </w:pPr>
    </w:p>
    <w:p>
      <w:pPr>
        <w:jc w:val="both"/>
        <w:ind w:left="1260" w:right="419"/>
        <w:spacing w:after="0" w:line="287" w:lineRule="auto"/>
        <w:rPr>
          <w:sz w:val="20"/>
          <w:szCs w:val="20"/>
          <w:color w:val="auto"/>
        </w:rPr>
      </w:pPr>
      <w:r>
        <w:rPr>
          <w:rFonts w:ascii="Arial" w:cs="Arial" w:eastAsia="Arial" w:hAnsi="Arial"/>
          <w:sz w:val="18"/>
          <w:szCs w:val="18"/>
          <w:i w:val="1"/>
          <w:iCs w:val="1"/>
          <w:color w:val="auto"/>
        </w:rPr>
        <w:t>Section 162(m)</w:t>
      </w:r>
      <w:r>
        <w:rPr>
          <w:rFonts w:ascii="Arial" w:cs="Arial" w:eastAsia="Arial" w:hAnsi="Arial"/>
          <w:sz w:val="18"/>
          <w:szCs w:val="18"/>
          <w:color w:val="auto"/>
        </w:rPr>
        <w:t>. Compensation paid to certain executive officers in excess of $1 million will generally</w:t>
      </w:r>
      <w:r>
        <w:rPr>
          <w:rFonts w:ascii="Arial" w:cs="Arial" w:eastAsia="Arial" w:hAnsi="Arial"/>
          <w:sz w:val="18"/>
          <w:szCs w:val="18"/>
          <w:i w:val="1"/>
          <w:iCs w:val="1"/>
          <w:color w:val="auto"/>
        </w:rPr>
        <w:t xml:space="preserve"> </w:t>
      </w:r>
      <w:r>
        <w:rPr>
          <w:rFonts w:ascii="Arial" w:cs="Arial" w:eastAsia="Arial" w:hAnsi="Arial"/>
          <w:sz w:val="18"/>
          <w:szCs w:val="18"/>
          <w:color w:val="auto"/>
        </w:rPr>
        <w:t>be non-deductible, whether or not it is performance-based.</w:t>
      </w:r>
    </w:p>
    <w:p>
      <w:pPr>
        <w:sectPr>
          <w:pgSz w:w="11900" w:h="16838" w:orient="portrait"/>
          <w:cols w:equalWidth="0" w:num="1">
            <w:col w:w="9879"/>
          </w:cols>
          <w:pgMar w:left="580" w:top="97" w:right="1440" w:bottom="1440" w:gutter="0" w:footer="0" w:header="0"/>
        </w:sectPr>
      </w:pPr>
    </w:p>
    <w:p>
      <w:pPr>
        <w:spacing w:after="0" w:line="34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1" w:name="page72"/>
    <w:bookmarkEnd w:id="7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New Plan Benefits</w:t>
      </w:r>
    </w:p>
    <w:p>
      <w:pPr>
        <w:spacing w:after="0" w:line="158" w:lineRule="exact"/>
        <w:rPr>
          <w:sz w:val="20"/>
          <w:szCs w:val="20"/>
          <w:color w:val="auto"/>
        </w:rPr>
      </w:pPr>
    </w:p>
    <w:p>
      <w:pPr>
        <w:jc w:val="both"/>
        <w:ind w:left="1260" w:right="419"/>
        <w:spacing w:after="0" w:line="261" w:lineRule="auto"/>
        <w:rPr>
          <w:sz w:val="20"/>
          <w:szCs w:val="20"/>
          <w:color w:val="auto"/>
        </w:rPr>
      </w:pPr>
      <w:r>
        <w:rPr>
          <w:rFonts w:ascii="Arial" w:cs="Arial" w:eastAsia="Arial" w:hAnsi="Arial"/>
          <w:sz w:val="18"/>
          <w:szCs w:val="18"/>
          <w:color w:val="auto"/>
        </w:rPr>
        <w:t>The number of awards that an employee or a non-employee director may receive under the 2010 Plan is in the discretion of the Compensation Committee (as the plan administrator) and, therefore, cannot be determined in advance.</w:t>
      </w:r>
    </w:p>
    <w:p>
      <w:pPr>
        <w:spacing w:after="0" w:line="16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following table provides information regarding the Company’s equity compensation plans as of</w:t>
      </w:r>
    </w:p>
    <w:p>
      <w:pPr>
        <w:spacing w:after="0" w:line="1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December 31, 2025:</w:t>
      </w:r>
    </w:p>
    <w:p>
      <w:pPr>
        <w:spacing w:after="0" w:line="17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rPr>
              <w:t>Number of</w:t>
            </w:r>
          </w:p>
        </w:tc>
        <w:tc>
          <w:tcPr>
            <w:tcW w:w="40" w:type="dxa"/>
            <w:vAlign w:val="bottom"/>
          </w:tcPr>
          <w:p>
            <w:pPr>
              <w:spacing w:after="0"/>
              <w:rPr>
                <w:sz w:val="14"/>
                <w:szCs w:val="14"/>
                <w:color w:val="auto"/>
              </w:rPr>
            </w:pPr>
          </w:p>
        </w:tc>
      </w:tr>
      <w:tr>
        <w:trPr>
          <w:trHeight w:val="162"/>
        </w:trPr>
        <w:tc>
          <w:tcPr>
            <w:tcW w:w="4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rPr>
              <w:t>securities</w:t>
            </w:r>
          </w:p>
        </w:tc>
        <w:tc>
          <w:tcPr>
            <w:tcW w:w="40" w:type="dxa"/>
            <w:vAlign w:val="bottom"/>
          </w:tcPr>
          <w:p>
            <w:pPr>
              <w:spacing w:after="0"/>
              <w:rPr>
                <w:sz w:val="14"/>
                <w:szCs w:val="14"/>
                <w:color w:val="auto"/>
              </w:rPr>
            </w:pPr>
          </w:p>
        </w:tc>
      </w:tr>
      <w:tr>
        <w:trPr>
          <w:trHeight w:val="162"/>
        </w:trPr>
        <w:tc>
          <w:tcPr>
            <w:tcW w:w="4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rPr>
              <w:t>remaining</w:t>
            </w:r>
          </w:p>
        </w:tc>
        <w:tc>
          <w:tcPr>
            <w:tcW w:w="40" w:type="dxa"/>
            <w:vAlign w:val="bottom"/>
          </w:tcPr>
          <w:p>
            <w:pPr>
              <w:spacing w:after="0"/>
              <w:rPr>
                <w:sz w:val="14"/>
                <w:szCs w:val="14"/>
                <w:color w:val="auto"/>
              </w:rPr>
            </w:pPr>
          </w:p>
        </w:tc>
      </w:tr>
      <w:tr>
        <w:trPr>
          <w:trHeight w:val="162"/>
        </w:trPr>
        <w:tc>
          <w:tcPr>
            <w:tcW w:w="4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Weighted</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rPr>
              <w:t>available for</w:t>
            </w:r>
          </w:p>
        </w:tc>
        <w:tc>
          <w:tcPr>
            <w:tcW w:w="40" w:type="dxa"/>
            <w:vAlign w:val="bottom"/>
          </w:tcPr>
          <w:p>
            <w:pPr>
              <w:spacing w:after="0"/>
              <w:rPr>
                <w:sz w:val="14"/>
                <w:szCs w:val="14"/>
                <w:color w:val="auto"/>
              </w:rPr>
            </w:pPr>
          </w:p>
        </w:tc>
      </w:tr>
      <w:tr>
        <w:trPr>
          <w:trHeight w:val="162"/>
        </w:trPr>
        <w:tc>
          <w:tcPr>
            <w:tcW w:w="4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9"/>
              </w:rPr>
              <w:t>Number of</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average</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rPr>
              <w:t>future issuance</w:t>
            </w:r>
          </w:p>
        </w:tc>
        <w:tc>
          <w:tcPr>
            <w:tcW w:w="40" w:type="dxa"/>
            <w:vAlign w:val="bottom"/>
          </w:tcPr>
          <w:p>
            <w:pPr>
              <w:spacing w:after="0"/>
              <w:rPr>
                <w:sz w:val="14"/>
                <w:szCs w:val="14"/>
                <w:color w:val="auto"/>
              </w:rPr>
            </w:pPr>
          </w:p>
        </w:tc>
      </w:tr>
      <w:tr>
        <w:trPr>
          <w:trHeight w:val="162"/>
        </w:trPr>
        <w:tc>
          <w:tcPr>
            <w:tcW w:w="4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4"/>
          </w:tcPr>
          <w:p>
            <w:pPr>
              <w:jc w:val="center"/>
              <w:spacing w:after="0"/>
              <w:rPr>
                <w:sz w:val="20"/>
                <w:szCs w:val="20"/>
                <w:color w:val="auto"/>
              </w:rPr>
            </w:pPr>
            <w:r>
              <w:rPr>
                <w:rFonts w:ascii="Arial" w:cs="Arial" w:eastAsia="Arial" w:hAnsi="Arial"/>
                <w:sz w:val="14"/>
                <w:szCs w:val="14"/>
                <w:b w:val="1"/>
                <w:bCs w:val="1"/>
                <w:color w:val="auto"/>
              </w:rPr>
              <w:t>securities to</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exercise</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rPr>
              <w:t>under equity</w:t>
            </w:r>
          </w:p>
        </w:tc>
        <w:tc>
          <w:tcPr>
            <w:tcW w:w="40" w:type="dxa"/>
            <w:vAlign w:val="bottom"/>
          </w:tcPr>
          <w:p>
            <w:pPr>
              <w:spacing w:after="0"/>
              <w:rPr>
                <w:sz w:val="14"/>
                <w:szCs w:val="14"/>
                <w:color w:val="auto"/>
              </w:rPr>
            </w:pPr>
          </w:p>
        </w:tc>
      </w:tr>
      <w:tr>
        <w:trPr>
          <w:trHeight w:val="162"/>
        </w:trPr>
        <w:tc>
          <w:tcPr>
            <w:tcW w:w="4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4"/>
          </w:tcPr>
          <w:p>
            <w:pPr>
              <w:jc w:val="center"/>
              <w:spacing w:after="0"/>
              <w:rPr>
                <w:sz w:val="20"/>
                <w:szCs w:val="20"/>
                <w:color w:val="auto"/>
              </w:rPr>
            </w:pPr>
            <w:r>
              <w:rPr>
                <w:rFonts w:ascii="Arial" w:cs="Arial" w:eastAsia="Arial" w:hAnsi="Arial"/>
                <w:sz w:val="14"/>
                <w:szCs w:val="14"/>
                <w:b w:val="1"/>
                <w:bCs w:val="1"/>
                <w:color w:val="auto"/>
              </w:rPr>
              <w:t>be issued</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price of</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rPr>
              <w:t>compensation</w:t>
            </w:r>
          </w:p>
        </w:tc>
        <w:tc>
          <w:tcPr>
            <w:tcW w:w="40" w:type="dxa"/>
            <w:vAlign w:val="bottom"/>
          </w:tcPr>
          <w:p>
            <w:pPr>
              <w:spacing w:after="0"/>
              <w:rPr>
                <w:sz w:val="14"/>
                <w:szCs w:val="14"/>
                <w:color w:val="auto"/>
              </w:rPr>
            </w:pPr>
          </w:p>
        </w:tc>
      </w:tr>
      <w:tr>
        <w:trPr>
          <w:trHeight w:val="162"/>
        </w:trPr>
        <w:tc>
          <w:tcPr>
            <w:tcW w:w="4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4"/>
          </w:tcPr>
          <w:p>
            <w:pPr>
              <w:jc w:val="center"/>
              <w:spacing w:after="0"/>
              <w:rPr>
                <w:sz w:val="20"/>
                <w:szCs w:val="20"/>
                <w:color w:val="auto"/>
              </w:rPr>
            </w:pPr>
            <w:r>
              <w:rPr>
                <w:rFonts w:ascii="Arial" w:cs="Arial" w:eastAsia="Arial" w:hAnsi="Arial"/>
                <w:sz w:val="14"/>
                <w:szCs w:val="14"/>
                <w:b w:val="1"/>
                <w:bCs w:val="1"/>
                <w:color w:val="auto"/>
              </w:rPr>
              <w:t>upon exercise</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3"/>
          </w:tcPr>
          <w:p>
            <w:pPr>
              <w:jc w:val="center"/>
              <w:spacing w:after="0"/>
              <w:rPr>
                <w:sz w:val="20"/>
                <w:szCs w:val="20"/>
                <w:color w:val="auto"/>
              </w:rPr>
            </w:pPr>
            <w:r>
              <w:rPr>
                <w:rFonts w:ascii="Arial" w:cs="Arial" w:eastAsia="Arial" w:hAnsi="Arial"/>
                <w:sz w:val="14"/>
                <w:szCs w:val="14"/>
                <w:b w:val="1"/>
                <w:bCs w:val="1"/>
                <w:color w:val="auto"/>
              </w:rPr>
              <w:t>outstanding</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rPr>
              <w:t>plans (excluding</w:t>
            </w:r>
          </w:p>
        </w:tc>
        <w:tc>
          <w:tcPr>
            <w:tcW w:w="40" w:type="dxa"/>
            <w:vAlign w:val="bottom"/>
          </w:tcPr>
          <w:p>
            <w:pPr>
              <w:spacing w:after="0"/>
              <w:rPr>
                <w:sz w:val="14"/>
                <w:szCs w:val="14"/>
                <w:color w:val="auto"/>
              </w:rPr>
            </w:pPr>
          </w:p>
        </w:tc>
      </w:tr>
      <w:tr>
        <w:trPr>
          <w:trHeight w:val="162"/>
        </w:trPr>
        <w:tc>
          <w:tcPr>
            <w:tcW w:w="4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4"/>
          </w:tcPr>
          <w:p>
            <w:pPr>
              <w:jc w:val="center"/>
              <w:spacing w:after="0"/>
              <w:rPr>
                <w:sz w:val="20"/>
                <w:szCs w:val="20"/>
                <w:color w:val="auto"/>
              </w:rPr>
            </w:pPr>
            <w:r>
              <w:rPr>
                <w:rFonts w:ascii="Arial" w:cs="Arial" w:eastAsia="Arial" w:hAnsi="Arial"/>
                <w:sz w:val="14"/>
                <w:szCs w:val="14"/>
                <w:b w:val="1"/>
                <w:bCs w:val="1"/>
                <w:color w:val="auto"/>
              </w:rPr>
              <w:t>of outstanding</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options,</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rPr>
              <w:t>securities</w:t>
            </w:r>
          </w:p>
        </w:tc>
        <w:tc>
          <w:tcPr>
            <w:tcW w:w="40" w:type="dxa"/>
            <w:vAlign w:val="bottom"/>
          </w:tcPr>
          <w:p>
            <w:pPr>
              <w:spacing w:after="0"/>
              <w:rPr>
                <w:sz w:val="14"/>
                <w:szCs w:val="14"/>
                <w:color w:val="auto"/>
              </w:rPr>
            </w:pPr>
          </w:p>
        </w:tc>
      </w:tr>
      <w:tr>
        <w:trPr>
          <w:trHeight w:val="162"/>
        </w:trPr>
        <w:tc>
          <w:tcPr>
            <w:tcW w:w="4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4"/>
          </w:tcPr>
          <w:p>
            <w:pPr>
              <w:jc w:val="center"/>
              <w:spacing w:after="0"/>
              <w:rPr>
                <w:sz w:val="20"/>
                <w:szCs w:val="20"/>
                <w:color w:val="auto"/>
              </w:rPr>
            </w:pPr>
            <w:r>
              <w:rPr>
                <w:rFonts w:ascii="Arial" w:cs="Arial" w:eastAsia="Arial" w:hAnsi="Arial"/>
                <w:sz w:val="14"/>
                <w:szCs w:val="14"/>
                <w:b w:val="1"/>
                <w:bCs w:val="1"/>
                <w:color w:val="auto"/>
              </w:rPr>
              <w:t>options, warrants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3"/>
          </w:tcPr>
          <w:p>
            <w:pPr>
              <w:jc w:val="center"/>
              <w:spacing w:after="0"/>
              <w:rPr>
                <w:sz w:val="20"/>
                <w:szCs w:val="20"/>
                <w:color w:val="auto"/>
              </w:rPr>
            </w:pPr>
            <w:r>
              <w:rPr>
                <w:rFonts w:ascii="Arial" w:cs="Arial" w:eastAsia="Arial" w:hAnsi="Arial"/>
                <w:sz w:val="14"/>
                <w:szCs w:val="14"/>
                <w:b w:val="1"/>
                <w:bCs w:val="1"/>
                <w:color w:val="auto"/>
              </w:rPr>
              <w:t>warrants and</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rPr>
              <w:t>reflected in</w:t>
            </w:r>
          </w:p>
        </w:tc>
        <w:tc>
          <w:tcPr>
            <w:tcW w:w="40" w:type="dxa"/>
            <w:vAlign w:val="bottom"/>
          </w:tcPr>
          <w:p>
            <w:pPr>
              <w:spacing w:after="0"/>
              <w:rPr>
                <w:sz w:val="14"/>
                <w:szCs w:val="14"/>
                <w:color w:val="auto"/>
              </w:rPr>
            </w:pPr>
          </w:p>
        </w:tc>
      </w:tr>
      <w:tr>
        <w:trPr>
          <w:trHeight w:val="197"/>
        </w:trPr>
        <w:tc>
          <w:tcPr>
            <w:tcW w:w="42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Plan category</w:t>
            </w:r>
          </w:p>
        </w:tc>
        <w:tc>
          <w:tcPr>
            <w:tcW w:w="20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and rights (a)</w:t>
            </w: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rPr>
              <w:t>rights (b)</w:t>
            </w:r>
          </w:p>
        </w:tc>
        <w:tc>
          <w:tcPr>
            <w:tcW w:w="40" w:type="dxa"/>
            <w:vAlign w:val="bottom"/>
            <w:tcBorders>
              <w:bottom w:val="single" w:sz="8" w:color="auto"/>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column (a)) (c)</w:t>
            </w:r>
          </w:p>
        </w:tc>
        <w:tc>
          <w:tcPr>
            <w:tcW w:w="40" w:type="dxa"/>
            <w:vAlign w:val="bottom"/>
          </w:tcPr>
          <w:p>
            <w:pPr>
              <w:spacing w:after="0"/>
              <w:rPr>
                <w:sz w:val="17"/>
                <w:szCs w:val="17"/>
                <w:color w:val="auto"/>
              </w:rPr>
            </w:pPr>
          </w:p>
        </w:tc>
      </w:tr>
      <w:tr>
        <w:trPr>
          <w:trHeight w:val="203"/>
        </w:trPr>
        <w:tc>
          <w:tcPr>
            <w:tcW w:w="44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Equity compensation plans approved by security</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78"/>
        </w:trPr>
        <w:tc>
          <w:tcPr>
            <w:tcW w:w="4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holders</w:t>
            </w:r>
            <w:r>
              <w:rPr>
                <w:rFonts w:ascii="Arial" w:cs="Arial" w:eastAsia="Arial" w:hAnsi="Arial"/>
                <w:sz w:val="23"/>
                <w:szCs w:val="23"/>
                <w:color w:val="auto"/>
                <w:vertAlign w:val="superscript"/>
              </w:rPr>
              <w:t>(1)</w:t>
            </w:r>
          </w:p>
        </w:tc>
        <w:tc>
          <w:tcPr>
            <w:tcW w:w="122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​394,331</w:t>
            </w:r>
            <w:r>
              <w:rPr>
                <w:rFonts w:ascii="Arial" w:cs="Arial" w:eastAsia="Arial" w:hAnsi="Arial"/>
                <w:sz w:val="23"/>
                <w:szCs w:val="23"/>
                <w:color w:val="auto"/>
                <w:vertAlign w:val="superscript"/>
              </w:rPr>
              <w:t>(2)</w:t>
            </w:r>
          </w:p>
        </w:tc>
        <w:tc>
          <w:tcPr>
            <w:tcW w:w="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0" w:type="dxa"/>
            <w:vAlign w:val="bottom"/>
            <w:gridSpan w:val="4"/>
            <w:shd w:val="clear" w:color="auto" w:fill="CCEEFF"/>
          </w:tcPr>
          <w:p>
            <w:pPr>
              <w:jc w:val="right"/>
              <w:ind w:right="180"/>
              <w:spacing w:after="0" w:line="278"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1"/>
                <w:szCs w:val="11"/>
                <w:color w:val="auto"/>
              </w:rPr>
              <w:t>(3)</w:t>
            </w:r>
            <w:r>
              <w:rPr>
                <w:rFonts w:ascii="Arial" w:cs="Arial" w:eastAsia="Arial" w:hAnsi="Arial"/>
                <w:sz w:val="32"/>
                <w:szCs w:val="32"/>
                <w:color w:val="auto"/>
                <w:vertAlign w:val="subscript"/>
              </w:rPr>
              <w:t>​</w:t>
            </w:r>
          </w:p>
        </w:tc>
        <w:tc>
          <w:tcPr>
            <w:tcW w:w="1160" w:type="dxa"/>
            <w:vAlign w:val="bottom"/>
            <w:tcBorders>
              <w:right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​519,074</w:t>
            </w:r>
          </w:p>
        </w:tc>
        <w:tc>
          <w:tcPr>
            <w:tcW w:w="40" w:type="dxa"/>
            <w:vAlign w:val="bottom"/>
          </w:tcPr>
          <w:p>
            <w:pPr>
              <w:spacing w:after="0"/>
              <w:rPr>
                <w:sz w:val="20"/>
                <w:szCs w:val="20"/>
                <w:color w:val="auto"/>
              </w:rPr>
            </w:pPr>
            <w:r>
              <w:rPr>
                <w:rFonts w:ascii="Arial" w:cs="Arial" w:eastAsia="Arial" w:hAnsi="Arial"/>
                <w:sz w:val="18"/>
                <w:szCs w:val="18"/>
                <w:color w:val="auto"/>
              </w:rPr>
              <w:t>​</w:t>
            </w:r>
          </w:p>
        </w:tc>
      </w:tr>
      <w:tr>
        <w:trPr>
          <w:trHeight w:val="224"/>
        </w:trPr>
        <w:tc>
          <w:tcPr>
            <w:tcW w:w="442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security</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62"/>
        </w:trPr>
        <w:tc>
          <w:tcPr>
            <w:tcW w:w="4420" w:type="dxa"/>
            <w:vAlign w:val="bottom"/>
            <w:gridSpan w:val="2"/>
          </w:tcPr>
          <w:p>
            <w:pPr>
              <w:ind w:left="180"/>
              <w:spacing w:after="0"/>
              <w:rPr>
                <w:sz w:val="20"/>
                <w:szCs w:val="20"/>
                <w:color w:val="auto"/>
              </w:rPr>
            </w:pPr>
            <w:r>
              <w:rPr>
                <w:rFonts w:ascii="Arial" w:cs="Arial" w:eastAsia="Arial" w:hAnsi="Arial"/>
                <w:sz w:val="18"/>
                <w:szCs w:val="18"/>
                <w:color w:val="auto"/>
              </w:rPr>
              <w:t>holders</w:t>
            </w:r>
          </w:p>
        </w:tc>
        <w:tc>
          <w:tcPr>
            <w:tcW w:w="5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60" w:type="dxa"/>
            <w:vAlign w:val="bottom"/>
          </w:tcPr>
          <w:p>
            <w:pPr>
              <w:ind w:left="10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r>
              <w:rPr>
                <w:rFonts w:ascii="Arial" w:cs="Arial" w:eastAsia="Arial" w:hAnsi="Arial"/>
                <w:sz w:val="18"/>
                <w:szCs w:val="18"/>
                <w:color w:val="auto"/>
              </w:rPr>
              <w:t>​</w:t>
            </w:r>
          </w:p>
        </w:tc>
      </w:tr>
      <w:tr>
        <w:trPr>
          <w:trHeight w:val="20"/>
        </w:trPr>
        <w:tc>
          <w:tcPr>
            <w:tcW w:w="4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22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​394,331</w:t>
            </w:r>
          </w:p>
        </w:tc>
        <w:tc>
          <w:tcPr>
            <w:tcW w:w="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​519,074</w:t>
            </w:r>
          </w:p>
        </w:tc>
        <w:tc>
          <w:tcPr>
            <w:tcW w:w="40" w:type="dxa"/>
            <w:vAlign w:val="bottom"/>
          </w:tcPr>
          <w:p>
            <w:pPr>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5848985</wp:posOffset>
            </wp:positionH>
            <wp:positionV relativeFrom="paragraph">
              <wp:posOffset>-170815</wp:posOffset>
            </wp:positionV>
            <wp:extent cx="16256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5052060</wp:posOffset>
            </wp:positionH>
            <wp:positionV relativeFrom="paragraph">
              <wp:posOffset>-170815</wp:posOffset>
            </wp:positionV>
            <wp:extent cx="36830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6830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-170815</wp:posOffset>
            </wp:positionV>
            <wp:extent cx="379730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797300" cy="8255"/>
                    </a:xfrm>
                    <a:prstGeom prst="rect">
                      <a:avLst/>
                    </a:prstGeom>
                    <a:noFill/>
                  </pic:spPr>
                </pic:pic>
              </a:graphicData>
            </a:graphic>
          </wp:anchor>
        </w:drawing>
        <w:drawing>
          <wp:anchor simplePos="0" relativeHeight="251657728" behindDoc="1" locked="0" layoutInCell="0" allowOverlap="1">
            <wp:simplePos x="0" y="0"/>
            <wp:positionH relativeFrom="column">
              <wp:posOffset>5128895</wp:posOffset>
            </wp:positionH>
            <wp:positionV relativeFrom="paragraph">
              <wp:posOffset>-796925</wp:posOffset>
            </wp:positionV>
            <wp:extent cx="13716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4400550</wp:posOffset>
            </wp:positionH>
            <wp:positionV relativeFrom="paragraph">
              <wp:posOffset>-796925</wp:posOffset>
            </wp:positionV>
            <wp:extent cx="13716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3474720</wp:posOffset>
            </wp:positionH>
            <wp:positionV relativeFrom="paragraph">
              <wp:posOffset>-796925</wp:posOffset>
            </wp:positionV>
            <wp:extent cx="13716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137160</wp:posOffset>
            </wp:positionV>
            <wp:extent cx="123444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35" w:lineRule="exact"/>
        <w:rPr>
          <w:sz w:val="20"/>
          <w:szCs w:val="20"/>
          <w:color w:val="auto"/>
        </w:rPr>
      </w:pPr>
    </w:p>
    <w:p>
      <w:pPr>
        <w:ind w:left="1620" w:hanging="360"/>
        <w:spacing w:after="0"/>
        <w:tabs>
          <w:tab w:leader="none" w:pos="1620" w:val="left"/>
        </w:tabs>
        <w:numPr>
          <w:ilvl w:val="0"/>
          <w:numId w:val="66"/>
        </w:numPr>
        <w:rPr>
          <w:rFonts w:ascii="Arial" w:cs="Arial" w:eastAsia="Arial" w:hAnsi="Arial"/>
          <w:sz w:val="14"/>
          <w:szCs w:val="14"/>
          <w:color w:val="auto"/>
        </w:rPr>
      </w:pPr>
      <w:r>
        <w:rPr>
          <w:rFonts w:ascii="Arial" w:cs="Arial" w:eastAsia="Arial" w:hAnsi="Arial"/>
          <w:sz w:val="14"/>
          <w:szCs w:val="14"/>
          <w:color w:val="auto"/>
        </w:rPr>
        <w:t>Consists entirely of common shares authorized for issuance under the 2010 Plan.</w:t>
      </w:r>
    </w:p>
    <w:p>
      <w:pPr>
        <w:spacing w:after="0" w:line="68" w:lineRule="exact"/>
        <w:rPr>
          <w:rFonts w:ascii="Arial" w:cs="Arial" w:eastAsia="Arial" w:hAnsi="Arial"/>
          <w:sz w:val="14"/>
          <w:szCs w:val="14"/>
          <w:color w:val="auto"/>
        </w:rPr>
      </w:pPr>
    </w:p>
    <w:p>
      <w:pPr>
        <w:ind w:left="1620" w:hanging="360"/>
        <w:spacing w:after="0"/>
        <w:tabs>
          <w:tab w:leader="none" w:pos="1620" w:val="left"/>
        </w:tabs>
        <w:numPr>
          <w:ilvl w:val="0"/>
          <w:numId w:val="66"/>
        </w:numPr>
        <w:rPr>
          <w:rFonts w:ascii="Arial" w:cs="Arial" w:eastAsia="Arial" w:hAnsi="Arial"/>
          <w:sz w:val="14"/>
          <w:szCs w:val="14"/>
          <w:color w:val="auto"/>
        </w:rPr>
      </w:pPr>
      <w:r>
        <w:rPr>
          <w:rFonts w:ascii="Arial" w:cs="Arial" w:eastAsia="Arial" w:hAnsi="Arial"/>
          <w:sz w:val="14"/>
          <w:szCs w:val="14"/>
          <w:color w:val="auto"/>
        </w:rPr>
        <w:t>Reflects the maximum number of shares that may be issued pursuant to all outstanding performance share awards.</w:t>
      </w:r>
    </w:p>
    <w:p>
      <w:pPr>
        <w:spacing w:after="0" w:line="82" w:lineRule="exact"/>
        <w:rPr>
          <w:rFonts w:ascii="Arial" w:cs="Arial" w:eastAsia="Arial" w:hAnsi="Arial"/>
          <w:sz w:val="14"/>
          <w:szCs w:val="14"/>
          <w:color w:val="auto"/>
        </w:rPr>
      </w:pPr>
    </w:p>
    <w:p>
      <w:pPr>
        <w:ind w:left="1620" w:hanging="360"/>
        <w:spacing w:after="0"/>
        <w:tabs>
          <w:tab w:leader="none" w:pos="1620" w:val="left"/>
        </w:tabs>
        <w:numPr>
          <w:ilvl w:val="0"/>
          <w:numId w:val="66"/>
        </w:numPr>
        <w:rPr>
          <w:rFonts w:ascii="Arial" w:cs="Arial" w:eastAsia="Arial" w:hAnsi="Arial"/>
          <w:sz w:val="14"/>
          <w:szCs w:val="14"/>
          <w:color w:val="auto"/>
        </w:rPr>
      </w:pPr>
      <w:r>
        <w:rPr>
          <w:rFonts w:ascii="Arial" w:cs="Arial" w:eastAsia="Arial" w:hAnsi="Arial"/>
          <w:sz w:val="14"/>
          <w:szCs w:val="14"/>
          <w:color w:val="auto"/>
        </w:rPr>
        <w:t>None of the outstanding awards granted under the equity incentive plan described in the table above have an exercise price.</w:t>
      </w:r>
    </w:p>
    <w:p>
      <w:pPr>
        <w:spacing w:after="0" w:line="221"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OTHER MATTERS</w:t>
      </w:r>
    </w:p>
    <w:p>
      <w:pPr>
        <w:spacing w:after="0" w:line="144" w:lineRule="exact"/>
        <w:rPr>
          <w:sz w:val="20"/>
          <w:szCs w:val="20"/>
          <w:color w:val="auto"/>
        </w:rPr>
      </w:pPr>
    </w:p>
    <w:p>
      <w:pPr>
        <w:jc w:val="both"/>
        <w:ind w:left="1260" w:right="419"/>
        <w:spacing w:after="0" w:line="246" w:lineRule="auto"/>
        <w:rPr>
          <w:sz w:val="20"/>
          <w:szCs w:val="20"/>
          <w:color w:val="auto"/>
        </w:rPr>
      </w:pPr>
      <w:r>
        <w:rPr>
          <w:rFonts w:ascii="Arial" w:cs="Arial" w:eastAsia="Arial" w:hAnsi="Arial"/>
          <w:sz w:val="18"/>
          <w:szCs w:val="18"/>
          <w:color w:val="auto"/>
        </w:rPr>
        <w:t>Our Board of Directors does not intend to bring any other matters before the Annual Meeting and is not aware of any other matters that will or may be properly presented at the Annual Meeting by others. Unless the date of the Annual Meeting is postponed by more than 30 days from the prior year’s annual meeting of stockholders, the deadline under our Bylaws for any stockholder proposal not discussed in this proxy statement to be properly presented at the Annual Meeting has passed. If any other matters are properly brought before the Annual Meeting, however, the persons named in the accompanying proxy card will vote on such other matters in their best judgment with respect to the shares for which we have received proxies.</w:t>
      </w:r>
    </w:p>
    <w:p>
      <w:pPr>
        <w:spacing w:after="0" w:line="179"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DELINQUENT SECTION 16(a) REPORTS</w:t>
      </w:r>
    </w:p>
    <w:p>
      <w:pPr>
        <w:spacing w:after="0" w:line="158" w:lineRule="exact"/>
        <w:rPr>
          <w:sz w:val="20"/>
          <w:szCs w:val="20"/>
          <w:color w:val="auto"/>
        </w:rPr>
      </w:pPr>
    </w:p>
    <w:p>
      <w:pPr>
        <w:jc w:val="both"/>
        <w:ind w:left="1260" w:right="419"/>
        <w:spacing w:after="0" w:line="244" w:lineRule="auto"/>
        <w:rPr>
          <w:sz w:val="20"/>
          <w:szCs w:val="20"/>
          <w:color w:val="auto"/>
        </w:rPr>
      </w:pPr>
      <w:r>
        <w:rPr>
          <w:rFonts w:ascii="Arial" w:cs="Arial" w:eastAsia="Arial" w:hAnsi="Arial"/>
          <w:sz w:val="18"/>
          <w:szCs w:val="18"/>
          <w:color w:val="auto"/>
        </w:rPr>
        <w:t>Section 16(a) of the Exchange Act requires directors, executive officers, and persons who beneficially own more than 10% of our common stock to file with the SEC and NYSE initial reports of beneficial ownership and reports of changes in beneficial ownership of our common stock. Directors, executive officers, and beneficial owners of more than 10% of our common stock are required by SEC rules to furnish us with copies of all such reports. To our knowledge, based solely upon a review of the copies of such reports furnished to us and written representations from directors and executive officers that no other reports were required, we believe that all reports required under Section 16(a) were timely filed during the fiscal year ended December 31, 2025, with the exception of the following:</w:t>
      </w:r>
    </w:p>
    <w:p>
      <w:pPr>
        <w:spacing w:after="0" w:line="72" w:lineRule="exact"/>
        <w:rPr>
          <w:sz w:val="20"/>
          <w:szCs w:val="20"/>
          <w:color w:val="auto"/>
        </w:rPr>
      </w:pPr>
    </w:p>
    <w:p>
      <w:pPr>
        <w:ind w:left="1800" w:right="419" w:hanging="180"/>
        <w:spacing w:after="0" w:line="287" w:lineRule="auto"/>
        <w:tabs>
          <w:tab w:leader="none" w:pos="18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Form 4 filed on April 25, 2025, pertaining to the open market purchase of 1,000 shares of common stock by Mr. Smith on March 17, 2023.</w:t>
      </w:r>
    </w:p>
    <w:p>
      <w:pPr>
        <w:spacing w:after="0" w:line="44" w:lineRule="exact"/>
        <w:rPr>
          <w:rFonts w:ascii="Arial" w:cs="Arial" w:eastAsia="Arial" w:hAnsi="Arial"/>
          <w:sz w:val="18"/>
          <w:szCs w:val="18"/>
          <w:color w:val="auto"/>
        </w:rPr>
      </w:pPr>
    </w:p>
    <w:p>
      <w:pPr>
        <w:jc w:val="both"/>
        <w:ind w:left="1800" w:right="419" w:hanging="180"/>
        <w:spacing w:after="0" w:line="268" w:lineRule="auto"/>
        <w:tabs>
          <w:tab w:leader="none" w:pos="18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Form 4 filed on April 25, 2025, pertaining to the gift of 28,520 shares of common stock by Mr. Haga on December 27, 2024, to a trust with respect to which Mr. Haga’s spouse is both a beneficiary and a trustee.</w:t>
      </w:r>
    </w:p>
    <w:p>
      <w:pPr>
        <w:sectPr>
          <w:pgSz w:w="11900" w:h="16838" w:orient="portrait"/>
          <w:cols w:equalWidth="0" w:num="1">
            <w:col w:w="9879"/>
          </w:cols>
          <w:pgMar w:left="580" w:top="97" w:right="1440" w:bottom="1440" w:gutter="0" w:footer="0" w:header="0"/>
        </w:sectPr>
      </w:pPr>
    </w:p>
    <w:p>
      <w:pPr>
        <w:spacing w:after="0" w:line="34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2" w:name="page73"/>
    <w:bookmarkEnd w:id="7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STOCKHOLDER PROPOSALS AND DIRECTOR CANDIDATE NOMINATIONS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Inclusion of Proposals in our Proxy Statement and Proxy Card under the SEC Rules</w:t>
      </w:r>
    </w:p>
    <w:p>
      <w:pPr>
        <w:spacing w:after="0" w:line="158" w:lineRule="exact"/>
        <w:rPr>
          <w:sz w:val="20"/>
          <w:szCs w:val="20"/>
          <w:color w:val="auto"/>
        </w:rPr>
      </w:pPr>
    </w:p>
    <w:p>
      <w:pPr>
        <w:jc w:val="both"/>
        <w:ind w:left="1260" w:right="419"/>
        <w:spacing w:after="0" w:line="259" w:lineRule="auto"/>
        <w:rPr>
          <w:sz w:val="20"/>
          <w:szCs w:val="20"/>
          <w:color w:val="auto"/>
        </w:rPr>
      </w:pPr>
      <w:r>
        <w:rPr>
          <w:rFonts w:ascii="Arial" w:cs="Arial" w:eastAsia="Arial" w:hAnsi="Arial"/>
          <w:sz w:val="18"/>
          <w:szCs w:val="18"/>
          <w:color w:val="auto"/>
        </w:rPr>
        <w:t>Stockholders are hereby notified that if they wish a proposal to be included in our proxy statement and form of proxy relating to the 2027 annual meeting of stockholders, a written copy of their proposal must be received at our principal executive offices no later than December 29, 2026. Proposals must comply with Regulation 14A under the Exchange Act relating to stockholder proposals in order to be included in our proxy materials.</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Advance Notice Requirements for Stockholder Submission of Nominations and Proposals</w:t>
      </w:r>
    </w:p>
    <w:p>
      <w:pPr>
        <w:spacing w:after="0" w:line="158" w:lineRule="exact"/>
        <w:rPr>
          <w:sz w:val="20"/>
          <w:szCs w:val="20"/>
          <w:color w:val="auto"/>
        </w:rPr>
      </w:pPr>
    </w:p>
    <w:p>
      <w:pPr>
        <w:jc w:val="both"/>
        <w:ind w:left="1260" w:right="419"/>
        <w:spacing w:after="0" w:line="271" w:lineRule="auto"/>
        <w:rPr>
          <w:sz w:val="20"/>
          <w:szCs w:val="20"/>
          <w:color w:val="auto"/>
        </w:rPr>
      </w:pPr>
      <w:r>
        <w:rPr>
          <w:rFonts w:ascii="Arial" w:cs="Arial" w:eastAsia="Arial" w:hAnsi="Arial"/>
          <w:sz w:val="17"/>
          <w:szCs w:val="17"/>
          <w:i w:val="1"/>
          <w:iCs w:val="1"/>
          <w:color w:val="auto"/>
        </w:rPr>
        <w:t xml:space="preserve">Required Timing. </w:t>
      </w:r>
      <w:r>
        <w:rPr>
          <w:rFonts w:ascii="Arial" w:cs="Arial" w:eastAsia="Arial" w:hAnsi="Arial"/>
          <w:sz w:val="17"/>
          <w:szCs w:val="17"/>
          <w:color w:val="auto"/>
        </w:rPr>
        <w:t>In addition, our Bylaws provide that, for any stockholder proposal or director</w:t>
      </w:r>
      <w:r>
        <w:rPr>
          <w:rFonts w:ascii="Arial" w:cs="Arial" w:eastAsia="Arial" w:hAnsi="Arial"/>
          <w:sz w:val="17"/>
          <w:szCs w:val="17"/>
          <w:i w:val="1"/>
          <w:iCs w:val="1"/>
          <w:color w:val="auto"/>
        </w:rPr>
        <w:t xml:space="preserve"> </w:t>
      </w:r>
      <w:r>
        <w:rPr>
          <w:rFonts w:ascii="Arial" w:cs="Arial" w:eastAsia="Arial" w:hAnsi="Arial"/>
          <w:sz w:val="17"/>
          <w:szCs w:val="17"/>
          <w:color w:val="auto"/>
        </w:rPr>
        <w:t>nomination to be properly presented at the 2027 annual meeting of stockholders, whether or not also submitted for inclusion in our proxy statement, we must receive written notice of the matter not less than 150 days nor more than 210 days prior to the first anniversary of the date of the Annual Meeting. Thus, to be timely, the written notice of a stockholder’s intent to make a nomination for election as a director or to bring any other matter before the 2026 annual meeting of stockholders must be received by our Corporate Secretary at 369 N. New York Avenue, Suite 201, Winter Park, Florida 32789 no earlier than November 19, 2026, and no later than January 18, 2027. Such notice must comply with the advance notice provisions and other requirements of Section 11 of Article II of our Third Amended and Restated</w:t>
      </w:r>
    </w:p>
    <w:p>
      <w:pPr>
        <w:spacing w:after="0" w:line="93" w:lineRule="exact"/>
        <w:rPr>
          <w:sz w:val="20"/>
          <w:szCs w:val="20"/>
          <w:color w:val="auto"/>
        </w:rPr>
      </w:pPr>
    </w:p>
    <w:p>
      <w:pPr>
        <w:jc w:val="both"/>
        <w:ind w:left="1260" w:right="419"/>
        <w:spacing w:after="0" w:line="262" w:lineRule="auto"/>
        <w:rPr>
          <w:sz w:val="20"/>
          <w:szCs w:val="20"/>
          <w:color w:val="auto"/>
        </w:rPr>
      </w:pPr>
      <w:r>
        <w:rPr>
          <w:rFonts w:ascii="Arial" w:cs="Arial" w:eastAsia="Arial" w:hAnsi="Arial"/>
          <w:sz w:val="18"/>
          <w:szCs w:val="18"/>
          <w:color w:val="auto"/>
        </w:rPr>
        <w:t>Bylaws. Further, any proxy granted with respect to the 2027 annual meeting of stockholders will confer on management discretionary authority to vote with respect to a stockholder proposal or director nomination if notice of such proposal or nomination is not received by our Corporate Secretary within the timeframe provided above.</w:t>
      </w:r>
    </w:p>
    <w:p>
      <w:pPr>
        <w:spacing w:after="0" w:line="109" w:lineRule="exact"/>
        <w:rPr>
          <w:sz w:val="20"/>
          <w:szCs w:val="20"/>
          <w:color w:val="auto"/>
        </w:rPr>
      </w:pPr>
    </w:p>
    <w:p>
      <w:pPr>
        <w:jc w:val="both"/>
        <w:ind w:left="1260" w:right="419"/>
        <w:spacing w:after="0" w:line="262" w:lineRule="auto"/>
        <w:rPr>
          <w:sz w:val="20"/>
          <w:szCs w:val="20"/>
          <w:color w:val="auto"/>
        </w:rPr>
      </w:pPr>
      <w:r>
        <w:rPr>
          <w:rFonts w:ascii="Arial" w:cs="Arial" w:eastAsia="Arial" w:hAnsi="Arial"/>
          <w:sz w:val="18"/>
          <w:szCs w:val="18"/>
          <w:color w:val="auto"/>
        </w:rPr>
        <w:t>A copy of our Third Amended and Restated Bylaws is available as an exhibit to a current report on Form 8-K we filed with the SEC on February 17, 2023. A nomination or proposal that does not supply adequate information about the nominee or proposal, and the stockholder making the nomination or proposal, will be disregarded.</w:t>
      </w:r>
    </w:p>
    <w:p>
      <w:pPr>
        <w:spacing w:after="0" w:line="109" w:lineRule="exact"/>
        <w:rPr>
          <w:sz w:val="20"/>
          <w:szCs w:val="20"/>
          <w:color w:val="auto"/>
        </w:rPr>
      </w:pPr>
    </w:p>
    <w:p>
      <w:pPr>
        <w:jc w:val="both"/>
        <w:ind w:left="1260" w:right="419"/>
        <w:spacing w:after="0" w:line="268" w:lineRule="auto"/>
        <w:rPr>
          <w:sz w:val="20"/>
          <w:szCs w:val="20"/>
          <w:color w:val="auto"/>
        </w:rPr>
      </w:pPr>
      <w:r>
        <w:rPr>
          <w:rFonts w:ascii="Arial" w:cs="Arial" w:eastAsia="Arial" w:hAnsi="Arial"/>
          <w:sz w:val="18"/>
          <w:szCs w:val="18"/>
          <w:color w:val="auto"/>
        </w:rPr>
        <w:t>In addition, to comply with the universal proxy rules, stockholders who intend to solicit proxies in support of director nominees other than Company nominees must provide notice that sets forth the information required by Rule 14a-19 under the Exchange Act no later than April 18, 2027.</w:t>
      </w:r>
    </w:p>
    <w:p>
      <w:pPr>
        <w:spacing w:after="0" w:line="171"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ANNUAL REPORT</w:t>
      </w:r>
    </w:p>
    <w:p>
      <w:pPr>
        <w:spacing w:after="0" w:line="144" w:lineRule="exact"/>
        <w:rPr>
          <w:sz w:val="20"/>
          <w:szCs w:val="20"/>
          <w:color w:val="auto"/>
        </w:rPr>
      </w:pPr>
    </w:p>
    <w:p>
      <w:pPr>
        <w:jc w:val="both"/>
        <w:ind w:left="1260" w:right="419"/>
        <w:spacing w:after="0" w:line="276" w:lineRule="auto"/>
        <w:rPr>
          <w:sz w:val="20"/>
          <w:szCs w:val="20"/>
          <w:color w:val="auto"/>
        </w:rPr>
      </w:pPr>
      <w:r>
        <w:rPr>
          <w:rFonts w:ascii="Arial" w:cs="Arial" w:eastAsia="Arial" w:hAnsi="Arial"/>
          <w:sz w:val="17"/>
          <w:szCs w:val="17"/>
          <w:color w:val="auto"/>
        </w:rPr>
        <w:t>Our Annual Report to Stockholders for the fiscal year ended December 31, 2025, together with this proxy statement, have been made available to the Company’s stockholders at www.edocumentview.com/CTO.</w:t>
      </w:r>
    </w:p>
    <w:p>
      <w:pPr>
        <w:jc w:val="both"/>
        <w:ind w:left="1260" w:right="419"/>
        <w:spacing w:after="0" w:line="258" w:lineRule="auto"/>
        <w:rPr>
          <w:sz w:val="20"/>
          <w:szCs w:val="20"/>
          <w:color w:val="auto"/>
        </w:rPr>
      </w:pPr>
      <w:r>
        <w:rPr>
          <w:rFonts w:ascii="Arial" w:cs="Arial" w:eastAsia="Arial" w:hAnsi="Arial"/>
          <w:sz w:val="18"/>
          <w:szCs w:val="18"/>
          <w:b w:val="1"/>
          <w:bCs w:val="1"/>
          <w:color w:val="auto"/>
        </w:rPr>
        <w:t>Paper copies may be obtained free of charge upon written request to our Corporate Secretary at 369 N. New York Avenue, Suite 201, Winter Park, Florida 32789</w:t>
      </w:r>
      <w:r>
        <w:rPr>
          <w:rFonts w:ascii="Arial" w:cs="Arial" w:eastAsia="Arial" w:hAnsi="Arial"/>
          <w:sz w:val="18"/>
          <w:szCs w:val="18"/>
          <w:color w:val="auto"/>
        </w:rPr>
        <w:t>. Our 2025 Annual Report and proxy</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 are also available on our website at www.ctoreit.com.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3" w:name="page74"/>
    <w:bookmarkEnd w:id="7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u w:val="single" w:color="auto"/>
          <w:color w:val="auto"/>
        </w:rPr>
        <w:t>Appendix A</w:t>
      </w:r>
    </w:p>
    <w:p>
      <w:pPr>
        <w:spacing w:after="0" w:line="225"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CTO REALTY GROWTH, INC.</w:t>
      </w:r>
    </w:p>
    <w:p>
      <w:pPr>
        <w:spacing w:after="0" w:line="27"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SIXTH AMENDED AND RESTATED 2010 EQUITY INCENTIVE PLAN</w:t>
      </w:r>
    </w:p>
    <w:p>
      <w:pPr>
        <w:spacing w:after="0" w:line="126" w:lineRule="exact"/>
        <w:rPr>
          <w:sz w:val="20"/>
          <w:szCs w:val="20"/>
          <w:color w:val="auto"/>
        </w:rPr>
      </w:pPr>
    </w:p>
    <w:p>
      <w:pPr>
        <w:jc w:val="both"/>
        <w:ind w:left="1620" w:right="419" w:hanging="360"/>
        <w:spacing w:after="0" w:line="257" w:lineRule="auto"/>
        <w:tabs>
          <w:tab w:leader="none" w:pos="1620"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Purpose</w:t>
      </w:r>
      <w:r>
        <w:rPr>
          <w:rFonts w:ascii="Arial" w:cs="Arial" w:eastAsia="Arial" w:hAnsi="Arial"/>
          <w:sz w:val="18"/>
          <w:szCs w:val="18"/>
          <w:color w:val="auto"/>
        </w:rPr>
        <w:t>. The purposes of the CTO Realty Growth, Inc. Sixth Amended and Restated 2010 Equity Incentive Plan (as amended from time to time, the “</w:t>
      </w:r>
      <w:r>
        <w:rPr>
          <w:rFonts w:ascii="Arial" w:cs="Arial" w:eastAsia="Arial" w:hAnsi="Arial"/>
          <w:sz w:val="18"/>
          <w:szCs w:val="18"/>
          <w:u w:val="single" w:color="auto"/>
          <w:color w:val="auto"/>
        </w:rPr>
        <w:t>Plan</w:t>
      </w:r>
      <w:r>
        <w:rPr>
          <w:rFonts w:ascii="Arial" w:cs="Arial" w:eastAsia="Arial" w:hAnsi="Arial"/>
          <w:sz w:val="18"/>
          <w:szCs w:val="18"/>
          <w:color w:val="auto"/>
        </w:rPr>
        <w:t>”) are to (i) align Employees’ and Nonemployee Directors’ long-term financial interests with those of the Company’s stockholders;</w:t>
      </w:r>
    </w:p>
    <w:p>
      <w:pPr>
        <w:spacing w:after="0" w:line="1" w:lineRule="exact"/>
        <w:rPr>
          <w:rFonts w:ascii="Arial" w:cs="Arial" w:eastAsia="Arial" w:hAnsi="Arial"/>
          <w:sz w:val="18"/>
          <w:szCs w:val="18"/>
          <w:color w:val="auto"/>
        </w:rPr>
      </w:pPr>
    </w:p>
    <w:p>
      <w:pPr>
        <w:jc w:val="both"/>
        <w:ind w:left="1620" w:right="419"/>
        <w:spacing w:after="0" w:line="255" w:lineRule="auto"/>
        <w:tabs>
          <w:tab w:leader="none" w:pos="1958" w:val="left"/>
        </w:tabs>
        <w:numPr>
          <w:ilvl w:val="1"/>
          <w:numId w:val="68"/>
        </w:numPr>
        <w:rPr>
          <w:rFonts w:ascii="Arial" w:cs="Arial" w:eastAsia="Arial" w:hAnsi="Arial"/>
          <w:sz w:val="18"/>
          <w:szCs w:val="18"/>
          <w:color w:val="auto"/>
        </w:rPr>
      </w:pPr>
      <w:r>
        <w:rPr>
          <w:rFonts w:ascii="Arial" w:cs="Arial" w:eastAsia="Arial" w:hAnsi="Arial"/>
          <w:sz w:val="18"/>
          <w:szCs w:val="18"/>
          <w:color w:val="auto"/>
        </w:rPr>
        <w:t>attract and retain Employees and Nonemployee Directors by providing compensation opportunities that are competitive with other companies; and (iii) provide incentives to those Employees and Nonemployee Directors who contribute significantly to the long-term performance and growth of the Company and its Subsidiaries.</w:t>
      </w:r>
    </w:p>
    <w:p>
      <w:pPr>
        <w:spacing w:after="0" w:line="101" w:lineRule="exact"/>
        <w:rPr>
          <w:rFonts w:ascii="Arial" w:cs="Arial" w:eastAsia="Arial" w:hAnsi="Arial"/>
          <w:sz w:val="18"/>
          <w:szCs w:val="18"/>
          <w:color w:val="auto"/>
        </w:rPr>
      </w:pPr>
    </w:p>
    <w:p>
      <w:pPr>
        <w:ind w:left="1620" w:hanging="360"/>
        <w:spacing w:after="0"/>
        <w:tabs>
          <w:tab w:leader="none" w:pos="1620"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As used in this Plan, the following terms shall be defined as set forth below:</w:t>
      </w:r>
    </w:p>
    <w:p>
      <w:pPr>
        <w:spacing w:after="0" w:line="157" w:lineRule="exact"/>
        <w:rPr>
          <w:rFonts w:ascii="Arial" w:cs="Arial" w:eastAsia="Arial" w:hAnsi="Arial"/>
          <w:sz w:val="18"/>
          <w:szCs w:val="18"/>
          <w:color w:val="auto"/>
        </w:rPr>
      </w:pPr>
    </w:p>
    <w:p>
      <w:pPr>
        <w:jc w:val="both"/>
        <w:ind w:left="1980" w:right="419" w:hanging="360"/>
        <w:spacing w:after="0" w:line="268" w:lineRule="auto"/>
        <w:tabs>
          <w:tab w:leader="none" w:pos="1980" w:val="left"/>
        </w:tabs>
        <w:numPr>
          <w:ilvl w:val="1"/>
          <w:numId w:val="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w:t>
      </w:r>
      <w:r>
        <w:rPr>
          <w:rFonts w:ascii="Arial" w:cs="Arial" w:eastAsia="Arial" w:hAnsi="Arial"/>
          <w:sz w:val="18"/>
          <w:szCs w:val="18"/>
          <w:color w:val="auto"/>
        </w:rPr>
        <w:t>” means any Option, Stock Appreciation Right, Restricted Shares, Restricted Share Units, Performance Shares, Performance Units, Cash Award or Stock Payments granted under the Plan.</w:t>
      </w:r>
    </w:p>
    <w:p>
      <w:pPr>
        <w:spacing w:after="0" w:line="89" w:lineRule="exact"/>
        <w:rPr>
          <w:rFonts w:ascii="Arial" w:cs="Arial" w:eastAsia="Arial" w:hAnsi="Arial"/>
          <w:sz w:val="18"/>
          <w:szCs w:val="18"/>
          <w:color w:val="auto"/>
        </w:rPr>
      </w:pPr>
    </w:p>
    <w:p>
      <w:pPr>
        <w:jc w:val="both"/>
        <w:ind w:left="1980" w:right="419" w:hanging="360"/>
        <w:spacing w:after="0" w:line="259" w:lineRule="auto"/>
        <w:tabs>
          <w:tab w:leader="none" w:pos="1980" w:val="left"/>
        </w:tabs>
        <w:numPr>
          <w:ilvl w:val="1"/>
          <w:numId w:val="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 Agreement</w:t>
      </w:r>
      <w:r>
        <w:rPr>
          <w:rFonts w:ascii="Arial" w:cs="Arial" w:eastAsia="Arial" w:hAnsi="Arial"/>
          <w:sz w:val="18"/>
          <w:szCs w:val="18"/>
          <w:color w:val="auto"/>
        </w:rPr>
        <w:t>” means an agreement, certificate, resolution or other form of writing or other evidence approved by the Committee which sets forth the terms and conditions of an Award. An Award Agreement may be in an electronic medium, may be limited to a notation on the Company’s books and records and, if approved by the Committee, need not be signed by a representative of the Company or a Grantee.</w:t>
      </w:r>
    </w:p>
    <w:p>
      <w:pPr>
        <w:spacing w:after="0" w:line="111" w:lineRule="exact"/>
        <w:rPr>
          <w:rFonts w:ascii="Arial" w:cs="Arial" w:eastAsia="Arial" w:hAnsi="Arial"/>
          <w:sz w:val="18"/>
          <w:szCs w:val="18"/>
          <w:color w:val="auto"/>
        </w:rPr>
      </w:pPr>
    </w:p>
    <w:p>
      <w:pPr>
        <w:ind w:left="1980" w:right="419" w:hanging="360"/>
        <w:spacing w:after="0" w:line="287" w:lineRule="auto"/>
        <w:tabs>
          <w:tab w:leader="none" w:pos="1980" w:val="left"/>
        </w:tabs>
        <w:numPr>
          <w:ilvl w:val="1"/>
          <w:numId w:val="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Price</w:t>
      </w:r>
      <w:r>
        <w:rPr>
          <w:rFonts w:ascii="Arial" w:cs="Arial" w:eastAsia="Arial" w:hAnsi="Arial"/>
          <w:sz w:val="18"/>
          <w:szCs w:val="18"/>
          <w:color w:val="auto"/>
        </w:rPr>
        <w:t>” means the price to be used as the basis for determining the Spread upon the exercise of a Stock Appreciation Right.</w:t>
      </w:r>
    </w:p>
    <w:p>
      <w:pPr>
        <w:spacing w:after="0" w:line="71" w:lineRule="exact"/>
        <w:rPr>
          <w:rFonts w:ascii="Arial" w:cs="Arial" w:eastAsia="Arial" w:hAnsi="Arial"/>
          <w:sz w:val="18"/>
          <w:szCs w:val="18"/>
          <w:color w:val="auto"/>
        </w:rPr>
      </w:pPr>
    </w:p>
    <w:p>
      <w:pPr>
        <w:ind w:left="1980" w:hanging="360"/>
        <w:spacing w:after="0"/>
        <w:tabs>
          <w:tab w:leader="none" w:pos="1980" w:val="left"/>
        </w:tabs>
        <w:numPr>
          <w:ilvl w:val="1"/>
          <w:numId w:val="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157" w:lineRule="exact"/>
        <w:rPr>
          <w:rFonts w:ascii="Arial" w:cs="Arial" w:eastAsia="Arial" w:hAnsi="Arial"/>
          <w:sz w:val="18"/>
          <w:szCs w:val="18"/>
          <w:color w:val="auto"/>
        </w:rPr>
      </w:pPr>
    </w:p>
    <w:p>
      <w:pPr>
        <w:ind w:left="1980" w:hanging="360"/>
        <w:spacing w:after="0"/>
        <w:tabs>
          <w:tab w:leader="none" w:pos="1980" w:val="left"/>
        </w:tabs>
        <w:numPr>
          <w:ilvl w:val="1"/>
          <w:numId w:val="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Award</w:t>
      </w:r>
      <w:r>
        <w:rPr>
          <w:rFonts w:ascii="Arial" w:cs="Arial" w:eastAsia="Arial" w:hAnsi="Arial"/>
          <w:sz w:val="18"/>
          <w:szCs w:val="18"/>
          <w:color w:val="auto"/>
        </w:rPr>
        <w:t>” means an Award denominated in cash granted under Section 9 of the Plan.</w:t>
      </w:r>
    </w:p>
    <w:p>
      <w:pPr>
        <w:spacing w:after="0" w:line="144" w:lineRule="exact"/>
        <w:rPr>
          <w:rFonts w:ascii="Arial" w:cs="Arial" w:eastAsia="Arial" w:hAnsi="Arial"/>
          <w:sz w:val="18"/>
          <w:szCs w:val="18"/>
          <w:color w:val="auto"/>
        </w:rPr>
      </w:pPr>
    </w:p>
    <w:p>
      <w:pPr>
        <w:ind w:left="1980" w:hanging="360"/>
        <w:spacing w:after="0"/>
        <w:tabs>
          <w:tab w:leader="none" w:pos="1980" w:val="left"/>
        </w:tabs>
        <w:numPr>
          <w:ilvl w:val="1"/>
          <w:numId w:val="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 any of the following events:</w:t>
      </w:r>
    </w:p>
    <w:p>
      <w:pPr>
        <w:spacing w:after="0" w:line="157" w:lineRule="exact"/>
        <w:rPr>
          <w:rFonts w:ascii="Arial" w:cs="Arial" w:eastAsia="Arial" w:hAnsi="Arial"/>
          <w:sz w:val="18"/>
          <w:szCs w:val="18"/>
          <w:color w:val="auto"/>
        </w:rPr>
      </w:pPr>
    </w:p>
    <w:p>
      <w:pPr>
        <w:jc w:val="both"/>
        <w:ind w:left="2340" w:right="419" w:hanging="360"/>
        <w:spacing w:after="0" w:line="257" w:lineRule="auto"/>
        <w:tabs>
          <w:tab w:leader="none" w:pos="2340" w:val="left"/>
        </w:tabs>
        <w:numPr>
          <w:ilvl w:val="2"/>
          <w:numId w:val="69"/>
        </w:numPr>
        <w:rPr>
          <w:rFonts w:ascii="Arial" w:cs="Arial" w:eastAsia="Arial" w:hAnsi="Arial"/>
          <w:sz w:val="18"/>
          <w:szCs w:val="18"/>
          <w:color w:val="auto"/>
        </w:rPr>
      </w:pPr>
      <w:r>
        <w:rPr>
          <w:rFonts w:ascii="Arial" w:cs="Arial" w:eastAsia="Arial" w:hAnsi="Arial"/>
          <w:sz w:val="18"/>
          <w:szCs w:val="18"/>
          <w:color w:val="auto"/>
        </w:rPr>
        <w:t>any person (as such term is used in Section 13(d) of the Exchange Act) or group (as such term is defined in Sections 3(a)(9) and 13(d)(3) of the Exchange Act), other than a subsidiary of the Company or any employee benefit plan (or any related trust) of the Company or a subsidiary, becomes the beneficial owner of 50% or more of the Company’s outstanding voting shares and other outstanding voting securities that are entitled to vote generally in the election of directors (“</w:t>
      </w:r>
      <w:r>
        <w:rPr>
          <w:rFonts w:ascii="Arial" w:cs="Arial" w:eastAsia="Arial" w:hAnsi="Arial"/>
          <w:sz w:val="18"/>
          <w:szCs w:val="18"/>
          <w:u w:val="single" w:color="auto"/>
          <w:color w:val="auto"/>
        </w:rPr>
        <w:t>Voting Securities</w:t>
      </w:r>
      <w:r>
        <w:rPr>
          <w:rFonts w:ascii="Arial" w:cs="Arial" w:eastAsia="Arial" w:hAnsi="Arial"/>
          <w:sz w:val="18"/>
          <w:szCs w:val="18"/>
          <w:color w:val="auto"/>
        </w:rPr>
        <w:t>”); or</w:t>
      </w:r>
    </w:p>
    <w:p>
      <w:pPr>
        <w:spacing w:after="0" w:line="101" w:lineRule="exact"/>
        <w:rPr>
          <w:rFonts w:ascii="Arial" w:cs="Arial" w:eastAsia="Arial" w:hAnsi="Arial"/>
          <w:sz w:val="18"/>
          <w:szCs w:val="18"/>
          <w:color w:val="auto"/>
        </w:rPr>
      </w:pPr>
    </w:p>
    <w:p>
      <w:pPr>
        <w:ind w:left="2340" w:hanging="360"/>
        <w:spacing w:after="0"/>
        <w:tabs>
          <w:tab w:leader="none" w:pos="2340" w:val="left"/>
        </w:tabs>
        <w:numPr>
          <w:ilvl w:val="2"/>
          <w:numId w:val="69"/>
        </w:numPr>
        <w:rPr>
          <w:rFonts w:ascii="Arial" w:cs="Arial" w:eastAsia="Arial" w:hAnsi="Arial"/>
          <w:sz w:val="17"/>
          <w:szCs w:val="17"/>
          <w:color w:val="auto"/>
        </w:rPr>
      </w:pPr>
      <w:r>
        <w:rPr>
          <w:rFonts w:ascii="Arial" w:cs="Arial" w:eastAsia="Arial" w:hAnsi="Arial"/>
          <w:sz w:val="17"/>
          <w:szCs w:val="17"/>
          <w:color w:val="auto"/>
        </w:rPr>
        <w:t>approval by the stockholders of the Company and consummation of either of the following:</w:t>
      </w:r>
    </w:p>
    <w:p>
      <w:pPr>
        <w:spacing w:after="0" w:line="169" w:lineRule="exact"/>
        <w:rPr>
          <w:rFonts w:ascii="Arial" w:cs="Arial" w:eastAsia="Arial" w:hAnsi="Arial"/>
          <w:sz w:val="17"/>
          <w:szCs w:val="17"/>
          <w:color w:val="auto"/>
        </w:rPr>
      </w:pPr>
    </w:p>
    <w:p>
      <w:pPr>
        <w:jc w:val="both"/>
        <w:ind w:left="2700" w:right="419" w:hanging="360"/>
        <w:spacing w:after="0" w:line="256" w:lineRule="auto"/>
        <w:tabs>
          <w:tab w:leader="none" w:pos="2700" w:val="left"/>
        </w:tabs>
        <w:numPr>
          <w:ilvl w:val="3"/>
          <w:numId w:val="69"/>
        </w:numPr>
        <w:rPr>
          <w:rFonts w:ascii="Arial" w:cs="Arial" w:eastAsia="Arial" w:hAnsi="Arial"/>
          <w:sz w:val="18"/>
          <w:szCs w:val="18"/>
          <w:color w:val="auto"/>
        </w:rPr>
      </w:pPr>
      <w:r>
        <w:rPr>
          <w:rFonts w:ascii="Arial" w:cs="Arial" w:eastAsia="Arial" w:hAnsi="Arial"/>
          <w:sz w:val="18"/>
          <w:szCs w:val="18"/>
          <w:color w:val="auto"/>
        </w:rPr>
        <w:t>a merger, reorganization, consolidation or similar transaction (any of the foregoing, a “</w:t>
      </w:r>
      <w:r>
        <w:rPr>
          <w:rFonts w:ascii="Arial" w:cs="Arial" w:eastAsia="Arial" w:hAnsi="Arial"/>
          <w:sz w:val="18"/>
          <w:szCs w:val="18"/>
          <w:u w:val="single" w:color="auto"/>
          <w:color w:val="auto"/>
        </w:rPr>
        <w:t>Merger</w:t>
      </w:r>
      <w:r>
        <w:rPr>
          <w:rFonts w:ascii="Arial" w:cs="Arial" w:eastAsia="Arial" w:hAnsi="Arial"/>
          <w:sz w:val="18"/>
          <w:szCs w:val="18"/>
          <w:color w:val="auto"/>
        </w:rPr>
        <w:t>”) as a result of which the persons who were the respective beneficial owners of the outstanding Common Stock and/or the Voting Securities immediately before such Merger are not expected to beneficially own, immediately after such Merger, directly or indirectly, more than 50% of, respectively, the outstanding voting shares and the combined voting power of the voting securities resulting from such merger in substantially the same proportions as immediately before such Merger;</w:t>
      </w:r>
    </w:p>
    <w:p>
      <w:pPr>
        <w:spacing w:after="0" w:line="115" w:lineRule="exact"/>
        <w:rPr>
          <w:rFonts w:ascii="Arial" w:cs="Arial" w:eastAsia="Arial" w:hAnsi="Arial"/>
          <w:sz w:val="18"/>
          <w:szCs w:val="18"/>
          <w:color w:val="auto"/>
        </w:rPr>
      </w:pPr>
    </w:p>
    <w:p>
      <w:pPr>
        <w:ind w:left="2700" w:right="419" w:hanging="360"/>
        <w:spacing w:after="0" w:line="287" w:lineRule="auto"/>
        <w:tabs>
          <w:tab w:leader="none" w:pos="2700" w:val="left"/>
        </w:tabs>
        <w:numPr>
          <w:ilvl w:val="3"/>
          <w:numId w:val="69"/>
        </w:numPr>
        <w:rPr>
          <w:rFonts w:ascii="Arial" w:cs="Arial" w:eastAsia="Arial" w:hAnsi="Arial"/>
          <w:sz w:val="18"/>
          <w:szCs w:val="18"/>
          <w:color w:val="auto"/>
        </w:rPr>
      </w:pPr>
      <w:r>
        <w:rPr>
          <w:rFonts w:ascii="Arial" w:cs="Arial" w:eastAsia="Arial" w:hAnsi="Arial"/>
          <w:sz w:val="18"/>
          <w:szCs w:val="18"/>
          <w:color w:val="auto"/>
        </w:rPr>
        <w:t>a plan of liquidation of the Company or a plan or agreement for the sale or other disposition of all or substantially all of the assets of the Company; or</w:t>
      </w:r>
    </w:p>
    <w:p>
      <w:pPr>
        <w:spacing w:after="0" w:line="71" w:lineRule="exact"/>
        <w:rPr>
          <w:rFonts w:ascii="Arial" w:cs="Arial" w:eastAsia="Arial" w:hAnsi="Arial"/>
          <w:sz w:val="18"/>
          <w:szCs w:val="18"/>
          <w:color w:val="auto"/>
        </w:rPr>
      </w:pPr>
    </w:p>
    <w:p>
      <w:pPr>
        <w:jc w:val="both"/>
        <w:ind w:left="2700" w:right="419" w:hanging="360"/>
        <w:spacing w:after="0" w:line="256" w:lineRule="auto"/>
        <w:tabs>
          <w:tab w:leader="none" w:pos="2700" w:val="left"/>
        </w:tabs>
        <w:numPr>
          <w:ilvl w:val="3"/>
          <w:numId w:val="69"/>
        </w:numPr>
        <w:rPr>
          <w:rFonts w:ascii="Arial" w:cs="Arial" w:eastAsia="Arial" w:hAnsi="Arial"/>
          <w:sz w:val="18"/>
          <w:szCs w:val="18"/>
          <w:color w:val="auto"/>
        </w:rPr>
      </w:pPr>
      <w:r>
        <w:rPr>
          <w:rFonts w:ascii="Arial" w:cs="Arial" w:eastAsia="Arial" w:hAnsi="Arial"/>
          <w:sz w:val="18"/>
          <w:szCs w:val="18"/>
          <w:color w:val="auto"/>
        </w:rPr>
        <w:t>a change in the composition of the Board such that, during any 12-month period, the individuals who, as of the beginning of such period, constitute the Board (the “</w:t>
      </w:r>
      <w:r>
        <w:rPr>
          <w:rFonts w:ascii="Arial" w:cs="Arial" w:eastAsia="Arial" w:hAnsi="Arial"/>
          <w:sz w:val="18"/>
          <w:szCs w:val="18"/>
          <w:u w:val="single" w:color="auto"/>
          <w:color w:val="auto"/>
        </w:rPr>
        <w:t>Existing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Board</w:t>
      </w:r>
      <w:r>
        <w:rPr>
          <w:rFonts w:ascii="Arial" w:cs="Arial" w:eastAsia="Arial" w:hAnsi="Arial"/>
          <w:sz w:val="18"/>
          <w:szCs w:val="18"/>
          <w:color w:val="auto"/>
        </w:rPr>
        <w:t>”) cease for any reason to constitute more than 50% of the Board; provided, however, that any individual becoming a member of the Board subsequent to the beginning of such period whose election, or nomination for election by the Company’s stockholders, was approved by a vote of at least two-thirds of the directors immediately</w:t>
      </w:r>
    </w:p>
    <w:p>
      <w:pPr>
        <w:sectPr>
          <w:pgSz w:w="11900" w:h="16838" w:orient="portrait"/>
          <w:cols w:equalWidth="0" w:num="1">
            <w:col w:w="9879"/>
          </w:cols>
          <w:pgMar w:left="580" w:top="97" w:right="1440" w:bottom="1440" w:gutter="0" w:footer="0" w:header="0"/>
        </w:sectPr>
      </w:pPr>
    </w:p>
    <w:p>
      <w:pPr>
        <w:spacing w:after="0" w:line="372"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4" w:name="page75"/>
    <w:bookmarkEnd w:id="7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700" w:right="419"/>
        <w:spacing w:after="0" w:line="287" w:lineRule="auto"/>
        <w:rPr>
          <w:sz w:val="20"/>
          <w:szCs w:val="20"/>
          <w:color w:val="auto"/>
        </w:rPr>
      </w:pPr>
      <w:r>
        <w:rPr>
          <w:rFonts w:ascii="Arial" w:cs="Arial" w:eastAsia="Arial" w:hAnsi="Arial"/>
          <w:sz w:val="18"/>
          <w:szCs w:val="18"/>
          <w:color w:val="auto"/>
        </w:rPr>
        <w:t>prior to the date of such appointment or election will be considered as though such individual were a member of the Existing Board.</w:t>
      </w:r>
    </w:p>
    <w:p>
      <w:pPr>
        <w:spacing w:after="0" w:line="72" w:lineRule="exact"/>
        <w:rPr>
          <w:sz w:val="20"/>
          <w:szCs w:val="20"/>
          <w:color w:val="auto"/>
        </w:rPr>
      </w:pPr>
    </w:p>
    <w:p>
      <w:pPr>
        <w:ind w:left="1980" w:hanging="360"/>
        <w:spacing w:after="0"/>
        <w:tabs>
          <w:tab w:leader="none" w:pos="1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from time to time.</w:t>
      </w:r>
    </w:p>
    <w:p>
      <w:pPr>
        <w:spacing w:after="0" w:line="144" w:lineRule="exact"/>
        <w:rPr>
          <w:rFonts w:ascii="Arial" w:cs="Arial" w:eastAsia="Arial" w:hAnsi="Arial"/>
          <w:sz w:val="18"/>
          <w:szCs w:val="18"/>
          <w:color w:val="auto"/>
        </w:rPr>
      </w:pPr>
    </w:p>
    <w:p>
      <w:pPr>
        <w:ind w:left="1980" w:hanging="360"/>
        <w:spacing w:after="0"/>
        <w:tabs>
          <w:tab w:leader="none" w:pos="1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the committee of the Board described in Section 4 of the Plan.</w:t>
      </w:r>
    </w:p>
    <w:p>
      <w:pPr>
        <w:spacing w:after="0" w:line="157" w:lineRule="exact"/>
        <w:rPr>
          <w:rFonts w:ascii="Arial" w:cs="Arial" w:eastAsia="Arial" w:hAnsi="Arial"/>
          <w:sz w:val="18"/>
          <w:szCs w:val="18"/>
          <w:color w:val="auto"/>
        </w:rPr>
      </w:pPr>
    </w:p>
    <w:p>
      <w:pPr>
        <w:ind w:left="1980" w:right="419" w:hanging="360"/>
        <w:spacing w:after="0" w:line="287" w:lineRule="auto"/>
        <w:tabs>
          <w:tab w:leader="none" w:pos="1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CTO Realty Growth, Inc., a Maryland corporation, or any successor corporation.</w:t>
      </w:r>
    </w:p>
    <w:p>
      <w:pPr>
        <w:spacing w:after="0" w:line="71" w:lineRule="exact"/>
        <w:rPr>
          <w:rFonts w:ascii="Arial" w:cs="Arial" w:eastAsia="Arial" w:hAnsi="Arial"/>
          <w:sz w:val="18"/>
          <w:szCs w:val="18"/>
          <w:color w:val="auto"/>
        </w:rPr>
      </w:pPr>
    </w:p>
    <w:p>
      <w:pPr>
        <w:ind w:left="1980" w:right="419" w:hanging="360"/>
        <w:spacing w:after="0" w:line="287" w:lineRule="auto"/>
        <w:tabs>
          <w:tab w:leader="none" w:pos="1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Employee</w:t>
      </w:r>
      <w:r>
        <w:rPr>
          <w:rFonts w:ascii="Arial" w:cs="Arial" w:eastAsia="Arial" w:hAnsi="Arial"/>
          <w:sz w:val="18"/>
          <w:szCs w:val="18"/>
          <w:color w:val="auto"/>
        </w:rPr>
        <w:t>” means any person, including an officer, employed on an hourly or salaried basis by the Company or a Subsidiary.</w:t>
      </w:r>
    </w:p>
    <w:p>
      <w:pPr>
        <w:spacing w:after="0" w:line="85" w:lineRule="exact"/>
        <w:rPr>
          <w:rFonts w:ascii="Arial" w:cs="Arial" w:eastAsia="Arial" w:hAnsi="Arial"/>
          <w:sz w:val="18"/>
          <w:szCs w:val="18"/>
          <w:color w:val="auto"/>
        </w:rPr>
      </w:pPr>
    </w:p>
    <w:p>
      <w:pPr>
        <w:ind w:left="1980" w:hanging="360"/>
        <w:spacing w:after="0"/>
        <w:tabs>
          <w:tab w:leader="none" w:pos="1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 from time to time.</w:t>
      </w:r>
    </w:p>
    <w:p>
      <w:pPr>
        <w:spacing w:after="0" w:line="144" w:lineRule="exact"/>
        <w:rPr>
          <w:rFonts w:ascii="Arial" w:cs="Arial" w:eastAsia="Arial" w:hAnsi="Arial"/>
          <w:sz w:val="18"/>
          <w:szCs w:val="18"/>
          <w:color w:val="auto"/>
        </w:rPr>
      </w:pPr>
    </w:p>
    <w:p>
      <w:pPr>
        <w:ind w:left="1980" w:hanging="360"/>
        <w:spacing w:after="0"/>
        <w:tabs>
          <w:tab w:leader="none" w:pos="1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on a given date means:</w:t>
      </w:r>
    </w:p>
    <w:p>
      <w:pPr>
        <w:spacing w:after="0" w:line="157" w:lineRule="exact"/>
        <w:rPr>
          <w:rFonts w:ascii="Arial" w:cs="Arial" w:eastAsia="Arial" w:hAnsi="Arial"/>
          <w:sz w:val="18"/>
          <w:szCs w:val="18"/>
          <w:color w:val="auto"/>
        </w:rPr>
      </w:pPr>
    </w:p>
    <w:p>
      <w:pPr>
        <w:jc w:val="both"/>
        <w:ind w:left="2340" w:right="419" w:hanging="360"/>
        <w:spacing w:after="0" w:line="262" w:lineRule="auto"/>
        <w:tabs>
          <w:tab w:leader="none" w:pos="2340" w:val="left"/>
        </w:tabs>
        <w:numPr>
          <w:ilvl w:val="1"/>
          <w:numId w:val="70"/>
        </w:numPr>
        <w:rPr>
          <w:rFonts w:ascii="Arial" w:cs="Arial" w:eastAsia="Arial" w:hAnsi="Arial"/>
          <w:sz w:val="18"/>
          <w:szCs w:val="18"/>
          <w:color w:val="auto"/>
        </w:rPr>
      </w:pPr>
      <w:r>
        <w:rPr>
          <w:rFonts w:ascii="Arial" w:cs="Arial" w:eastAsia="Arial" w:hAnsi="Arial"/>
          <w:sz w:val="18"/>
          <w:szCs w:val="18"/>
          <w:color w:val="auto"/>
        </w:rPr>
        <w:t>if the Stock is listed on a national securities exchange in the United States, the closing sale price reported as having occurred on the primary exchange with which the Stock is listed and traded on such date, or, if there is no such sale on that date, then on the last preceding date on which such a sale was reported;</w:t>
      </w:r>
    </w:p>
    <w:p>
      <w:pPr>
        <w:spacing w:after="0" w:line="95" w:lineRule="exact"/>
        <w:rPr>
          <w:rFonts w:ascii="Arial" w:cs="Arial" w:eastAsia="Arial" w:hAnsi="Arial"/>
          <w:sz w:val="18"/>
          <w:szCs w:val="18"/>
          <w:color w:val="auto"/>
        </w:rPr>
      </w:pPr>
    </w:p>
    <w:p>
      <w:pPr>
        <w:jc w:val="both"/>
        <w:ind w:left="2340" w:right="419" w:hanging="360"/>
        <w:spacing w:after="0" w:line="262" w:lineRule="auto"/>
        <w:tabs>
          <w:tab w:leader="none" w:pos="2340" w:val="left"/>
        </w:tabs>
        <w:numPr>
          <w:ilvl w:val="1"/>
          <w:numId w:val="70"/>
        </w:numPr>
        <w:rPr>
          <w:rFonts w:ascii="Arial" w:cs="Arial" w:eastAsia="Arial" w:hAnsi="Arial"/>
          <w:sz w:val="18"/>
          <w:szCs w:val="18"/>
          <w:color w:val="auto"/>
        </w:rPr>
      </w:pPr>
      <w:r>
        <w:rPr>
          <w:rFonts w:ascii="Arial" w:cs="Arial" w:eastAsia="Arial" w:hAnsi="Arial"/>
          <w:sz w:val="18"/>
          <w:szCs w:val="18"/>
          <w:color w:val="auto"/>
        </w:rPr>
        <w:t>if the Stock is not listed on any national securities exchange but is quoted in the National Market System of the National Association of Securities Dealers Automated Quotation System the trade price of the last sale reported on such date, or, if there is no such sale on that date, then on the last preceding date on which a sale was reported; or</w:t>
      </w:r>
    </w:p>
    <w:p>
      <w:pPr>
        <w:spacing w:after="0" w:line="108" w:lineRule="exact"/>
        <w:rPr>
          <w:rFonts w:ascii="Arial" w:cs="Arial" w:eastAsia="Arial" w:hAnsi="Arial"/>
          <w:sz w:val="18"/>
          <w:szCs w:val="18"/>
          <w:color w:val="auto"/>
        </w:rPr>
      </w:pPr>
    </w:p>
    <w:p>
      <w:pPr>
        <w:jc w:val="both"/>
        <w:ind w:left="2340" w:right="419" w:hanging="360"/>
        <w:spacing w:after="0" w:line="262" w:lineRule="auto"/>
        <w:tabs>
          <w:tab w:leader="none" w:pos="2340" w:val="left"/>
        </w:tabs>
        <w:numPr>
          <w:ilvl w:val="1"/>
          <w:numId w:val="70"/>
        </w:numPr>
        <w:rPr>
          <w:rFonts w:ascii="Arial" w:cs="Arial" w:eastAsia="Arial" w:hAnsi="Arial"/>
          <w:sz w:val="18"/>
          <w:szCs w:val="18"/>
          <w:color w:val="auto"/>
        </w:rPr>
      </w:pPr>
      <w:r>
        <w:rPr>
          <w:rFonts w:ascii="Arial" w:cs="Arial" w:eastAsia="Arial" w:hAnsi="Arial"/>
          <w:sz w:val="18"/>
          <w:szCs w:val="18"/>
          <w:color w:val="auto"/>
        </w:rPr>
        <w:t>if the Stock is not listed on a national securities exchange nor quoted in the National Market System of the National Association of Securities Dealers Automated Quotation System on a last sale basis, the amount determined by the Committee to be the fair market value based upon a good faith attempt to value the Stock accurately.</w:t>
      </w:r>
    </w:p>
    <w:p>
      <w:pPr>
        <w:spacing w:after="0" w:line="95" w:lineRule="exact"/>
        <w:rPr>
          <w:rFonts w:ascii="Arial" w:cs="Arial" w:eastAsia="Arial" w:hAnsi="Arial"/>
          <w:sz w:val="18"/>
          <w:szCs w:val="18"/>
          <w:color w:val="auto"/>
        </w:rPr>
      </w:pPr>
    </w:p>
    <w:p>
      <w:pPr>
        <w:jc w:val="both"/>
        <w:ind w:left="1980" w:right="419" w:hanging="360"/>
        <w:spacing w:after="0" w:line="268" w:lineRule="auto"/>
        <w:tabs>
          <w:tab w:leader="none" w:pos="1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Grant Date</w:t>
      </w:r>
      <w:r>
        <w:rPr>
          <w:rFonts w:ascii="Arial" w:cs="Arial" w:eastAsia="Arial" w:hAnsi="Arial"/>
          <w:sz w:val="18"/>
          <w:szCs w:val="18"/>
          <w:color w:val="auto"/>
        </w:rPr>
        <w:t>” means the date specified by the Committee on which a grant of an Award shall become effective, which shall not be earlier than the date on which the Committee takes action with respect thereto.</w:t>
      </w:r>
    </w:p>
    <w:p>
      <w:pPr>
        <w:spacing w:after="0" w:line="103" w:lineRule="exact"/>
        <w:rPr>
          <w:rFonts w:ascii="Arial" w:cs="Arial" w:eastAsia="Arial" w:hAnsi="Arial"/>
          <w:sz w:val="18"/>
          <w:szCs w:val="18"/>
          <w:color w:val="auto"/>
        </w:rPr>
      </w:pPr>
    </w:p>
    <w:p>
      <w:pPr>
        <w:ind w:left="1980" w:right="419" w:hanging="360"/>
        <w:spacing w:after="0" w:line="287" w:lineRule="auto"/>
        <w:tabs>
          <w:tab w:leader="none" w:pos="1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Grantee</w:t>
      </w:r>
      <w:r>
        <w:rPr>
          <w:rFonts w:ascii="Arial" w:cs="Arial" w:eastAsia="Arial" w:hAnsi="Arial"/>
          <w:sz w:val="18"/>
          <w:szCs w:val="18"/>
          <w:color w:val="auto"/>
        </w:rPr>
        <w:t>” means an Employee or Nonemployee Director who has been selected by the Committee to receive an Award and to whom an Award has been granted.</w:t>
      </w:r>
    </w:p>
    <w:p>
      <w:pPr>
        <w:spacing w:after="0" w:line="71" w:lineRule="exact"/>
        <w:rPr>
          <w:rFonts w:ascii="Arial" w:cs="Arial" w:eastAsia="Arial" w:hAnsi="Arial"/>
          <w:sz w:val="18"/>
          <w:szCs w:val="18"/>
          <w:color w:val="auto"/>
        </w:rPr>
      </w:pPr>
    </w:p>
    <w:p>
      <w:pPr>
        <w:ind w:left="1980" w:right="419" w:hanging="360"/>
        <w:spacing w:after="0" w:line="287" w:lineRule="auto"/>
        <w:tabs>
          <w:tab w:leader="none" w:pos="1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Incentive Stock Option</w:t>
      </w:r>
      <w:r>
        <w:rPr>
          <w:rFonts w:ascii="Arial" w:cs="Arial" w:eastAsia="Arial" w:hAnsi="Arial"/>
          <w:sz w:val="18"/>
          <w:szCs w:val="18"/>
          <w:color w:val="auto"/>
        </w:rPr>
        <w:t>” means any Option that is intended to qualify as an “incentive stock option” under Code Section 422 or any successor provision.</w:t>
      </w:r>
    </w:p>
    <w:p>
      <w:pPr>
        <w:spacing w:after="0" w:line="85" w:lineRule="exact"/>
        <w:rPr>
          <w:rFonts w:ascii="Arial" w:cs="Arial" w:eastAsia="Arial" w:hAnsi="Arial"/>
          <w:sz w:val="18"/>
          <w:szCs w:val="18"/>
          <w:color w:val="auto"/>
        </w:rPr>
      </w:pPr>
    </w:p>
    <w:p>
      <w:pPr>
        <w:ind w:left="1980" w:hanging="360"/>
        <w:spacing w:after="0"/>
        <w:tabs>
          <w:tab w:leader="none" w:pos="1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Nonemployee Director</w:t>
      </w:r>
      <w:r>
        <w:rPr>
          <w:rFonts w:ascii="Arial" w:cs="Arial" w:eastAsia="Arial" w:hAnsi="Arial"/>
          <w:sz w:val="18"/>
          <w:szCs w:val="18"/>
          <w:color w:val="auto"/>
        </w:rPr>
        <w:t>” means a member of the Board who is not an Employee.</w:t>
      </w:r>
    </w:p>
    <w:p>
      <w:pPr>
        <w:spacing w:after="0" w:line="144" w:lineRule="exact"/>
        <w:rPr>
          <w:rFonts w:ascii="Arial" w:cs="Arial" w:eastAsia="Arial" w:hAnsi="Arial"/>
          <w:sz w:val="18"/>
          <w:szCs w:val="18"/>
          <w:color w:val="auto"/>
        </w:rPr>
      </w:pPr>
    </w:p>
    <w:p>
      <w:pPr>
        <w:ind w:left="1980" w:right="419" w:hanging="360"/>
        <w:spacing w:after="0" w:line="287" w:lineRule="auto"/>
        <w:tabs>
          <w:tab w:leader="none" w:pos="1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Nonqualified Stock Option</w:t>
      </w:r>
      <w:r>
        <w:rPr>
          <w:rFonts w:ascii="Arial" w:cs="Arial" w:eastAsia="Arial" w:hAnsi="Arial"/>
          <w:sz w:val="18"/>
          <w:szCs w:val="18"/>
          <w:color w:val="auto"/>
        </w:rPr>
        <w:t>” means an Option that is not intended to qualify as an Incentive Stock Option.</w:t>
      </w:r>
    </w:p>
    <w:p>
      <w:pPr>
        <w:spacing w:after="0" w:line="85" w:lineRule="exact"/>
        <w:rPr>
          <w:rFonts w:ascii="Arial" w:cs="Arial" w:eastAsia="Arial" w:hAnsi="Arial"/>
          <w:sz w:val="18"/>
          <w:szCs w:val="18"/>
          <w:color w:val="auto"/>
        </w:rPr>
      </w:pPr>
    </w:p>
    <w:p>
      <w:pPr>
        <w:ind w:left="1980" w:hanging="360"/>
        <w:spacing w:after="0"/>
        <w:tabs>
          <w:tab w:leader="none" w:pos="1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w:t>
      </w:r>
      <w:r>
        <w:rPr>
          <w:rFonts w:ascii="Arial" w:cs="Arial" w:eastAsia="Arial" w:hAnsi="Arial"/>
          <w:sz w:val="18"/>
          <w:szCs w:val="18"/>
          <w:color w:val="auto"/>
        </w:rPr>
        <w:t>” means any option to purchase Shares granted under Section 5 of the Plan.</w:t>
      </w:r>
    </w:p>
    <w:p>
      <w:pPr>
        <w:spacing w:after="0" w:line="157" w:lineRule="exact"/>
        <w:rPr>
          <w:rFonts w:ascii="Arial" w:cs="Arial" w:eastAsia="Arial" w:hAnsi="Arial"/>
          <w:sz w:val="18"/>
          <w:szCs w:val="18"/>
          <w:color w:val="auto"/>
        </w:rPr>
      </w:pPr>
    </w:p>
    <w:p>
      <w:pPr>
        <w:ind w:left="1980" w:hanging="360"/>
        <w:spacing w:after="0"/>
        <w:tabs>
          <w:tab w:leader="none" w:pos="1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 Price</w:t>
      </w:r>
      <w:r>
        <w:rPr>
          <w:rFonts w:ascii="Arial" w:cs="Arial" w:eastAsia="Arial" w:hAnsi="Arial"/>
          <w:sz w:val="18"/>
          <w:szCs w:val="18"/>
          <w:color w:val="auto"/>
        </w:rPr>
        <w:t>” means the purchase price payable upon the exercise of an Option.</w:t>
      </w:r>
    </w:p>
    <w:p>
      <w:pPr>
        <w:spacing w:after="0" w:line="144" w:lineRule="exact"/>
        <w:rPr>
          <w:rFonts w:ascii="Arial" w:cs="Arial" w:eastAsia="Arial" w:hAnsi="Arial"/>
          <w:sz w:val="18"/>
          <w:szCs w:val="18"/>
          <w:color w:val="auto"/>
        </w:rPr>
      </w:pPr>
    </w:p>
    <w:p>
      <w:pPr>
        <w:jc w:val="both"/>
        <w:ind w:left="1980" w:right="419" w:hanging="360"/>
        <w:spacing w:after="0" w:line="256" w:lineRule="auto"/>
        <w:tabs>
          <w:tab w:leader="none" w:pos="1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 Objectives</w:t>
      </w:r>
      <w:r>
        <w:rPr>
          <w:rFonts w:ascii="Arial" w:cs="Arial" w:eastAsia="Arial" w:hAnsi="Arial"/>
          <w:sz w:val="18"/>
          <w:szCs w:val="18"/>
          <w:color w:val="auto"/>
        </w:rPr>
        <w:t>” means the performance objectives established pursuant to this Plan for Grantees who have received Awards. Performance Objectives may be described in terms of Company-wide objectives or objectives that are related to the performance of the individual Grantee or the Subsidiary, division, department or function within the Company or Subsidiary in which the Grantee is employed. Performance Objectives may be measured on an absolute or relative basis. Relative performance may be measured by a group of peer companies or by a financial market index. Any Performance Objectives may include:</w:t>
      </w:r>
    </w:p>
    <w:p>
      <w:pPr>
        <w:spacing w:after="0" w:line="115" w:lineRule="exact"/>
        <w:rPr>
          <w:rFonts w:ascii="Arial" w:cs="Arial" w:eastAsia="Arial" w:hAnsi="Arial"/>
          <w:sz w:val="18"/>
          <w:szCs w:val="18"/>
          <w:color w:val="auto"/>
        </w:rPr>
      </w:pPr>
    </w:p>
    <w:p>
      <w:pPr>
        <w:ind w:left="2420" w:hanging="440"/>
        <w:spacing w:after="0"/>
        <w:tabs>
          <w:tab w:leader="none" w:pos="2420" w:val="left"/>
        </w:tabs>
        <w:numPr>
          <w:ilvl w:val="1"/>
          <w:numId w:val="70"/>
        </w:numPr>
        <w:rPr>
          <w:rFonts w:ascii="Arial" w:cs="Arial" w:eastAsia="Arial" w:hAnsi="Arial"/>
          <w:sz w:val="18"/>
          <w:szCs w:val="18"/>
          <w:color w:val="auto"/>
        </w:rPr>
      </w:pPr>
      <w:r>
        <w:rPr>
          <w:rFonts w:ascii="Arial" w:cs="Arial" w:eastAsia="Arial" w:hAnsi="Arial"/>
          <w:sz w:val="18"/>
          <w:szCs w:val="18"/>
          <w:color w:val="auto"/>
        </w:rPr>
        <w:t>return on invested capital;</w:t>
      </w:r>
    </w:p>
    <w:p>
      <w:pPr>
        <w:spacing w:after="0" w:line="157" w:lineRule="exact"/>
        <w:rPr>
          <w:rFonts w:ascii="Arial" w:cs="Arial" w:eastAsia="Arial" w:hAnsi="Arial"/>
          <w:sz w:val="18"/>
          <w:szCs w:val="18"/>
          <w:color w:val="auto"/>
        </w:rPr>
      </w:pPr>
    </w:p>
    <w:p>
      <w:pPr>
        <w:ind w:left="2420" w:hanging="440"/>
        <w:spacing w:after="0"/>
        <w:tabs>
          <w:tab w:leader="none" w:pos="2420" w:val="left"/>
        </w:tabs>
        <w:numPr>
          <w:ilvl w:val="1"/>
          <w:numId w:val="70"/>
        </w:numPr>
        <w:rPr>
          <w:rFonts w:ascii="Arial" w:cs="Arial" w:eastAsia="Arial" w:hAnsi="Arial"/>
          <w:sz w:val="18"/>
          <w:szCs w:val="18"/>
          <w:color w:val="auto"/>
        </w:rPr>
      </w:pPr>
      <w:r>
        <w:rPr>
          <w:rFonts w:ascii="Arial" w:cs="Arial" w:eastAsia="Arial" w:hAnsi="Arial"/>
          <w:sz w:val="18"/>
          <w:szCs w:val="18"/>
          <w:color w:val="auto"/>
        </w:rPr>
        <w:t>free cash flow;</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5" w:name="page76"/>
    <w:bookmarkEnd w:id="7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420" w:hanging="440"/>
        <w:spacing w:after="0"/>
        <w:tabs>
          <w:tab w:leader="none" w:pos="24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economic value added (net operating profit after tax less cost of capital);</w:t>
      </w:r>
    </w:p>
    <w:p>
      <w:pPr>
        <w:spacing w:after="0" w:line="144" w:lineRule="exact"/>
        <w:rPr>
          <w:rFonts w:ascii="Arial" w:cs="Arial" w:eastAsia="Arial" w:hAnsi="Arial"/>
          <w:sz w:val="18"/>
          <w:szCs w:val="18"/>
          <w:color w:val="auto"/>
        </w:rPr>
      </w:pPr>
    </w:p>
    <w:p>
      <w:pPr>
        <w:ind w:left="2420" w:hanging="440"/>
        <w:spacing w:after="0"/>
        <w:tabs>
          <w:tab w:leader="none" w:pos="24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total stockholder return;</w:t>
      </w:r>
    </w:p>
    <w:p>
      <w:pPr>
        <w:spacing w:after="0" w:line="157" w:lineRule="exact"/>
        <w:rPr>
          <w:rFonts w:ascii="Arial" w:cs="Arial" w:eastAsia="Arial" w:hAnsi="Arial"/>
          <w:sz w:val="18"/>
          <w:szCs w:val="18"/>
          <w:color w:val="auto"/>
        </w:rPr>
      </w:pPr>
    </w:p>
    <w:p>
      <w:pPr>
        <w:ind w:left="2420" w:hanging="440"/>
        <w:spacing w:after="0"/>
        <w:tabs>
          <w:tab w:leader="none" w:pos="24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operating ratio;</w:t>
      </w:r>
    </w:p>
    <w:p>
      <w:pPr>
        <w:spacing w:after="0" w:line="144" w:lineRule="exact"/>
        <w:rPr>
          <w:rFonts w:ascii="Arial" w:cs="Arial" w:eastAsia="Arial" w:hAnsi="Arial"/>
          <w:sz w:val="18"/>
          <w:szCs w:val="18"/>
          <w:color w:val="auto"/>
        </w:rPr>
      </w:pPr>
    </w:p>
    <w:p>
      <w:pPr>
        <w:ind w:left="2420" w:hanging="440"/>
        <w:spacing w:after="0"/>
        <w:tabs>
          <w:tab w:leader="none" w:pos="24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cost reduction (or limits on cost increases);</w:t>
      </w:r>
    </w:p>
    <w:p>
      <w:pPr>
        <w:spacing w:after="0" w:line="144" w:lineRule="exact"/>
        <w:rPr>
          <w:rFonts w:ascii="Arial" w:cs="Arial" w:eastAsia="Arial" w:hAnsi="Arial"/>
          <w:sz w:val="18"/>
          <w:szCs w:val="18"/>
          <w:color w:val="auto"/>
        </w:rPr>
      </w:pPr>
    </w:p>
    <w:p>
      <w:pPr>
        <w:ind w:left="2420" w:hanging="440"/>
        <w:spacing w:after="0"/>
        <w:tabs>
          <w:tab w:leader="none" w:pos="24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debt to capitalization;</w:t>
      </w:r>
    </w:p>
    <w:p>
      <w:pPr>
        <w:spacing w:after="0" w:line="144" w:lineRule="exact"/>
        <w:rPr>
          <w:rFonts w:ascii="Arial" w:cs="Arial" w:eastAsia="Arial" w:hAnsi="Arial"/>
          <w:sz w:val="18"/>
          <w:szCs w:val="18"/>
          <w:color w:val="auto"/>
        </w:rPr>
      </w:pPr>
    </w:p>
    <w:p>
      <w:pPr>
        <w:ind w:left="2420" w:hanging="440"/>
        <w:spacing w:after="0"/>
        <w:tabs>
          <w:tab w:leader="none" w:pos="24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debt to equity;</w:t>
      </w:r>
    </w:p>
    <w:p>
      <w:pPr>
        <w:spacing w:after="0" w:line="144" w:lineRule="exact"/>
        <w:rPr>
          <w:rFonts w:ascii="Arial" w:cs="Arial" w:eastAsia="Arial" w:hAnsi="Arial"/>
          <w:sz w:val="18"/>
          <w:szCs w:val="18"/>
          <w:color w:val="auto"/>
        </w:rPr>
      </w:pPr>
    </w:p>
    <w:p>
      <w:pPr>
        <w:ind w:left="2420" w:hanging="440"/>
        <w:spacing w:after="0"/>
        <w:tabs>
          <w:tab w:leader="none" w:pos="24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earnings;</w:t>
      </w:r>
    </w:p>
    <w:p>
      <w:pPr>
        <w:spacing w:after="0" w:line="144" w:lineRule="exact"/>
        <w:rPr>
          <w:rFonts w:ascii="Arial" w:cs="Arial" w:eastAsia="Arial" w:hAnsi="Arial"/>
          <w:sz w:val="18"/>
          <w:szCs w:val="18"/>
          <w:color w:val="auto"/>
        </w:rPr>
      </w:pPr>
    </w:p>
    <w:p>
      <w:pPr>
        <w:ind w:left="2420" w:hanging="440"/>
        <w:spacing w:after="0"/>
        <w:tabs>
          <w:tab w:leader="none" w:pos="24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earnings before interest and taxes;</w:t>
      </w:r>
    </w:p>
    <w:p>
      <w:pPr>
        <w:spacing w:after="0" w:line="144" w:lineRule="exact"/>
        <w:rPr>
          <w:rFonts w:ascii="Arial" w:cs="Arial" w:eastAsia="Arial" w:hAnsi="Arial"/>
          <w:sz w:val="18"/>
          <w:szCs w:val="18"/>
          <w:color w:val="auto"/>
        </w:rPr>
      </w:pPr>
    </w:p>
    <w:p>
      <w:pPr>
        <w:ind w:left="2420" w:hanging="440"/>
        <w:spacing w:after="0"/>
        <w:tabs>
          <w:tab w:leader="none" w:pos="24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earnings before interest, taxes, depreciation and amortization;</w:t>
      </w:r>
    </w:p>
    <w:p>
      <w:pPr>
        <w:spacing w:after="0" w:line="144" w:lineRule="exact"/>
        <w:rPr>
          <w:rFonts w:ascii="Arial" w:cs="Arial" w:eastAsia="Arial" w:hAnsi="Arial"/>
          <w:sz w:val="18"/>
          <w:szCs w:val="18"/>
          <w:color w:val="auto"/>
        </w:rPr>
      </w:pPr>
    </w:p>
    <w:p>
      <w:pPr>
        <w:ind w:left="2420" w:hanging="440"/>
        <w:spacing w:after="0"/>
        <w:tabs>
          <w:tab w:leader="none" w:pos="24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earnings per share (including or excluding nonrecurring items);</w:t>
      </w:r>
    </w:p>
    <w:p>
      <w:pPr>
        <w:spacing w:after="0" w:line="144" w:lineRule="exact"/>
        <w:rPr>
          <w:rFonts w:ascii="Arial" w:cs="Arial" w:eastAsia="Arial" w:hAnsi="Arial"/>
          <w:sz w:val="18"/>
          <w:szCs w:val="18"/>
          <w:color w:val="auto"/>
        </w:rPr>
      </w:pPr>
    </w:p>
    <w:p>
      <w:pPr>
        <w:ind w:left="2420" w:hanging="440"/>
        <w:spacing w:after="0"/>
        <w:tabs>
          <w:tab w:leader="none" w:pos="24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earnings per share before extraordinary items;</w:t>
      </w:r>
    </w:p>
    <w:p>
      <w:pPr>
        <w:spacing w:after="0" w:line="144" w:lineRule="exact"/>
        <w:rPr>
          <w:rFonts w:ascii="Arial" w:cs="Arial" w:eastAsia="Arial" w:hAnsi="Arial"/>
          <w:sz w:val="18"/>
          <w:szCs w:val="18"/>
          <w:color w:val="auto"/>
        </w:rPr>
      </w:pPr>
    </w:p>
    <w:p>
      <w:pPr>
        <w:ind w:left="2420" w:hanging="440"/>
        <w:spacing w:after="0"/>
        <w:tabs>
          <w:tab w:leader="none" w:pos="24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income from operations (including or excluding nonrecurring items);</w:t>
      </w:r>
    </w:p>
    <w:p>
      <w:pPr>
        <w:spacing w:after="0" w:line="144" w:lineRule="exact"/>
        <w:rPr>
          <w:rFonts w:ascii="Arial" w:cs="Arial" w:eastAsia="Arial" w:hAnsi="Arial"/>
          <w:sz w:val="18"/>
          <w:szCs w:val="18"/>
          <w:color w:val="auto"/>
        </w:rPr>
      </w:pPr>
    </w:p>
    <w:p>
      <w:pPr>
        <w:ind w:left="2420" w:hanging="440"/>
        <w:spacing w:after="0"/>
        <w:tabs>
          <w:tab w:leader="none" w:pos="24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income from operations compared to capital spending;</w:t>
      </w:r>
    </w:p>
    <w:p>
      <w:pPr>
        <w:spacing w:after="0" w:line="144" w:lineRule="exact"/>
        <w:rPr>
          <w:rFonts w:ascii="Arial" w:cs="Arial" w:eastAsia="Arial" w:hAnsi="Arial"/>
          <w:sz w:val="18"/>
          <w:szCs w:val="18"/>
          <w:color w:val="auto"/>
        </w:rPr>
      </w:pPr>
    </w:p>
    <w:p>
      <w:pPr>
        <w:ind w:left="2420" w:right="419" w:hanging="440"/>
        <w:spacing w:after="0" w:line="287" w:lineRule="auto"/>
        <w:tabs>
          <w:tab w:leader="none" w:pos="24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net income (including or excluding nonrecurring items, extraordinary items and/or the accumulative effect of accounting changes);</w:t>
      </w:r>
    </w:p>
    <w:p>
      <w:pPr>
        <w:spacing w:after="0" w:line="71" w:lineRule="exact"/>
        <w:rPr>
          <w:rFonts w:ascii="Arial" w:cs="Arial" w:eastAsia="Arial" w:hAnsi="Arial"/>
          <w:sz w:val="18"/>
          <w:szCs w:val="18"/>
          <w:color w:val="auto"/>
        </w:rPr>
      </w:pPr>
    </w:p>
    <w:p>
      <w:pPr>
        <w:ind w:left="2420" w:hanging="440"/>
        <w:spacing w:after="0"/>
        <w:tabs>
          <w:tab w:leader="none" w:pos="24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net sales;</w:t>
      </w:r>
    </w:p>
    <w:p>
      <w:pPr>
        <w:spacing w:after="0" w:line="144" w:lineRule="exact"/>
        <w:rPr>
          <w:rFonts w:ascii="Arial" w:cs="Arial" w:eastAsia="Arial" w:hAnsi="Arial"/>
          <w:sz w:val="18"/>
          <w:szCs w:val="18"/>
          <w:color w:val="auto"/>
        </w:rPr>
      </w:pPr>
    </w:p>
    <w:p>
      <w:pPr>
        <w:ind w:left="2420" w:hanging="440"/>
        <w:spacing w:after="0"/>
        <w:tabs>
          <w:tab w:leader="none" w:pos="24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price per share of common stock;</w:t>
      </w:r>
    </w:p>
    <w:p>
      <w:pPr>
        <w:spacing w:after="0" w:line="144" w:lineRule="exact"/>
        <w:rPr>
          <w:rFonts w:ascii="Arial" w:cs="Arial" w:eastAsia="Arial" w:hAnsi="Arial"/>
          <w:sz w:val="18"/>
          <w:szCs w:val="18"/>
          <w:color w:val="auto"/>
        </w:rPr>
      </w:pPr>
    </w:p>
    <w:p>
      <w:pPr>
        <w:ind w:left="2420" w:hanging="440"/>
        <w:spacing w:after="0"/>
        <w:tabs>
          <w:tab w:leader="none" w:pos="24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return on assets;</w:t>
      </w:r>
    </w:p>
    <w:p>
      <w:pPr>
        <w:spacing w:after="0" w:line="144" w:lineRule="exact"/>
        <w:rPr>
          <w:rFonts w:ascii="Arial" w:cs="Arial" w:eastAsia="Arial" w:hAnsi="Arial"/>
          <w:sz w:val="18"/>
          <w:szCs w:val="18"/>
          <w:color w:val="auto"/>
        </w:rPr>
      </w:pPr>
    </w:p>
    <w:p>
      <w:pPr>
        <w:ind w:left="2420" w:hanging="440"/>
        <w:spacing w:after="0"/>
        <w:tabs>
          <w:tab w:leader="none" w:pos="24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return on capital employed;</w:t>
      </w:r>
    </w:p>
    <w:p>
      <w:pPr>
        <w:spacing w:after="0" w:line="144" w:lineRule="exact"/>
        <w:rPr>
          <w:rFonts w:ascii="Arial" w:cs="Arial" w:eastAsia="Arial" w:hAnsi="Arial"/>
          <w:sz w:val="18"/>
          <w:szCs w:val="18"/>
          <w:color w:val="auto"/>
        </w:rPr>
      </w:pPr>
    </w:p>
    <w:p>
      <w:pPr>
        <w:ind w:left="2420" w:hanging="440"/>
        <w:spacing w:after="0"/>
        <w:tabs>
          <w:tab w:leader="none" w:pos="24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return on equity;</w:t>
      </w:r>
    </w:p>
    <w:p>
      <w:pPr>
        <w:spacing w:after="0" w:line="144" w:lineRule="exact"/>
        <w:rPr>
          <w:rFonts w:ascii="Arial" w:cs="Arial" w:eastAsia="Arial" w:hAnsi="Arial"/>
          <w:sz w:val="18"/>
          <w:szCs w:val="18"/>
          <w:color w:val="auto"/>
        </w:rPr>
      </w:pPr>
    </w:p>
    <w:p>
      <w:pPr>
        <w:ind w:left="2420" w:hanging="440"/>
        <w:spacing w:after="0"/>
        <w:tabs>
          <w:tab w:leader="none" w:pos="24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return on investment;</w:t>
      </w:r>
    </w:p>
    <w:p>
      <w:pPr>
        <w:spacing w:after="0" w:line="144" w:lineRule="exact"/>
        <w:rPr>
          <w:rFonts w:ascii="Arial" w:cs="Arial" w:eastAsia="Arial" w:hAnsi="Arial"/>
          <w:sz w:val="18"/>
          <w:szCs w:val="18"/>
          <w:color w:val="auto"/>
        </w:rPr>
      </w:pPr>
    </w:p>
    <w:p>
      <w:pPr>
        <w:ind w:left="2420" w:hanging="440"/>
        <w:spacing w:after="0"/>
        <w:tabs>
          <w:tab w:leader="none" w:pos="24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return on sales; and</w:t>
      </w:r>
    </w:p>
    <w:p>
      <w:pPr>
        <w:spacing w:after="0" w:line="144" w:lineRule="exact"/>
        <w:rPr>
          <w:rFonts w:ascii="Arial" w:cs="Arial" w:eastAsia="Arial" w:hAnsi="Arial"/>
          <w:sz w:val="18"/>
          <w:szCs w:val="18"/>
          <w:color w:val="auto"/>
        </w:rPr>
      </w:pPr>
    </w:p>
    <w:p>
      <w:pPr>
        <w:ind w:left="2420" w:hanging="440"/>
        <w:spacing w:after="0"/>
        <w:tabs>
          <w:tab w:leader="none" w:pos="24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sales volume.</w:t>
      </w:r>
    </w:p>
    <w:p>
      <w:pPr>
        <w:spacing w:after="0" w:line="158" w:lineRule="exact"/>
        <w:rPr>
          <w:sz w:val="20"/>
          <w:szCs w:val="20"/>
          <w:color w:val="auto"/>
        </w:rPr>
      </w:pPr>
    </w:p>
    <w:p>
      <w:pPr>
        <w:jc w:val="both"/>
        <w:ind w:left="1620" w:right="419"/>
        <w:spacing w:after="0" w:line="252" w:lineRule="auto"/>
        <w:rPr>
          <w:sz w:val="20"/>
          <w:szCs w:val="20"/>
          <w:color w:val="auto"/>
        </w:rPr>
      </w:pPr>
      <w:r>
        <w:rPr>
          <w:rFonts w:ascii="Arial" w:cs="Arial" w:eastAsia="Arial" w:hAnsi="Arial"/>
          <w:sz w:val="18"/>
          <w:szCs w:val="18"/>
          <w:color w:val="auto"/>
        </w:rPr>
        <w:t>The Committee will generally establish Performance Objectives during the first 90 days of a Performance Period. The Committee is authorized, in its sole and absolute discretion, to adjust, or modify the level of achievement required for, a Performance Objective in order to prevent the dilution or enlargement of the rights of a Grantee.</w:t>
      </w:r>
    </w:p>
    <w:p>
      <w:pPr>
        <w:spacing w:after="0" w:line="89" w:lineRule="exact"/>
        <w:rPr>
          <w:sz w:val="20"/>
          <w:szCs w:val="20"/>
          <w:color w:val="auto"/>
        </w:rPr>
      </w:pPr>
    </w:p>
    <w:p>
      <w:pPr>
        <w:jc w:val="both"/>
        <w:ind w:left="2060" w:right="419" w:hanging="440"/>
        <w:spacing w:after="0" w:line="268" w:lineRule="auto"/>
        <w:tabs>
          <w:tab w:leader="none" w:pos="20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 Period</w:t>
      </w:r>
      <w:r>
        <w:rPr>
          <w:rFonts w:ascii="Arial" w:cs="Arial" w:eastAsia="Arial" w:hAnsi="Arial"/>
          <w:sz w:val="18"/>
          <w:szCs w:val="18"/>
          <w:color w:val="auto"/>
        </w:rPr>
        <w:t>” means a period of time established under Section 8 of the Plan within which the Performance Objectives relating to a Performance Share, Performance Unit, Restricted Shares or Restricted Share Units are to be achieved.</w:t>
      </w:r>
    </w:p>
    <w:p>
      <w:pPr>
        <w:spacing w:after="0" w:line="89" w:lineRule="exact"/>
        <w:rPr>
          <w:rFonts w:ascii="Arial" w:cs="Arial" w:eastAsia="Arial" w:hAnsi="Arial"/>
          <w:sz w:val="18"/>
          <w:szCs w:val="18"/>
          <w:color w:val="auto"/>
        </w:rPr>
      </w:pPr>
    </w:p>
    <w:p>
      <w:pPr>
        <w:ind w:left="2060" w:right="419" w:hanging="440"/>
        <w:spacing w:after="0" w:line="287" w:lineRule="auto"/>
        <w:tabs>
          <w:tab w:leader="none" w:pos="20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 Share</w:t>
      </w:r>
      <w:r>
        <w:rPr>
          <w:rFonts w:ascii="Arial" w:cs="Arial" w:eastAsia="Arial" w:hAnsi="Arial"/>
          <w:sz w:val="18"/>
          <w:szCs w:val="18"/>
          <w:color w:val="auto"/>
        </w:rPr>
        <w:t>” means a bookkeeping entry that records the equivalent of one Share awarded pursuant to Section 8 of the Plan.</w:t>
      </w:r>
    </w:p>
    <w:p>
      <w:pPr>
        <w:spacing w:after="0" w:line="71" w:lineRule="exact"/>
        <w:rPr>
          <w:rFonts w:ascii="Arial" w:cs="Arial" w:eastAsia="Arial" w:hAnsi="Arial"/>
          <w:sz w:val="18"/>
          <w:szCs w:val="18"/>
          <w:color w:val="auto"/>
        </w:rPr>
      </w:pPr>
    </w:p>
    <w:p>
      <w:pPr>
        <w:ind w:left="2060" w:right="419" w:hanging="440"/>
        <w:spacing w:after="0" w:line="287" w:lineRule="auto"/>
        <w:tabs>
          <w:tab w:leader="none" w:pos="20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 Unit</w:t>
      </w:r>
      <w:r>
        <w:rPr>
          <w:rFonts w:ascii="Arial" w:cs="Arial" w:eastAsia="Arial" w:hAnsi="Arial"/>
          <w:sz w:val="18"/>
          <w:szCs w:val="18"/>
          <w:color w:val="auto"/>
        </w:rPr>
        <w:t>” means a bookkeeping entry that records a unit equivalent to $1.00 awarded pursuant to Section 8 of the Plan.</w:t>
      </w:r>
    </w:p>
    <w:p>
      <w:pPr>
        <w:spacing w:after="0" w:line="71" w:lineRule="exact"/>
        <w:rPr>
          <w:rFonts w:ascii="Arial" w:cs="Arial" w:eastAsia="Arial" w:hAnsi="Arial"/>
          <w:sz w:val="18"/>
          <w:szCs w:val="18"/>
          <w:color w:val="auto"/>
        </w:rPr>
      </w:pPr>
    </w:p>
    <w:p>
      <w:pPr>
        <w:ind w:left="2060" w:hanging="440"/>
        <w:spacing w:after="0"/>
        <w:tabs>
          <w:tab w:leader="none" w:pos="20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Shares</w:t>
      </w:r>
      <w:r>
        <w:rPr>
          <w:rFonts w:ascii="Arial" w:cs="Arial" w:eastAsia="Arial" w:hAnsi="Arial"/>
          <w:sz w:val="18"/>
          <w:szCs w:val="18"/>
          <w:color w:val="auto"/>
        </w:rPr>
        <w:t>” mean Shares granted under Section 7 of the Plan.</w:t>
      </w:r>
    </w:p>
    <w:p>
      <w:pPr>
        <w:spacing w:after="0" w:line="144" w:lineRule="exact"/>
        <w:rPr>
          <w:rFonts w:ascii="Arial" w:cs="Arial" w:eastAsia="Arial" w:hAnsi="Arial"/>
          <w:sz w:val="18"/>
          <w:szCs w:val="18"/>
          <w:color w:val="auto"/>
        </w:rPr>
      </w:pPr>
    </w:p>
    <w:p>
      <w:pPr>
        <w:ind w:left="2060" w:right="419" w:hanging="440"/>
        <w:spacing w:after="0" w:line="287" w:lineRule="auto"/>
        <w:tabs>
          <w:tab w:leader="none" w:pos="20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Share Unit</w:t>
      </w:r>
      <w:r>
        <w:rPr>
          <w:rFonts w:ascii="Arial" w:cs="Arial" w:eastAsia="Arial" w:hAnsi="Arial"/>
          <w:sz w:val="18"/>
          <w:szCs w:val="18"/>
          <w:color w:val="auto"/>
        </w:rPr>
        <w:t>” means an Award granted under Section 7 of the Plan and denominated in units representing rights to receive Shares.</w:t>
      </w:r>
    </w:p>
    <w:p>
      <w:pPr>
        <w:spacing w:after="0" w:line="71" w:lineRule="exact"/>
        <w:rPr>
          <w:rFonts w:ascii="Arial" w:cs="Arial" w:eastAsia="Arial" w:hAnsi="Arial"/>
          <w:sz w:val="18"/>
          <w:szCs w:val="18"/>
          <w:color w:val="auto"/>
        </w:rPr>
      </w:pPr>
    </w:p>
    <w:p>
      <w:pPr>
        <w:ind w:left="2060" w:hanging="440"/>
        <w:spacing w:after="0"/>
        <w:tabs>
          <w:tab w:leader="none" w:pos="20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Shares</w:t>
      </w:r>
      <w:r>
        <w:rPr>
          <w:rFonts w:ascii="Arial" w:cs="Arial" w:eastAsia="Arial" w:hAnsi="Arial"/>
          <w:sz w:val="18"/>
          <w:szCs w:val="18"/>
          <w:color w:val="auto"/>
        </w:rPr>
        <w:t>” means shares of the Common Stock of the Company, par value $0.01 per share, or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6" w:name="page77"/>
    <w:bookmarkEnd w:id="7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060" w:right="419"/>
        <w:spacing w:after="0" w:line="287" w:lineRule="auto"/>
        <w:rPr>
          <w:sz w:val="20"/>
          <w:szCs w:val="20"/>
          <w:color w:val="auto"/>
        </w:rPr>
      </w:pPr>
      <w:r>
        <w:rPr>
          <w:rFonts w:ascii="Arial" w:cs="Arial" w:eastAsia="Arial" w:hAnsi="Arial"/>
          <w:sz w:val="18"/>
          <w:szCs w:val="18"/>
          <w:color w:val="auto"/>
        </w:rPr>
        <w:t>any security into which Shares may be converted by reason of any transaction or event of the type referred to in Section 13 of the Plan.</w:t>
      </w:r>
    </w:p>
    <w:p>
      <w:pPr>
        <w:spacing w:after="0" w:line="58" w:lineRule="exact"/>
        <w:rPr>
          <w:sz w:val="20"/>
          <w:szCs w:val="20"/>
          <w:color w:val="auto"/>
        </w:rPr>
      </w:pPr>
    </w:p>
    <w:p>
      <w:pPr>
        <w:jc w:val="both"/>
        <w:ind w:left="2060" w:right="419" w:hanging="440"/>
        <w:spacing w:after="0" w:line="268" w:lineRule="auto"/>
        <w:tabs>
          <w:tab w:leader="none" w:pos="2060" w:val="left"/>
        </w:tabs>
        <w:numPr>
          <w:ilvl w:val="1"/>
          <w:numId w:val="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Spread</w:t>
      </w:r>
      <w:r>
        <w:rPr>
          <w:rFonts w:ascii="Arial" w:cs="Arial" w:eastAsia="Arial" w:hAnsi="Arial"/>
          <w:sz w:val="18"/>
          <w:szCs w:val="18"/>
          <w:color w:val="auto"/>
        </w:rPr>
        <w:t>” means, in the case of a Stock Appreciation Right, the amount by which the Fair Market Value on the date when any such right is exercised exceeds the Base Price specified in such right.</w:t>
      </w:r>
    </w:p>
    <w:p>
      <w:pPr>
        <w:spacing w:after="0" w:line="103" w:lineRule="exact"/>
        <w:rPr>
          <w:rFonts w:ascii="Arial" w:cs="Arial" w:eastAsia="Arial" w:hAnsi="Arial"/>
          <w:sz w:val="18"/>
          <w:szCs w:val="18"/>
          <w:color w:val="auto"/>
        </w:rPr>
      </w:pPr>
    </w:p>
    <w:p>
      <w:pPr>
        <w:ind w:left="2060" w:hanging="440"/>
        <w:spacing w:after="0"/>
        <w:tabs>
          <w:tab w:leader="none" w:pos="2060" w:val="left"/>
        </w:tabs>
        <w:numPr>
          <w:ilvl w:val="1"/>
          <w:numId w:val="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 Appreciation Right</w:t>
      </w:r>
      <w:r>
        <w:rPr>
          <w:rFonts w:ascii="Arial" w:cs="Arial" w:eastAsia="Arial" w:hAnsi="Arial"/>
          <w:sz w:val="18"/>
          <w:szCs w:val="18"/>
          <w:color w:val="auto"/>
        </w:rPr>
        <w:t>” means a right granted under Section 6 of the Plan.</w:t>
      </w:r>
    </w:p>
    <w:p>
      <w:pPr>
        <w:spacing w:after="0" w:line="144" w:lineRule="exact"/>
        <w:rPr>
          <w:rFonts w:ascii="Arial" w:cs="Arial" w:eastAsia="Arial" w:hAnsi="Arial"/>
          <w:sz w:val="18"/>
          <w:szCs w:val="18"/>
          <w:color w:val="auto"/>
        </w:rPr>
      </w:pPr>
    </w:p>
    <w:p>
      <w:pPr>
        <w:ind w:left="2060" w:hanging="440"/>
        <w:spacing w:after="0"/>
        <w:tabs>
          <w:tab w:leader="none" w:pos="2060" w:val="left"/>
        </w:tabs>
        <w:numPr>
          <w:ilvl w:val="1"/>
          <w:numId w:val="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 Payment</w:t>
      </w:r>
      <w:r>
        <w:rPr>
          <w:rFonts w:ascii="Arial" w:cs="Arial" w:eastAsia="Arial" w:hAnsi="Arial"/>
          <w:sz w:val="18"/>
          <w:szCs w:val="18"/>
          <w:color w:val="auto"/>
        </w:rPr>
        <w:t>” means Shares granted under Section 9 of the Plan.</w:t>
      </w:r>
    </w:p>
    <w:p>
      <w:pPr>
        <w:spacing w:after="0" w:line="144" w:lineRule="exact"/>
        <w:rPr>
          <w:rFonts w:ascii="Arial" w:cs="Arial" w:eastAsia="Arial" w:hAnsi="Arial"/>
          <w:sz w:val="18"/>
          <w:szCs w:val="18"/>
          <w:color w:val="auto"/>
        </w:rPr>
      </w:pPr>
    </w:p>
    <w:p>
      <w:pPr>
        <w:jc w:val="both"/>
        <w:ind w:left="2060" w:right="419" w:hanging="440"/>
        <w:spacing w:after="0" w:line="275" w:lineRule="auto"/>
        <w:tabs>
          <w:tab w:leader="none" w:pos="2060" w:val="left"/>
        </w:tabs>
        <w:numPr>
          <w:ilvl w:val="1"/>
          <w:numId w:val="7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means a corporation or other entity in which the Company has a direct or indirect ownership or other equity interest, provided that for purposes of determining whether any person may be a Grantee for purposes of any grant of Incentive Stock Options, “Subsidiary” means any corporation (within the meaning of the Code) in which the Company owns or controls directly or indirectly more than 50 percent of the total combined voting power represented by all classes of stock issued by such corporation at the time of such grant.</w:t>
      </w:r>
    </w:p>
    <w:p>
      <w:pPr>
        <w:spacing w:after="0" w:line="87" w:lineRule="exact"/>
        <w:rPr>
          <w:rFonts w:ascii="Arial" w:cs="Arial" w:eastAsia="Arial" w:hAnsi="Arial"/>
          <w:sz w:val="17"/>
          <w:szCs w:val="17"/>
          <w:color w:val="auto"/>
        </w:rPr>
      </w:pPr>
    </w:p>
    <w:p>
      <w:pPr>
        <w:jc w:val="both"/>
        <w:ind w:left="2060" w:right="419" w:hanging="440"/>
        <w:spacing w:after="0" w:line="268" w:lineRule="auto"/>
        <w:tabs>
          <w:tab w:leader="none" w:pos="2060" w:val="left"/>
        </w:tabs>
        <w:numPr>
          <w:ilvl w:val="1"/>
          <w:numId w:val="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Ten Percent Stockholder</w:t>
      </w:r>
      <w:r>
        <w:rPr>
          <w:rFonts w:ascii="Arial" w:cs="Arial" w:eastAsia="Arial" w:hAnsi="Arial"/>
          <w:sz w:val="18"/>
          <w:szCs w:val="18"/>
          <w:color w:val="auto"/>
        </w:rPr>
        <w:t>” means a person who owns (or is deemed to own pursuant to Section 424(d) of the Code) stock possessing more than 10% of the total combined voting power of all classes of stock of the Company or of any of its affiliates.</w:t>
      </w:r>
    </w:p>
    <w:p>
      <w:pPr>
        <w:spacing w:after="0" w:line="103" w:lineRule="exact"/>
        <w:rPr>
          <w:rFonts w:ascii="Arial" w:cs="Arial" w:eastAsia="Arial" w:hAnsi="Arial"/>
          <w:sz w:val="18"/>
          <w:szCs w:val="18"/>
          <w:color w:val="auto"/>
        </w:rPr>
      </w:pPr>
    </w:p>
    <w:p>
      <w:pPr>
        <w:ind w:left="1620" w:hanging="360"/>
        <w:spacing w:after="0"/>
        <w:tabs>
          <w:tab w:leader="none" w:pos="1620"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Shares Available Under the Plan</w:t>
      </w:r>
      <w:r>
        <w:rPr>
          <w:rFonts w:ascii="Arial" w:cs="Arial" w:eastAsia="Arial" w:hAnsi="Arial"/>
          <w:sz w:val="18"/>
          <w:szCs w:val="18"/>
          <w:color w:val="auto"/>
        </w:rPr>
        <w:t>.</w:t>
      </w:r>
    </w:p>
    <w:p>
      <w:pPr>
        <w:spacing w:after="0" w:line="144" w:lineRule="exact"/>
        <w:rPr>
          <w:rFonts w:ascii="Arial" w:cs="Arial" w:eastAsia="Arial" w:hAnsi="Arial"/>
          <w:sz w:val="18"/>
          <w:szCs w:val="18"/>
          <w:color w:val="auto"/>
        </w:rPr>
      </w:pPr>
    </w:p>
    <w:p>
      <w:pPr>
        <w:jc w:val="both"/>
        <w:ind w:left="1980" w:right="419" w:hanging="360"/>
        <w:spacing w:after="0" w:line="268" w:lineRule="auto"/>
        <w:tabs>
          <w:tab w:leader="none" w:pos="1980" w:val="left"/>
        </w:tabs>
        <w:numPr>
          <w:ilvl w:val="1"/>
          <w:numId w:val="74"/>
        </w:numPr>
        <w:rPr>
          <w:rFonts w:ascii="Arial" w:cs="Arial" w:eastAsia="Arial" w:hAnsi="Arial"/>
          <w:sz w:val="17"/>
          <w:szCs w:val="17"/>
          <w:color w:val="auto"/>
        </w:rPr>
      </w:pPr>
      <w:r>
        <w:rPr>
          <w:rFonts w:ascii="Arial" w:cs="Arial" w:eastAsia="Arial" w:hAnsi="Arial"/>
          <w:sz w:val="17"/>
          <w:szCs w:val="17"/>
          <w:u w:val="single" w:color="auto"/>
          <w:color w:val="auto"/>
        </w:rPr>
        <w:t>Reserved Shares</w:t>
      </w:r>
      <w:r>
        <w:rPr>
          <w:rFonts w:ascii="Arial" w:cs="Arial" w:eastAsia="Arial" w:hAnsi="Arial"/>
          <w:sz w:val="17"/>
          <w:szCs w:val="17"/>
          <w:color w:val="auto"/>
        </w:rPr>
        <w:t>. Subject to adjustment as provided in Section 14 of the Plan, the maximum number of Shares that may be issued or transferred from and after April 16, 2026, with respect to Awards shall not in the aggregate exceed 1,356,156 Shares. Such Shares may be Shares of original issuance, Shares held in treasury or Shares that have been reacquired by the Company. Any awards granted under the Plan on or after its original effective date of April 28, 2010 that consist of (i) Options, Stock Appreciation Rights, Restricted Share Units, or Performance Units or that, at any time, are forfeited, expire or are canceled or settled without issuance of Shares or Restricted Shares that are forfeited pursuant to Section 7(c) or the Restricted Share Award Agreement shall not count towards the maximum number of Shares that may be issued under the Plan as set forth in this Section 3(a) and shall be available for future Awards. Notwithstanding the foregoing, any and all Shares that are (i) tendered in payment of an Option exercise price (whether by attestation or by other means); (ii) withheld by the Company to satisfy any tax withholding obligation; or (iii) covered by a Stock Appreciation Right (without regard to the number of Shares that are actually issued to the Grantee upon exercise) shall be considered issued pursuant to the Plan and shall not be added to the maximum number of Shares that may be issued under the Plan as set forth in this Section 3(a).</w:t>
      </w:r>
    </w:p>
    <w:p>
      <w:pPr>
        <w:spacing w:after="0" w:line="98" w:lineRule="exact"/>
        <w:rPr>
          <w:rFonts w:ascii="Arial" w:cs="Arial" w:eastAsia="Arial" w:hAnsi="Arial"/>
          <w:sz w:val="17"/>
          <w:szCs w:val="17"/>
          <w:color w:val="auto"/>
        </w:rPr>
      </w:pPr>
    </w:p>
    <w:p>
      <w:pPr>
        <w:ind w:left="1980" w:hanging="360"/>
        <w:spacing w:after="0"/>
        <w:tabs>
          <w:tab w:leader="none" w:pos="1980" w:val="left"/>
        </w:tabs>
        <w:numPr>
          <w:ilvl w:val="1"/>
          <w:numId w:val="74"/>
        </w:numPr>
        <w:rPr>
          <w:rFonts w:ascii="Arial" w:cs="Arial" w:eastAsia="Arial" w:hAnsi="Arial"/>
          <w:sz w:val="18"/>
          <w:szCs w:val="18"/>
          <w:color w:val="auto"/>
        </w:rPr>
      </w:pPr>
      <w:r>
        <w:rPr>
          <w:rFonts w:ascii="Arial" w:cs="Arial" w:eastAsia="Arial" w:hAnsi="Arial"/>
          <w:sz w:val="18"/>
          <w:szCs w:val="18"/>
          <w:u w:val="single" w:color="auto"/>
          <w:color w:val="auto"/>
        </w:rPr>
        <w:t>Reserved</w:t>
      </w:r>
      <w:r>
        <w:rPr>
          <w:rFonts w:ascii="Arial" w:cs="Arial" w:eastAsia="Arial" w:hAnsi="Arial"/>
          <w:sz w:val="18"/>
          <w:szCs w:val="18"/>
          <w:color w:val="auto"/>
        </w:rPr>
        <w:t>.  [intentionally omitted]</w:t>
      </w:r>
    </w:p>
    <w:p>
      <w:pPr>
        <w:spacing w:after="0" w:line="157" w:lineRule="exact"/>
        <w:rPr>
          <w:rFonts w:ascii="Arial" w:cs="Arial" w:eastAsia="Arial" w:hAnsi="Arial"/>
          <w:sz w:val="18"/>
          <w:szCs w:val="18"/>
          <w:color w:val="auto"/>
        </w:rPr>
      </w:pPr>
    </w:p>
    <w:p>
      <w:pPr>
        <w:jc w:val="both"/>
        <w:ind w:left="1980" w:right="419" w:hanging="360"/>
        <w:spacing w:after="0" w:line="268" w:lineRule="auto"/>
        <w:tabs>
          <w:tab w:leader="none" w:pos="1980" w:val="left"/>
        </w:tabs>
        <w:numPr>
          <w:ilvl w:val="1"/>
          <w:numId w:val="74"/>
        </w:numPr>
        <w:rPr>
          <w:rFonts w:ascii="Arial" w:cs="Arial" w:eastAsia="Arial" w:hAnsi="Arial"/>
          <w:sz w:val="18"/>
          <w:szCs w:val="18"/>
          <w:color w:val="auto"/>
        </w:rPr>
      </w:pPr>
      <w:r>
        <w:rPr>
          <w:rFonts w:ascii="Arial" w:cs="Arial" w:eastAsia="Arial" w:hAnsi="Arial"/>
          <w:sz w:val="18"/>
          <w:szCs w:val="18"/>
          <w:u w:val="single" w:color="auto"/>
          <w:color w:val="auto"/>
        </w:rPr>
        <w:t>ISO Maximum</w:t>
      </w:r>
      <w:r>
        <w:rPr>
          <w:rFonts w:ascii="Arial" w:cs="Arial" w:eastAsia="Arial" w:hAnsi="Arial"/>
          <w:sz w:val="18"/>
          <w:szCs w:val="18"/>
          <w:color w:val="auto"/>
        </w:rPr>
        <w:t>. In no event shall the number of Shares issued upon the exercise of Incentive Stock Options exceed 792,304 Shares, subject to adjustment as provided in Section 14 of the Plan.</w:t>
      </w:r>
    </w:p>
    <w:p>
      <w:pPr>
        <w:spacing w:after="0" w:line="89" w:lineRule="exact"/>
        <w:rPr>
          <w:rFonts w:ascii="Arial" w:cs="Arial" w:eastAsia="Arial" w:hAnsi="Arial"/>
          <w:sz w:val="18"/>
          <w:szCs w:val="18"/>
          <w:color w:val="auto"/>
        </w:rPr>
      </w:pPr>
    </w:p>
    <w:p>
      <w:pPr>
        <w:jc w:val="both"/>
        <w:ind w:left="1980" w:right="419" w:hanging="360"/>
        <w:spacing w:after="0" w:line="257" w:lineRule="auto"/>
        <w:tabs>
          <w:tab w:leader="none" w:pos="1980" w:val="left"/>
        </w:tabs>
        <w:numPr>
          <w:ilvl w:val="1"/>
          <w:numId w:val="74"/>
        </w:numPr>
        <w:rPr>
          <w:rFonts w:ascii="Arial" w:cs="Arial" w:eastAsia="Arial" w:hAnsi="Arial"/>
          <w:sz w:val="18"/>
          <w:szCs w:val="18"/>
          <w:color w:val="auto"/>
        </w:rPr>
      </w:pPr>
      <w:r>
        <w:rPr>
          <w:rFonts w:ascii="Arial" w:cs="Arial" w:eastAsia="Arial" w:hAnsi="Arial"/>
          <w:sz w:val="18"/>
          <w:szCs w:val="18"/>
          <w:u w:val="single" w:color="auto"/>
          <w:color w:val="auto"/>
        </w:rPr>
        <w:t>Maximum Calendar Year Award</w:t>
      </w:r>
      <w:r>
        <w:rPr>
          <w:rFonts w:ascii="Arial" w:cs="Arial" w:eastAsia="Arial" w:hAnsi="Arial"/>
          <w:sz w:val="18"/>
          <w:szCs w:val="18"/>
          <w:color w:val="auto"/>
        </w:rPr>
        <w:t>. No Grantee may receive Awards representing more than 250,000 Shares in any one calendar year, subject to adjustment as provided in Section 14 of the Plan. No Nonemployee Director may receive in any one calendar year more than $500,000 in the aggregate in Awards (as calculated by the Award’s fair value as determined in accordance with Financial Accounting Standards Board Accounting Standards Codification Topic 718, or any successor thereto as of the Grant Date).</w:t>
      </w:r>
    </w:p>
    <w:p>
      <w:pPr>
        <w:spacing w:after="0" w:line="114" w:lineRule="exact"/>
        <w:rPr>
          <w:rFonts w:ascii="Arial" w:cs="Arial" w:eastAsia="Arial" w:hAnsi="Arial"/>
          <w:sz w:val="18"/>
          <w:szCs w:val="18"/>
          <w:color w:val="auto"/>
        </w:rPr>
      </w:pPr>
    </w:p>
    <w:p>
      <w:pPr>
        <w:jc w:val="both"/>
        <w:ind w:left="1620" w:right="419" w:hanging="360"/>
        <w:spacing w:after="0" w:line="270" w:lineRule="auto"/>
        <w:tabs>
          <w:tab w:leader="none" w:pos="1620" w:val="left"/>
        </w:tabs>
        <w:numPr>
          <w:ilvl w:val="0"/>
          <w:numId w:val="74"/>
        </w:numPr>
        <w:rPr>
          <w:rFonts w:ascii="Arial" w:cs="Arial" w:eastAsia="Arial" w:hAnsi="Arial"/>
          <w:sz w:val="17"/>
          <w:szCs w:val="17"/>
          <w:color w:val="auto"/>
        </w:rPr>
      </w:pPr>
      <w:r>
        <w:rPr>
          <w:rFonts w:ascii="Arial" w:cs="Arial" w:eastAsia="Arial" w:hAnsi="Arial"/>
          <w:sz w:val="17"/>
          <w:szCs w:val="17"/>
          <w:u w:val="single" w:color="auto"/>
          <w:color w:val="auto"/>
        </w:rPr>
        <w:t>Plan Administration</w:t>
      </w:r>
      <w:r>
        <w:rPr>
          <w:rFonts w:ascii="Arial" w:cs="Arial" w:eastAsia="Arial" w:hAnsi="Arial"/>
          <w:sz w:val="17"/>
          <w:szCs w:val="17"/>
          <w:color w:val="auto"/>
        </w:rPr>
        <w:t>. This Plan shall be administered by a Committee appointed by the Board from among its members, provided that if the Board does not appoint a Committee, the term “Committee” means the Board, except in those instances where the text clearly indicates otherwise. Notwithstanding anything herein to the contrary, the Committee shall consist solely of two (2) or</w:t>
      </w:r>
    </w:p>
    <w:p>
      <w:pPr>
        <w:spacing w:after="0" w:line="2" w:lineRule="exact"/>
        <w:rPr>
          <w:rFonts w:ascii="Arial" w:cs="Arial" w:eastAsia="Arial" w:hAnsi="Arial"/>
          <w:sz w:val="17"/>
          <w:szCs w:val="17"/>
          <w:color w:val="auto"/>
        </w:rPr>
      </w:pPr>
    </w:p>
    <w:p>
      <w:pPr>
        <w:ind w:left="1620" w:right="419"/>
        <w:spacing w:after="0" w:line="296" w:lineRule="auto"/>
        <w:rPr>
          <w:rFonts w:ascii="Arial" w:cs="Arial" w:eastAsia="Arial" w:hAnsi="Arial"/>
          <w:sz w:val="17"/>
          <w:szCs w:val="17"/>
          <w:color w:val="auto"/>
        </w:rPr>
      </w:pPr>
      <w:r>
        <w:rPr>
          <w:rFonts w:ascii="Arial" w:cs="Arial" w:eastAsia="Arial" w:hAnsi="Arial"/>
          <w:sz w:val="17"/>
          <w:szCs w:val="17"/>
          <w:color w:val="auto"/>
        </w:rPr>
        <w:t>more members of the Board who are (i) “non-employee directors” (within​ the meaning of Rule 16b-3 under the Exchange Act) for purposes of exercising administrative authority with respect to Awards</w:t>
      </w:r>
    </w:p>
    <w:p>
      <w:pPr>
        <w:sectPr>
          <w:pgSz w:w="11900" w:h="16838" w:orient="portrait"/>
          <w:cols w:equalWidth="0" w:num="1">
            <w:col w:w="9879"/>
          </w:cols>
          <w:pgMar w:left="580" w:top="97" w:right="1440" w:bottom="1440" w:gutter="0" w:footer="0" w:header="0"/>
        </w:sectPr>
      </w:pPr>
    </w:p>
    <w:p>
      <w:pPr>
        <w:spacing w:after="0" w:line="323"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7" w:name="page78"/>
    <w:bookmarkEnd w:id="7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left="1620" w:right="419"/>
        <w:spacing w:after="0" w:line="261" w:lineRule="auto"/>
        <w:rPr>
          <w:sz w:val="20"/>
          <w:szCs w:val="20"/>
          <w:color w:val="auto"/>
        </w:rPr>
      </w:pPr>
      <w:r>
        <w:rPr>
          <w:rFonts w:ascii="Arial" w:cs="Arial" w:eastAsia="Arial" w:hAnsi="Arial"/>
          <w:sz w:val="18"/>
          <w:szCs w:val="18"/>
          <w:color w:val="auto"/>
        </w:rPr>
        <w:t>granted to Grantees who are subject to Section 16 of the Exchange Act; and (ii) “independent” (within the meaning of the rules of the national securities exchange on which the Company’s Shares are listed), to the extent required:</w:t>
      </w:r>
    </w:p>
    <w:p>
      <w:pPr>
        <w:spacing w:after="0" w:line="94" w:lineRule="exact"/>
        <w:rPr>
          <w:sz w:val="20"/>
          <w:szCs w:val="20"/>
          <w:color w:val="auto"/>
        </w:rPr>
      </w:pPr>
    </w:p>
    <w:p>
      <w:pPr>
        <w:ind w:left="1980" w:hanging="360"/>
        <w:spacing w:after="0"/>
        <w:tabs>
          <w:tab w:leader="none" w:pos="19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to determine the Fair Market Value of the Shares;</w:t>
      </w:r>
    </w:p>
    <w:p>
      <w:pPr>
        <w:spacing w:after="0" w:line="144" w:lineRule="exact"/>
        <w:rPr>
          <w:rFonts w:ascii="Arial" w:cs="Arial" w:eastAsia="Arial" w:hAnsi="Arial"/>
          <w:sz w:val="18"/>
          <w:szCs w:val="18"/>
          <w:color w:val="auto"/>
        </w:rPr>
      </w:pPr>
    </w:p>
    <w:p>
      <w:pPr>
        <w:ind w:left="1980" w:right="419" w:hanging="360"/>
        <w:spacing w:after="0" w:line="287" w:lineRule="auto"/>
        <w:tabs>
          <w:tab w:leader="none" w:pos="19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to select the Employees and Nonemployee Directors to whom Awards will be granted under the Plan;</w:t>
      </w:r>
    </w:p>
    <w:p>
      <w:pPr>
        <w:spacing w:after="0" w:line="71" w:lineRule="exact"/>
        <w:rPr>
          <w:rFonts w:ascii="Arial" w:cs="Arial" w:eastAsia="Arial" w:hAnsi="Arial"/>
          <w:sz w:val="18"/>
          <w:szCs w:val="18"/>
          <w:color w:val="auto"/>
        </w:rPr>
      </w:pPr>
    </w:p>
    <w:p>
      <w:pPr>
        <w:ind w:left="1980" w:right="419" w:hanging="360"/>
        <w:spacing w:after="0" w:line="287" w:lineRule="auto"/>
        <w:tabs>
          <w:tab w:leader="none" w:pos="19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to determine whether, when, to what extent and in what types and amounts Awards are granted under the Plan;</w:t>
      </w:r>
    </w:p>
    <w:p>
      <w:pPr>
        <w:spacing w:after="0" w:line="71" w:lineRule="exact"/>
        <w:rPr>
          <w:rFonts w:ascii="Arial" w:cs="Arial" w:eastAsia="Arial" w:hAnsi="Arial"/>
          <w:sz w:val="18"/>
          <w:szCs w:val="18"/>
          <w:color w:val="auto"/>
        </w:rPr>
      </w:pPr>
    </w:p>
    <w:p>
      <w:pPr>
        <w:ind w:left="1980" w:right="419" w:hanging="360"/>
        <w:spacing w:after="0" w:line="287" w:lineRule="auto"/>
        <w:tabs>
          <w:tab w:leader="none" w:pos="19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to determine the number of Shares or amount of cash to be covered by each Award granted under the Plan;</w:t>
      </w:r>
    </w:p>
    <w:p>
      <w:pPr>
        <w:spacing w:after="0" w:line="85" w:lineRule="exact"/>
        <w:rPr>
          <w:rFonts w:ascii="Arial" w:cs="Arial" w:eastAsia="Arial" w:hAnsi="Arial"/>
          <w:sz w:val="18"/>
          <w:szCs w:val="18"/>
          <w:color w:val="auto"/>
        </w:rPr>
      </w:pPr>
    </w:p>
    <w:p>
      <w:pPr>
        <w:ind w:left="1980" w:right="419" w:hanging="360"/>
        <w:spacing w:after="0" w:line="287" w:lineRule="auto"/>
        <w:tabs>
          <w:tab w:leader="none" w:pos="19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to determine the forms of Award Agreements, which need not be the same for each grant or for each Grantee, and which may be delivered electronically, for use under the Plan;</w:t>
      </w:r>
    </w:p>
    <w:p>
      <w:pPr>
        <w:spacing w:after="0" w:line="71" w:lineRule="exact"/>
        <w:rPr>
          <w:rFonts w:ascii="Arial" w:cs="Arial" w:eastAsia="Arial" w:hAnsi="Arial"/>
          <w:sz w:val="18"/>
          <w:szCs w:val="18"/>
          <w:color w:val="auto"/>
        </w:rPr>
      </w:pPr>
    </w:p>
    <w:p>
      <w:pPr>
        <w:ind w:left="1980" w:right="419" w:hanging="360"/>
        <w:spacing w:after="0" w:line="287" w:lineRule="auto"/>
        <w:tabs>
          <w:tab w:leader="none" w:pos="19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to determine the terms and conditions, not inconsistent with the terms of the Plan, of any Award granted under the Plan.</w:t>
      </w:r>
    </w:p>
    <w:p>
      <w:pPr>
        <w:spacing w:after="0" w:line="71" w:lineRule="exact"/>
        <w:rPr>
          <w:rFonts w:ascii="Arial" w:cs="Arial" w:eastAsia="Arial" w:hAnsi="Arial"/>
          <w:sz w:val="18"/>
          <w:szCs w:val="18"/>
          <w:color w:val="auto"/>
        </w:rPr>
      </w:pPr>
    </w:p>
    <w:p>
      <w:pPr>
        <w:ind w:left="1980" w:hanging="360"/>
        <w:spacing w:after="0"/>
        <w:tabs>
          <w:tab w:leader="none" w:pos="19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to construe and interpret the terms of the Plan and Awards;</w:t>
      </w:r>
    </w:p>
    <w:p>
      <w:pPr>
        <w:spacing w:after="0" w:line="144" w:lineRule="exact"/>
        <w:rPr>
          <w:rFonts w:ascii="Arial" w:cs="Arial" w:eastAsia="Arial" w:hAnsi="Arial"/>
          <w:sz w:val="18"/>
          <w:szCs w:val="18"/>
          <w:color w:val="auto"/>
        </w:rPr>
      </w:pPr>
    </w:p>
    <w:p>
      <w:pPr>
        <w:ind w:left="1980" w:hanging="360"/>
        <w:spacing w:after="0"/>
        <w:tabs>
          <w:tab w:leader="none" w:pos="19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to prescribe, amend and rescind rules and regulations relating to the Plan;</w:t>
      </w:r>
    </w:p>
    <w:p>
      <w:pPr>
        <w:spacing w:after="0" w:line="157" w:lineRule="exact"/>
        <w:rPr>
          <w:rFonts w:ascii="Arial" w:cs="Arial" w:eastAsia="Arial" w:hAnsi="Arial"/>
          <w:sz w:val="18"/>
          <w:szCs w:val="18"/>
          <w:color w:val="auto"/>
        </w:rPr>
      </w:pPr>
    </w:p>
    <w:p>
      <w:pPr>
        <w:jc w:val="both"/>
        <w:ind w:left="1980" w:right="419" w:hanging="360"/>
        <w:spacing w:after="0" w:line="262" w:lineRule="auto"/>
        <w:tabs>
          <w:tab w:leader="none" w:pos="19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to modify or amend each Award, provided that no modification or amendment of an Award shall impair the rights of the Grantee, unless mutually agreed otherwise between the Grantee and the Company, which agreement must be in writing and signed by the Grantee and the Company.</w:t>
      </w:r>
    </w:p>
    <w:p>
      <w:pPr>
        <w:spacing w:after="0" w:line="95" w:lineRule="exact"/>
        <w:rPr>
          <w:rFonts w:ascii="Arial" w:cs="Arial" w:eastAsia="Arial" w:hAnsi="Arial"/>
          <w:sz w:val="18"/>
          <w:szCs w:val="18"/>
          <w:color w:val="auto"/>
        </w:rPr>
      </w:pPr>
    </w:p>
    <w:p>
      <w:pPr>
        <w:ind w:left="1980" w:right="419" w:hanging="360"/>
        <w:spacing w:after="0" w:line="287" w:lineRule="auto"/>
        <w:tabs>
          <w:tab w:leader="none" w:pos="19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to authorize any person to execute on behalf of the Company any instrument required to effect the grant of an Award previously authorized by the Committee;</w:t>
      </w:r>
    </w:p>
    <w:p>
      <w:pPr>
        <w:spacing w:after="0" w:line="71" w:lineRule="exact"/>
        <w:rPr>
          <w:rFonts w:ascii="Arial" w:cs="Arial" w:eastAsia="Arial" w:hAnsi="Arial"/>
          <w:sz w:val="18"/>
          <w:szCs w:val="18"/>
          <w:color w:val="auto"/>
        </w:rPr>
      </w:pPr>
    </w:p>
    <w:p>
      <w:pPr>
        <w:ind w:left="1980" w:right="419" w:hanging="360"/>
        <w:spacing w:after="0" w:line="287" w:lineRule="auto"/>
        <w:tabs>
          <w:tab w:leader="none" w:pos="19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to provide any notice or other communication required or permitted by the Plan in either written or electronic form; and</w:t>
      </w:r>
    </w:p>
    <w:p>
      <w:pPr>
        <w:spacing w:after="0" w:line="85" w:lineRule="exact"/>
        <w:rPr>
          <w:rFonts w:ascii="Arial" w:cs="Arial" w:eastAsia="Arial" w:hAnsi="Arial"/>
          <w:sz w:val="18"/>
          <w:szCs w:val="18"/>
          <w:color w:val="auto"/>
        </w:rPr>
      </w:pPr>
    </w:p>
    <w:p>
      <w:pPr>
        <w:ind w:left="1980" w:hanging="360"/>
        <w:spacing w:after="0"/>
        <w:tabs>
          <w:tab w:leader="none" w:pos="19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to make all other determinations deemed necessary or advisable for administering the Plan.</w:t>
      </w:r>
    </w:p>
    <w:p>
      <w:pPr>
        <w:spacing w:after="0" w:line="144" w:lineRule="exact"/>
        <w:rPr>
          <w:sz w:val="20"/>
          <w:szCs w:val="20"/>
          <w:color w:val="auto"/>
        </w:rPr>
      </w:pPr>
    </w:p>
    <w:p>
      <w:pPr>
        <w:jc w:val="both"/>
        <w:ind w:left="1620" w:right="419"/>
        <w:spacing w:after="0" w:line="251" w:lineRule="auto"/>
        <w:rPr>
          <w:sz w:val="20"/>
          <w:szCs w:val="20"/>
          <w:color w:val="auto"/>
        </w:rPr>
      </w:pPr>
      <w:r>
        <w:rPr>
          <w:rFonts w:ascii="Arial" w:cs="Arial" w:eastAsia="Arial" w:hAnsi="Arial"/>
          <w:sz w:val="18"/>
          <w:szCs w:val="18"/>
          <w:color w:val="auto"/>
        </w:rPr>
        <w:t>The interpretation and construction by the Committee of any provision of this Plan or of any Award Agreement and any determination by the Committee pursuant to any provision of this Plan or any such agreement, notification or document, shall be final and conclusive. No member of the Committee shall be liable to any person for any such action taken or determination made in good faith.</w:t>
      </w:r>
    </w:p>
    <w:p>
      <w:pPr>
        <w:spacing w:after="0" w:line="92" w:lineRule="exact"/>
        <w:rPr>
          <w:sz w:val="20"/>
          <w:szCs w:val="20"/>
          <w:color w:val="auto"/>
        </w:rPr>
      </w:pPr>
    </w:p>
    <w:p>
      <w:pPr>
        <w:jc w:val="both"/>
        <w:ind w:left="1620" w:right="419" w:hanging="360"/>
        <w:spacing w:after="0" w:line="268" w:lineRule="auto"/>
        <w:tabs>
          <w:tab w:leader="none" w:pos="1620"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Options</w:t>
      </w:r>
      <w:r>
        <w:rPr>
          <w:rFonts w:ascii="Arial" w:cs="Arial" w:eastAsia="Arial" w:hAnsi="Arial"/>
          <w:sz w:val="18"/>
          <w:szCs w:val="18"/>
          <w:color w:val="auto"/>
        </w:rPr>
        <w:t>. The Committee may from time to time authorize grants to Grantees of Options to purchase Shares upon such terms and conditions as the Committee may determine in accordance with the following provisions:</w:t>
      </w:r>
    </w:p>
    <w:p>
      <w:pPr>
        <w:spacing w:after="0" w:line="103" w:lineRule="exact"/>
        <w:rPr>
          <w:rFonts w:ascii="Arial" w:cs="Arial" w:eastAsia="Arial" w:hAnsi="Arial"/>
          <w:sz w:val="18"/>
          <w:szCs w:val="18"/>
          <w:color w:val="auto"/>
        </w:rPr>
      </w:pPr>
    </w:p>
    <w:p>
      <w:pPr>
        <w:ind w:left="1980" w:hanging="360"/>
        <w:spacing w:after="0"/>
        <w:tabs>
          <w:tab w:leader="none" w:pos="1980" w:val="left"/>
        </w:tabs>
        <w:numPr>
          <w:ilvl w:val="1"/>
          <w:numId w:val="76"/>
        </w:numPr>
        <w:rPr>
          <w:rFonts w:ascii="Arial" w:cs="Arial" w:eastAsia="Arial" w:hAnsi="Arial"/>
          <w:sz w:val="18"/>
          <w:szCs w:val="18"/>
          <w:color w:val="auto"/>
        </w:rPr>
      </w:pPr>
      <w:r>
        <w:rPr>
          <w:rFonts w:ascii="Arial" w:cs="Arial" w:eastAsia="Arial" w:hAnsi="Arial"/>
          <w:sz w:val="18"/>
          <w:szCs w:val="18"/>
          <w:u w:val="single" w:color="auto"/>
          <w:color w:val="auto"/>
        </w:rPr>
        <w:t>Number of Shares</w:t>
      </w:r>
      <w:r>
        <w:rPr>
          <w:rFonts w:ascii="Arial" w:cs="Arial" w:eastAsia="Arial" w:hAnsi="Arial"/>
          <w:sz w:val="18"/>
          <w:szCs w:val="18"/>
          <w:color w:val="auto"/>
        </w:rPr>
        <w:t>.  Each grant shall specify the number of Shares to which it pertains.</w:t>
      </w:r>
    </w:p>
    <w:p>
      <w:pPr>
        <w:spacing w:after="0" w:line="144" w:lineRule="exact"/>
        <w:rPr>
          <w:rFonts w:ascii="Arial" w:cs="Arial" w:eastAsia="Arial" w:hAnsi="Arial"/>
          <w:sz w:val="18"/>
          <w:szCs w:val="18"/>
          <w:color w:val="auto"/>
        </w:rPr>
      </w:pPr>
    </w:p>
    <w:p>
      <w:pPr>
        <w:jc w:val="both"/>
        <w:ind w:left="1980" w:right="419" w:hanging="360"/>
        <w:spacing w:after="0" w:line="262" w:lineRule="auto"/>
        <w:tabs>
          <w:tab w:leader="none" w:pos="1980" w:val="left"/>
        </w:tabs>
        <w:numPr>
          <w:ilvl w:val="1"/>
          <w:numId w:val="76"/>
        </w:numPr>
        <w:rPr>
          <w:rFonts w:ascii="Arial" w:cs="Arial" w:eastAsia="Arial" w:hAnsi="Arial"/>
          <w:sz w:val="18"/>
          <w:szCs w:val="18"/>
          <w:color w:val="auto"/>
        </w:rPr>
      </w:pPr>
      <w:r>
        <w:rPr>
          <w:rFonts w:ascii="Arial" w:cs="Arial" w:eastAsia="Arial" w:hAnsi="Arial"/>
          <w:sz w:val="18"/>
          <w:szCs w:val="18"/>
          <w:u w:val="single" w:color="auto"/>
          <w:color w:val="auto"/>
        </w:rPr>
        <w:t>Option Price</w:t>
      </w:r>
      <w:r>
        <w:rPr>
          <w:rFonts w:ascii="Arial" w:cs="Arial" w:eastAsia="Arial" w:hAnsi="Arial"/>
          <w:sz w:val="18"/>
          <w:szCs w:val="18"/>
          <w:color w:val="auto"/>
        </w:rPr>
        <w:t>. Each grant shall specify an Option Price per Share, which shall be equal to or greater than the Fair Market Value per Share on the Grant Date (or equal to or greater than 110% of the Fair Market Value with respect to Incentive Stock Options granted to Ten Percent Stockholders).</w:t>
      </w:r>
    </w:p>
    <w:p>
      <w:pPr>
        <w:spacing w:after="0" w:line="95" w:lineRule="exact"/>
        <w:rPr>
          <w:rFonts w:ascii="Arial" w:cs="Arial" w:eastAsia="Arial" w:hAnsi="Arial"/>
          <w:sz w:val="18"/>
          <w:szCs w:val="18"/>
          <w:color w:val="auto"/>
        </w:rPr>
      </w:pPr>
    </w:p>
    <w:p>
      <w:pPr>
        <w:jc w:val="both"/>
        <w:ind w:left="1980" w:right="419" w:hanging="360"/>
        <w:spacing w:after="0" w:line="257" w:lineRule="auto"/>
        <w:tabs>
          <w:tab w:leader="none" w:pos="1980" w:val="left"/>
        </w:tabs>
        <w:numPr>
          <w:ilvl w:val="1"/>
          <w:numId w:val="76"/>
        </w:numPr>
        <w:rPr>
          <w:rFonts w:ascii="Arial" w:cs="Arial" w:eastAsia="Arial" w:hAnsi="Arial"/>
          <w:sz w:val="18"/>
          <w:szCs w:val="18"/>
          <w:color w:val="auto"/>
        </w:rPr>
      </w:pPr>
      <w:r>
        <w:rPr>
          <w:rFonts w:ascii="Arial" w:cs="Arial" w:eastAsia="Arial" w:hAnsi="Arial"/>
          <w:sz w:val="18"/>
          <w:szCs w:val="18"/>
          <w:u w:val="single" w:color="auto"/>
          <w:color w:val="auto"/>
        </w:rPr>
        <w:t>Consideration</w:t>
      </w:r>
      <w:r>
        <w:rPr>
          <w:rFonts w:ascii="Arial" w:cs="Arial" w:eastAsia="Arial" w:hAnsi="Arial"/>
          <w:sz w:val="18"/>
          <w:szCs w:val="18"/>
          <w:color w:val="auto"/>
        </w:rPr>
        <w:t>. Each grant shall specify the form of consideration to be paid in satisfaction of the Option Price and the manner of payment of such consideration, which may include (i) cash in the form of currency or check or other cash equivalent acceptable to the Company,</w:t>
      </w:r>
    </w:p>
    <w:p>
      <w:pPr>
        <w:spacing w:after="0" w:line="1" w:lineRule="exact"/>
        <w:rPr>
          <w:rFonts w:ascii="Arial" w:cs="Arial" w:eastAsia="Arial" w:hAnsi="Arial"/>
          <w:sz w:val="18"/>
          <w:szCs w:val="18"/>
          <w:color w:val="auto"/>
        </w:rPr>
      </w:pPr>
    </w:p>
    <w:p>
      <w:pPr>
        <w:jc w:val="both"/>
        <w:ind w:left="1980" w:right="419"/>
        <w:spacing w:after="0" w:line="254" w:lineRule="auto"/>
        <w:tabs>
          <w:tab w:leader="none" w:pos="2235" w:val="left"/>
        </w:tabs>
        <w:numPr>
          <w:ilvl w:val="2"/>
          <w:numId w:val="76"/>
        </w:numPr>
        <w:rPr>
          <w:rFonts w:ascii="Arial" w:cs="Arial" w:eastAsia="Arial" w:hAnsi="Arial"/>
          <w:sz w:val="18"/>
          <w:szCs w:val="18"/>
          <w:color w:val="auto"/>
        </w:rPr>
      </w:pPr>
      <w:r>
        <w:rPr>
          <w:rFonts w:ascii="Arial" w:cs="Arial" w:eastAsia="Arial" w:hAnsi="Arial"/>
          <w:sz w:val="18"/>
          <w:szCs w:val="18"/>
          <w:color w:val="auto"/>
        </w:rPr>
        <w:t>nonforfeitable, unrestricted Shares owned by the Grantee at the time of exercise and for at least six (6) months prior to the time of exercise and which have a value at the time of exercise that is equal to the Option Price, (iii) any other legal consideration that the Committee may deem appropriate on such basis as the Committee may determine in accordance with this Plan, or (iv) any combination of the foregoing.</w:t>
      </w:r>
    </w:p>
    <w:p>
      <w:pPr>
        <w:sectPr>
          <w:pgSz w:w="11900" w:h="16838" w:orient="portrait"/>
          <w:cols w:equalWidth="0" w:num="1">
            <w:col w:w="9879"/>
          </w:cols>
          <w:pgMar w:left="580" w:top="97" w:right="1440" w:bottom="1440" w:gutter="0" w:footer="0" w:header="0"/>
        </w:sectPr>
      </w:pPr>
    </w:p>
    <w:p>
      <w:pPr>
        <w:spacing w:after="0" w:line="372"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8" w:name="page79"/>
    <w:bookmarkEnd w:id="7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left="1980" w:right="419" w:hanging="360"/>
        <w:spacing w:after="0" w:line="268" w:lineRule="auto"/>
        <w:tabs>
          <w:tab w:leader="none" w:pos="1980" w:val="left"/>
        </w:tabs>
        <w:numPr>
          <w:ilvl w:val="1"/>
          <w:numId w:val="77"/>
        </w:numPr>
        <w:rPr>
          <w:rFonts w:ascii="Arial" w:cs="Arial" w:eastAsia="Arial" w:hAnsi="Arial"/>
          <w:sz w:val="18"/>
          <w:szCs w:val="18"/>
          <w:color w:val="auto"/>
        </w:rPr>
      </w:pPr>
      <w:r>
        <w:rPr>
          <w:rFonts w:ascii="Arial" w:cs="Arial" w:eastAsia="Arial" w:hAnsi="Arial"/>
          <w:sz w:val="18"/>
          <w:szCs w:val="18"/>
          <w:u w:val="single" w:color="auto"/>
          <w:color w:val="auto"/>
        </w:rPr>
        <w:t>Cashless Exercise</w:t>
      </w:r>
      <w:r>
        <w:rPr>
          <w:rFonts w:ascii="Arial" w:cs="Arial" w:eastAsia="Arial" w:hAnsi="Arial"/>
          <w:sz w:val="18"/>
          <w:szCs w:val="18"/>
          <w:color w:val="auto"/>
        </w:rPr>
        <w:t>. To the extent permitted by applicable law, any grant may provide for deferred payment of the Option Price from the proceeds of sale through a bank or broker on the date of exercise of some or all of the Shares to which the exercise relates.</w:t>
      </w:r>
    </w:p>
    <w:p>
      <w:pPr>
        <w:spacing w:after="0" w:line="103" w:lineRule="exact"/>
        <w:rPr>
          <w:rFonts w:ascii="Arial" w:cs="Arial" w:eastAsia="Arial" w:hAnsi="Arial"/>
          <w:sz w:val="18"/>
          <w:szCs w:val="18"/>
          <w:color w:val="auto"/>
        </w:rPr>
      </w:pPr>
    </w:p>
    <w:p>
      <w:pPr>
        <w:jc w:val="both"/>
        <w:ind w:left="1980" w:right="419" w:hanging="360"/>
        <w:spacing w:after="0" w:line="259" w:lineRule="auto"/>
        <w:tabs>
          <w:tab w:leader="none" w:pos="1980" w:val="left"/>
        </w:tabs>
        <w:numPr>
          <w:ilvl w:val="1"/>
          <w:numId w:val="77"/>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Each Option grant may specify a period of continuous employment of the Grantee by the Company or any Subsidiary (or, in the case of a Nonemployee Director, service on the Board) that is necessary before the Options or installments thereof shall become exercisable, and any grant may provide for the earlier exercise of such rights in the event of a change in control of the Company or other similar transaction or event.</w:t>
      </w:r>
    </w:p>
    <w:p>
      <w:pPr>
        <w:spacing w:after="0" w:line="111" w:lineRule="exact"/>
        <w:rPr>
          <w:rFonts w:ascii="Arial" w:cs="Arial" w:eastAsia="Arial" w:hAnsi="Arial"/>
          <w:sz w:val="18"/>
          <w:szCs w:val="18"/>
          <w:color w:val="auto"/>
        </w:rPr>
      </w:pPr>
    </w:p>
    <w:p>
      <w:pPr>
        <w:jc w:val="both"/>
        <w:ind w:left="1980" w:right="419" w:hanging="360"/>
        <w:spacing w:after="0" w:line="255" w:lineRule="auto"/>
        <w:tabs>
          <w:tab w:leader="none" w:pos="1980" w:val="left"/>
        </w:tabs>
        <w:numPr>
          <w:ilvl w:val="1"/>
          <w:numId w:val="77"/>
        </w:numPr>
        <w:rPr>
          <w:rFonts w:ascii="Arial" w:cs="Arial" w:eastAsia="Arial" w:hAnsi="Arial"/>
          <w:sz w:val="18"/>
          <w:szCs w:val="18"/>
          <w:color w:val="auto"/>
        </w:rPr>
      </w:pPr>
      <w:r>
        <w:rPr>
          <w:rFonts w:ascii="Arial" w:cs="Arial" w:eastAsia="Arial" w:hAnsi="Arial"/>
          <w:sz w:val="18"/>
          <w:szCs w:val="18"/>
          <w:u w:val="single" w:color="auto"/>
          <w:color w:val="auto"/>
        </w:rPr>
        <w:t>ISO Dollar Limitation</w:t>
      </w:r>
      <w:r>
        <w:rPr>
          <w:rFonts w:ascii="Arial" w:cs="Arial" w:eastAsia="Arial" w:hAnsi="Arial"/>
          <w:sz w:val="18"/>
          <w:szCs w:val="18"/>
          <w:color w:val="auto"/>
        </w:rPr>
        <w:t>. Options granted under this Plan may be Incentive Stock Options, Nonqualified Stock Options or a combination of the foregoing, provided that only Nonqualified Stock Options may be granted to Nonemployee Directors. Each grant shall specify whether (or the extent to which) the Option is an Incentive Stock Option or a Nonqualified Stock Option. Notwithstanding any such designation, to the extent that the aggregate Fair Market Value of the Shares as of the Grant Date with respect to which Options designated as Incentive Stock Options are exercisable for the first time by a Grantee during any calendar year (under all plans of the Company) exceeds $100,000, such Options shall be treated as Nonqualified Stock Options.</w:t>
      </w:r>
    </w:p>
    <w:p>
      <w:pPr>
        <w:spacing w:after="0" w:line="113" w:lineRule="exact"/>
        <w:rPr>
          <w:rFonts w:ascii="Arial" w:cs="Arial" w:eastAsia="Arial" w:hAnsi="Arial"/>
          <w:sz w:val="18"/>
          <w:szCs w:val="18"/>
          <w:color w:val="auto"/>
        </w:rPr>
      </w:pPr>
    </w:p>
    <w:p>
      <w:pPr>
        <w:ind w:left="1980" w:right="419" w:hanging="360"/>
        <w:spacing w:after="0" w:line="287" w:lineRule="auto"/>
        <w:tabs>
          <w:tab w:leader="none" w:pos="1980" w:val="left"/>
        </w:tabs>
        <w:numPr>
          <w:ilvl w:val="1"/>
          <w:numId w:val="77"/>
        </w:numPr>
        <w:rPr>
          <w:rFonts w:ascii="Arial" w:cs="Arial" w:eastAsia="Arial" w:hAnsi="Arial"/>
          <w:sz w:val="18"/>
          <w:szCs w:val="18"/>
          <w:color w:val="auto"/>
        </w:rPr>
      </w:pPr>
      <w:r>
        <w:rPr>
          <w:rFonts w:ascii="Arial" w:cs="Arial" w:eastAsia="Arial" w:hAnsi="Arial"/>
          <w:sz w:val="18"/>
          <w:szCs w:val="18"/>
          <w:u w:val="single" w:color="auto"/>
          <w:color w:val="auto"/>
        </w:rPr>
        <w:t>Exercise Period</w:t>
      </w:r>
      <w:r>
        <w:rPr>
          <w:rFonts w:ascii="Arial" w:cs="Arial" w:eastAsia="Arial" w:hAnsi="Arial"/>
          <w:sz w:val="18"/>
          <w:szCs w:val="18"/>
          <w:color w:val="auto"/>
        </w:rPr>
        <w:t>. No Option granted under this Plan may be exercised more than ten years from the Grant Date (or five years from the Grant Date for a Ten Percent Stockholder).</w:t>
      </w:r>
    </w:p>
    <w:p>
      <w:pPr>
        <w:spacing w:after="0" w:line="71" w:lineRule="exact"/>
        <w:rPr>
          <w:rFonts w:ascii="Arial" w:cs="Arial" w:eastAsia="Arial" w:hAnsi="Arial"/>
          <w:sz w:val="18"/>
          <w:szCs w:val="18"/>
          <w:color w:val="auto"/>
        </w:rPr>
      </w:pPr>
    </w:p>
    <w:p>
      <w:pPr>
        <w:ind w:left="1980" w:right="419" w:hanging="360"/>
        <w:spacing w:after="0" w:line="287" w:lineRule="auto"/>
        <w:tabs>
          <w:tab w:leader="none" w:pos="1980" w:val="left"/>
        </w:tabs>
        <w:numPr>
          <w:ilvl w:val="1"/>
          <w:numId w:val="77"/>
        </w:numPr>
        <w:rPr>
          <w:rFonts w:ascii="Arial" w:cs="Arial" w:eastAsia="Arial" w:hAnsi="Arial"/>
          <w:sz w:val="18"/>
          <w:szCs w:val="18"/>
          <w:color w:val="auto"/>
        </w:rPr>
      </w:pPr>
      <w:r>
        <w:rPr>
          <w:rFonts w:ascii="Arial" w:cs="Arial" w:eastAsia="Arial" w:hAnsi="Arial"/>
          <w:sz w:val="18"/>
          <w:szCs w:val="18"/>
          <w:u w:val="single" w:color="auto"/>
          <w:color w:val="auto"/>
        </w:rPr>
        <w:t>Award Agreement</w:t>
      </w:r>
      <w:r>
        <w:rPr>
          <w:rFonts w:ascii="Arial" w:cs="Arial" w:eastAsia="Arial" w:hAnsi="Arial"/>
          <w:sz w:val="18"/>
          <w:szCs w:val="18"/>
          <w:color w:val="auto"/>
        </w:rPr>
        <w:t>. Each grant shall be evidenced by an Award Agreement containing such terms and provisions as the Committee may determine consistent with this Plan.</w:t>
      </w:r>
    </w:p>
    <w:p>
      <w:pPr>
        <w:spacing w:after="0" w:line="85" w:lineRule="exact"/>
        <w:rPr>
          <w:rFonts w:ascii="Arial" w:cs="Arial" w:eastAsia="Arial" w:hAnsi="Arial"/>
          <w:sz w:val="18"/>
          <w:szCs w:val="18"/>
          <w:color w:val="auto"/>
        </w:rPr>
      </w:pPr>
    </w:p>
    <w:p>
      <w:pPr>
        <w:jc w:val="both"/>
        <w:ind w:left="1620" w:right="419" w:hanging="360"/>
        <w:spacing w:after="0" w:line="257" w:lineRule="auto"/>
        <w:tabs>
          <w:tab w:leader="none" w:pos="1620"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Stock Appreciation Rights</w:t>
      </w:r>
      <w:r>
        <w:rPr>
          <w:rFonts w:ascii="Arial" w:cs="Arial" w:eastAsia="Arial" w:hAnsi="Arial"/>
          <w:sz w:val="18"/>
          <w:szCs w:val="18"/>
          <w:color w:val="auto"/>
        </w:rPr>
        <w:t>. The Committee may from time to time authorize grants to Grantees of Stock Appreciation Rights. A Stock Appreciation Right is the right of the Grantee to receive from the Company an amount, which shall be determined by the Committee and shall be expressed as a percentage (not exceeding 100 percent) of the Spread at the time of the exercise of such right. Any grant of Stock Appreciation Rights under this Plan shall be upon such terms and conditions as the Committee may determine in accordance with the following provisions:</w:t>
      </w:r>
    </w:p>
    <w:p>
      <w:pPr>
        <w:spacing w:after="0" w:line="114" w:lineRule="exact"/>
        <w:rPr>
          <w:rFonts w:ascii="Arial" w:cs="Arial" w:eastAsia="Arial" w:hAnsi="Arial"/>
          <w:sz w:val="18"/>
          <w:szCs w:val="18"/>
          <w:color w:val="auto"/>
        </w:rPr>
      </w:pPr>
    </w:p>
    <w:p>
      <w:pPr>
        <w:ind w:left="1980" w:right="419" w:hanging="360"/>
        <w:spacing w:after="0" w:line="287" w:lineRule="auto"/>
        <w:tabs>
          <w:tab w:leader="none" w:pos="1980" w:val="left"/>
        </w:tabs>
        <w:numPr>
          <w:ilvl w:val="1"/>
          <w:numId w:val="78"/>
        </w:numPr>
        <w:rPr>
          <w:rFonts w:ascii="Arial" w:cs="Arial" w:eastAsia="Arial" w:hAnsi="Arial"/>
          <w:sz w:val="18"/>
          <w:szCs w:val="18"/>
          <w:color w:val="auto"/>
        </w:rPr>
      </w:pPr>
      <w:r>
        <w:rPr>
          <w:rFonts w:ascii="Arial" w:cs="Arial" w:eastAsia="Arial" w:hAnsi="Arial"/>
          <w:sz w:val="18"/>
          <w:szCs w:val="18"/>
          <w:u w:val="single" w:color="auto"/>
          <w:color w:val="auto"/>
        </w:rPr>
        <w:t>Payment in Shares</w:t>
      </w:r>
      <w:r>
        <w:rPr>
          <w:rFonts w:ascii="Arial" w:cs="Arial" w:eastAsia="Arial" w:hAnsi="Arial"/>
          <w:sz w:val="18"/>
          <w:szCs w:val="18"/>
          <w:color w:val="auto"/>
        </w:rPr>
        <w:t>. Each grant shall specify that the amount payable upon the exercise of a Stock Appreciation Right shall be paid by the Company in Shares.</w:t>
      </w:r>
    </w:p>
    <w:p>
      <w:pPr>
        <w:spacing w:after="0" w:line="71" w:lineRule="exact"/>
        <w:rPr>
          <w:rFonts w:ascii="Arial" w:cs="Arial" w:eastAsia="Arial" w:hAnsi="Arial"/>
          <w:sz w:val="18"/>
          <w:szCs w:val="18"/>
          <w:color w:val="auto"/>
        </w:rPr>
      </w:pPr>
    </w:p>
    <w:p>
      <w:pPr>
        <w:jc w:val="both"/>
        <w:ind w:left="1980" w:right="419" w:hanging="360"/>
        <w:spacing w:after="0" w:line="268" w:lineRule="auto"/>
        <w:tabs>
          <w:tab w:leader="none" w:pos="1980" w:val="left"/>
        </w:tabs>
        <w:numPr>
          <w:ilvl w:val="1"/>
          <w:numId w:val="78"/>
        </w:numPr>
        <w:rPr>
          <w:rFonts w:ascii="Arial" w:cs="Arial" w:eastAsia="Arial" w:hAnsi="Arial"/>
          <w:sz w:val="18"/>
          <w:szCs w:val="18"/>
          <w:color w:val="auto"/>
        </w:rPr>
      </w:pPr>
      <w:r>
        <w:rPr>
          <w:rFonts w:ascii="Arial" w:cs="Arial" w:eastAsia="Arial" w:hAnsi="Arial"/>
          <w:sz w:val="18"/>
          <w:szCs w:val="18"/>
          <w:u w:val="single" w:color="auto"/>
          <w:color w:val="auto"/>
        </w:rPr>
        <w:t>Exercise Period</w:t>
      </w:r>
      <w:r>
        <w:rPr>
          <w:rFonts w:ascii="Arial" w:cs="Arial" w:eastAsia="Arial" w:hAnsi="Arial"/>
          <w:sz w:val="18"/>
          <w:szCs w:val="18"/>
          <w:color w:val="auto"/>
        </w:rPr>
        <w:t>. Any grant may specify (i) a waiting period or periods before Stock Appreciation Rights shall become exercisable and (ii) permissible dates or periods on or during which Stock Appreciation Rights shall be exercisable.</w:t>
      </w:r>
    </w:p>
    <w:p>
      <w:pPr>
        <w:spacing w:after="0" w:line="103" w:lineRule="exact"/>
        <w:rPr>
          <w:rFonts w:ascii="Arial" w:cs="Arial" w:eastAsia="Arial" w:hAnsi="Arial"/>
          <w:sz w:val="18"/>
          <w:szCs w:val="18"/>
          <w:color w:val="auto"/>
        </w:rPr>
      </w:pPr>
    </w:p>
    <w:p>
      <w:pPr>
        <w:jc w:val="both"/>
        <w:ind w:left="1980" w:right="419" w:hanging="360"/>
        <w:spacing w:after="0" w:line="259" w:lineRule="auto"/>
        <w:tabs>
          <w:tab w:leader="none" w:pos="1980" w:val="left"/>
        </w:tabs>
        <w:numPr>
          <w:ilvl w:val="1"/>
          <w:numId w:val="78"/>
        </w:numPr>
        <w:rPr>
          <w:rFonts w:ascii="Arial" w:cs="Arial" w:eastAsia="Arial" w:hAnsi="Arial"/>
          <w:sz w:val="18"/>
          <w:szCs w:val="18"/>
          <w:color w:val="auto"/>
        </w:rPr>
      </w:pPr>
      <w:r>
        <w:rPr>
          <w:rFonts w:ascii="Arial" w:cs="Arial" w:eastAsia="Arial" w:hAnsi="Arial"/>
          <w:sz w:val="18"/>
          <w:szCs w:val="18"/>
          <w:u w:val="single" w:color="auto"/>
          <w:color w:val="auto"/>
        </w:rPr>
        <w:t>Award Agreement</w:t>
      </w:r>
      <w:r>
        <w:rPr>
          <w:rFonts w:ascii="Arial" w:cs="Arial" w:eastAsia="Arial" w:hAnsi="Arial"/>
          <w:sz w:val="18"/>
          <w:szCs w:val="18"/>
          <w:color w:val="auto"/>
        </w:rPr>
        <w:t>. Each grant shall be evidenced by an Award Agreement which shall describe the subject Stock Appreciation Rights, specify the Base Price (which shall be equal to or greater than the Fair Market Value on the Grant Date), state that the Stock Appreciation Rights are subject to all of the terms and conditions of this Plan and contain such other terms and provisions as the Committee may determine consistent with this Plan.</w:t>
      </w:r>
    </w:p>
    <w:p>
      <w:pPr>
        <w:spacing w:after="0" w:line="111" w:lineRule="exact"/>
        <w:rPr>
          <w:rFonts w:ascii="Arial" w:cs="Arial" w:eastAsia="Arial" w:hAnsi="Arial"/>
          <w:sz w:val="18"/>
          <w:szCs w:val="18"/>
          <w:color w:val="auto"/>
        </w:rPr>
      </w:pPr>
    </w:p>
    <w:p>
      <w:pPr>
        <w:ind w:left="1980" w:right="419" w:hanging="360"/>
        <w:spacing w:after="0" w:line="287" w:lineRule="auto"/>
        <w:tabs>
          <w:tab w:leader="none" w:pos="1980" w:val="left"/>
        </w:tabs>
        <w:numPr>
          <w:ilvl w:val="1"/>
          <w:numId w:val="78"/>
        </w:numPr>
        <w:rPr>
          <w:rFonts w:ascii="Arial" w:cs="Arial" w:eastAsia="Arial" w:hAnsi="Arial"/>
          <w:sz w:val="18"/>
          <w:szCs w:val="18"/>
          <w:color w:val="auto"/>
        </w:rPr>
      </w:pPr>
      <w:r>
        <w:rPr>
          <w:rFonts w:ascii="Arial" w:cs="Arial" w:eastAsia="Arial" w:hAnsi="Arial"/>
          <w:sz w:val="18"/>
          <w:szCs w:val="18"/>
          <w:u w:val="single" w:color="auto"/>
          <w:color w:val="auto"/>
        </w:rPr>
        <w:t>Exercise Period</w:t>
      </w:r>
      <w:r>
        <w:rPr>
          <w:rFonts w:ascii="Arial" w:cs="Arial" w:eastAsia="Arial" w:hAnsi="Arial"/>
          <w:sz w:val="18"/>
          <w:szCs w:val="18"/>
          <w:color w:val="auto"/>
        </w:rPr>
        <w:t>. No Stock Appreciation Right granted under this Plan may be exercised more than ten years from the Grant Date.</w:t>
      </w:r>
    </w:p>
    <w:p>
      <w:pPr>
        <w:spacing w:after="0" w:line="71" w:lineRule="exact"/>
        <w:rPr>
          <w:rFonts w:ascii="Arial" w:cs="Arial" w:eastAsia="Arial" w:hAnsi="Arial"/>
          <w:sz w:val="18"/>
          <w:szCs w:val="18"/>
          <w:color w:val="auto"/>
        </w:rPr>
      </w:pPr>
    </w:p>
    <w:p>
      <w:pPr>
        <w:jc w:val="both"/>
        <w:ind w:left="1620" w:right="419" w:hanging="360"/>
        <w:spacing w:after="0" w:line="268" w:lineRule="auto"/>
        <w:tabs>
          <w:tab w:leader="none" w:pos="1620"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Restricted Shares and Restricted Share Units</w:t>
      </w:r>
      <w:r>
        <w:rPr>
          <w:rFonts w:ascii="Arial" w:cs="Arial" w:eastAsia="Arial" w:hAnsi="Arial"/>
          <w:sz w:val="18"/>
          <w:szCs w:val="18"/>
          <w:color w:val="auto"/>
        </w:rPr>
        <w:t>. The Committee may from time to time authorize grants to Grantees of Restricted Shares and Restricted Share Units upon such terms and conditions as the Committee may determine in accordance with the following provisions:</w:t>
      </w:r>
    </w:p>
    <w:p>
      <w:pPr>
        <w:spacing w:after="0" w:line="103" w:lineRule="exact"/>
        <w:rPr>
          <w:rFonts w:ascii="Arial" w:cs="Arial" w:eastAsia="Arial" w:hAnsi="Arial"/>
          <w:sz w:val="18"/>
          <w:szCs w:val="18"/>
          <w:color w:val="auto"/>
        </w:rPr>
      </w:pPr>
    </w:p>
    <w:p>
      <w:pPr>
        <w:jc w:val="both"/>
        <w:ind w:left="1980" w:right="419" w:hanging="360"/>
        <w:spacing w:after="0" w:line="275" w:lineRule="auto"/>
        <w:tabs>
          <w:tab w:leader="none" w:pos="1980" w:val="left"/>
        </w:tabs>
        <w:numPr>
          <w:ilvl w:val="1"/>
          <w:numId w:val="78"/>
        </w:numPr>
        <w:rPr>
          <w:rFonts w:ascii="Arial" w:cs="Arial" w:eastAsia="Arial" w:hAnsi="Arial"/>
          <w:sz w:val="17"/>
          <w:szCs w:val="17"/>
          <w:color w:val="auto"/>
        </w:rPr>
      </w:pPr>
      <w:r>
        <w:rPr>
          <w:rFonts w:ascii="Arial" w:cs="Arial" w:eastAsia="Arial" w:hAnsi="Arial"/>
          <w:sz w:val="17"/>
          <w:szCs w:val="17"/>
          <w:u w:val="single" w:color="auto"/>
          <w:color w:val="auto"/>
        </w:rPr>
        <w:t>Transfer of Shares</w:t>
      </w:r>
      <w:r>
        <w:rPr>
          <w:rFonts w:ascii="Arial" w:cs="Arial" w:eastAsia="Arial" w:hAnsi="Arial"/>
          <w:sz w:val="17"/>
          <w:szCs w:val="17"/>
          <w:color w:val="auto"/>
        </w:rPr>
        <w:t>. Each grant of Restricted Shares shall constitute an immediate transfer of the ownership of Shares to the Grantee in consideration of the performance of services, subject to the substantial risk of forfeiture and restrictions on transfer hereinafter referred to. Upon expiration of the restriction period and satisfaction of any other terms or conditions and as set forth in the Restricted Share Award Agreement, the Restricted Share shall immediately become nonforfeitable and the Shares underlying such award of Restricted Shares shall be released by</w:t>
      </w:r>
    </w:p>
    <w:p>
      <w:pPr>
        <w:sectPr>
          <w:pgSz w:w="11900" w:h="16838" w:orient="portrait"/>
          <w:cols w:equalWidth="0" w:num="1">
            <w:col w:w="9879"/>
          </w:cols>
          <w:pgMar w:left="580" w:top="97" w:right="1440" w:bottom="1440" w:gutter="0" w:footer="0" w:header="0"/>
        </w:sectPr>
      </w:pPr>
    </w:p>
    <w:p>
      <w:pPr>
        <w:spacing w:after="0" w:line="344"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9" w:name="page80"/>
    <w:bookmarkEnd w:id="7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left="1980" w:right="419"/>
        <w:spacing w:after="0" w:line="256" w:lineRule="auto"/>
        <w:rPr>
          <w:sz w:val="20"/>
          <w:szCs w:val="20"/>
          <w:color w:val="auto"/>
        </w:rPr>
      </w:pPr>
      <w:r>
        <w:rPr>
          <w:rFonts w:ascii="Arial" w:cs="Arial" w:eastAsia="Arial" w:hAnsi="Arial"/>
          <w:sz w:val="18"/>
          <w:szCs w:val="18"/>
          <w:color w:val="auto"/>
        </w:rPr>
        <w:t>the Company to the Grantee without restrictions on transfer. The Shares released by the Company hereunder may at the Company’s option be either (i) evidenced by a certificate registered in the name of the Grantee or his or her designee; or (ii) credited to a book-entry account for the benefit of the Grantee maintained by the Company’s stock transfer agent or its designee. Restricted Share Units shall become payable to a Grantee in Shares at the time or times determined by the Committee and set forth in the Restricted Share Unit Award Agreement.</w:t>
      </w:r>
    </w:p>
    <w:p>
      <w:pPr>
        <w:spacing w:after="0" w:line="115" w:lineRule="exact"/>
        <w:rPr>
          <w:sz w:val="20"/>
          <w:szCs w:val="20"/>
          <w:color w:val="auto"/>
        </w:rPr>
      </w:pPr>
    </w:p>
    <w:p>
      <w:pPr>
        <w:jc w:val="both"/>
        <w:ind w:left="1980" w:right="419" w:hanging="360"/>
        <w:spacing w:after="0" w:line="268" w:lineRule="auto"/>
        <w:tabs>
          <w:tab w:leader="none" w:pos="1980" w:val="left"/>
        </w:tabs>
        <w:numPr>
          <w:ilvl w:val="1"/>
          <w:numId w:val="79"/>
        </w:numPr>
        <w:rPr>
          <w:rFonts w:ascii="Arial" w:cs="Arial" w:eastAsia="Arial" w:hAnsi="Arial"/>
          <w:sz w:val="18"/>
          <w:szCs w:val="18"/>
          <w:color w:val="auto"/>
        </w:rPr>
      </w:pPr>
      <w:r>
        <w:rPr>
          <w:rFonts w:ascii="Arial" w:cs="Arial" w:eastAsia="Arial" w:hAnsi="Arial"/>
          <w:sz w:val="18"/>
          <w:szCs w:val="18"/>
          <w:u w:val="single" w:color="auto"/>
          <w:color w:val="auto"/>
        </w:rPr>
        <w:t>Consideration</w:t>
      </w:r>
      <w:r>
        <w:rPr>
          <w:rFonts w:ascii="Arial" w:cs="Arial" w:eastAsia="Arial" w:hAnsi="Arial"/>
          <w:sz w:val="18"/>
          <w:szCs w:val="18"/>
          <w:color w:val="auto"/>
        </w:rPr>
        <w:t>. Each grant may be made without additional consideration from the Grantee or in consideration of a payment by the Grantee that is less than the Fair Market Value on the Grant Date.</w:t>
      </w:r>
    </w:p>
    <w:p>
      <w:pPr>
        <w:spacing w:after="0" w:line="103" w:lineRule="exact"/>
        <w:rPr>
          <w:rFonts w:ascii="Arial" w:cs="Arial" w:eastAsia="Arial" w:hAnsi="Arial"/>
          <w:sz w:val="18"/>
          <w:szCs w:val="18"/>
          <w:color w:val="auto"/>
        </w:rPr>
      </w:pPr>
    </w:p>
    <w:p>
      <w:pPr>
        <w:jc w:val="both"/>
        <w:ind w:left="1980" w:right="419" w:hanging="360"/>
        <w:spacing w:after="0" w:line="271" w:lineRule="auto"/>
        <w:tabs>
          <w:tab w:leader="none" w:pos="1980" w:val="left"/>
        </w:tabs>
        <w:numPr>
          <w:ilvl w:val="1"/>
          <w:numId w:val="79"/>
        </w:numPr>
        <w:rPr>
          <w:rFonts w:ascii="Arial" w:cs="Arial" w:eastAsia="Arial" w:hAnsi="Arial"/>
          <w:sz w:val="17"/>
          <w:szCs w:val="17"/>
          <w:color w:val="auto"/>
        </w:rPr>
      </w:pPr>
      <w:r>
        <w:rPr>
          <w:rFonts w:ascii="Arial" w:cs="Arial" w:eastAsia="Arial" w:hAnsi="Arial"/>
          <w:sz w:val="17"/>
          <w:szCs w:val="17"/>
          <w:u w:val="single" w:color="auto"/>
          <w:color w:val="auto"/>
        </w:rPr>
        <w:t>Substantial Risk of Forfeiture</w:t>
      </w:r>
      <w:r>
        <w:rPr>
          <w:rFonts w:ascii="Arial" w:cs="Arial" w:eastAsia="Arial" w:hAnsi="Arial"/>
          <w:sz w:val="17"/>
          <w:szCs w:val="17"/>
          <w:color w:val="auto"/>
        </w:rPr>
        <w:t>. Each grant shall provide that the Restricted Shares or Restricted Share Units covered thereby shall be subject to a “substantial risk of forfeiture” within the meaning of Code Section 83 for a period to be determined by the Committee on the Grant Date, and any grant or sale may provide for the earlier termination of such risk of forfeiture in the event of a Change in Control of the Company or other similar transaction or event. If a Grantee ceases to be an Employee or a Nonemployee Director, the number of Shares subject to the Award, if any, to which the Grantee shall be entitled shall be determined in accordance with the applicable Award Agreement. All remaining Shares underlying Restricted Shares or Restricted Share Units as to which restrictions apply at the date of termination of employment or service shall be forfeited subject to such exceptions, if any, authorized by the Committee.</w:t>
      </w:r>
    </w:p>
    <w:p>
      <w:pPr>
        <w:spacing w:after="0" w:line="87" w:lineRule="exact"/>
        <w:rPr>
          <w:rFonts w:ascii="Arial" w:cs="Arial" w:eastAsia="Arial" w:hAnsi="Arial"/>
          <w:sz w:val="17"/>
          <w:szCs w:val="17"/>
          <w:color w:val="auto"/>
        </w:rPr>
      </w:pPr>
    </w:p>
    <w:p>
      <w:pPr>
        <w:jc w:val="both"/>
        <w:ind w:left="1980" w:right="419" w:hanging="360"/>
        <w:spacing w:after="0" w:line="255" w:lineRule="auto"/>
        <w:tabs>
          <w:tab w:leader="none" w:pos="1980" w:val="left"/>
        </w:tabs>
        <w:numPr>
          <w:ilvl w:val="1"/>
          <w:numId w:val="79"/>
        </w:numPr>
        <w:rPr>
          <w:rFonts w:ascii="Arial" w:cs="Arial" w:eastAsia="Arial" w:hAnsi="Arial"/>
          <w:sz w:val="18"/>
          <w:szCs w:val="18"/>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 Unless otherwise determined by the Committee, an Award of Restricted Shares shall entitle the Grantee to voting rights during the period for which such substantial risk of forfeiture is to continue. Unless otherwise determined by the Committee, a Grantee shall not have any rights as a stockholder with respect to Shares underlying an Award of Restricted Share Unit until such time, if any, as the underlying Shares are actually issued to the Grantee, which may, at the option of the Company be either (i) evidenced by delivery of a certificate registered in the name of the Grantee or his or her designee; or (ii) credited to a book- entry account for the benefit of the Grantee maintained by the Company’s stock transfer agent or its designee.</w:t>
      </w:r>
    </w:p>
    <w:p>
      <w:pPr>
        <w:spacing w:after="0" w:line="113" w:lineRule="exact"/>
        <w:rPr>
          <w:rFonts w:ascii="Arial" w:cs="Arial" w:eastAsia="Arial" w:hAnsi="Arial"/>
          <w:sz w:val="18"/>
          <w:szCs w:val="18"/>
          <w:color w:val="auto"/>
        </w:rPr>
      </w:pPr>
    </w:p>
    <w:p>
      <w:pPr>
        <w:jc w:val="both"/>
        <w:ind w:left="1980" w:right="419" w:hanging="360"/>
        <w:spacing w:after="0" w:line="262" w:lineRule="auto"/>
        <w:tabs>
          <w:tab w:leader="none" w:pos="1980" w:val="left"/>
        </w:tabs>
        <w:numPr>
          <w:ilvl w:val="1"/>
          <w:numId w:val="79"/>
        </w:numPr>
        <w:rPr>
          <w:rFonts w:ascii="Arial" w:cs="Arial" w:eastAsia="Arial" w:hAnsi="Arial"/>
          <w:sz w:val="18"/>
          <w:szCs w:val="18"/>
          <w:color w:val="auto"/>
        </w:rPr>
      </w:pPr>
      <w:r>
        <w:rPr>
          <w:rFonts w:ascii="Arial" w:cs="Arial" w:eastAsia="Arial" w:hAnsi="Arial"/>
          <w:sz w:val="18"/>
          <w:szCs w:val="18"/>
          <w:u w:val="single" w:color="auto"/>
          <w:color w:val="auto"/>
        </w:rPr>
        <w:t>Restrictions on Transfer</w:t>
      </w:r>
      <w:r>
        <w:rPr>
          <w:rFonts w:ascii="Arial" w:cs="Arial" w:eastAsia="Arial" w:hAnsi="Arial"/>
          <w:sz w:val="18"/>
          <w:szCs w:val="18"/>
          <w:color w:val="auto"/>
        </w:rPr>
        <w:t>. Each grant shall provide that, during the period for which such substantial risk of forfeiture is to continue, the transferability of the Restricted Shares shall be prohibited or restricted in the manner and to the extent prescribed by the Committee on the Grant Date.</w:t>
      </w:r>
    </w:p>
    <w:p>
      <w:pPr>
        <w:spacing w:after="0" w:line="108" w:lineRule="exact"/>
        <w:rPr>
          <w:rFonts w:ascii="Arial" w:cs="Arial" w:eastAsia="Arial" w:hAnsi="Arial"/>
          <w:sz w:val="18"/>
          <w:szCs w:val="18"/>
          <w:color w:val="auto"/>
        </w:rPr>
      </w:pPr>
    </w:p>
    <w:p>
      <w:pPr>
        <w:jc w:val="both"/>
        <w:ind w:left="1980" w:right="419" w:hanging="360"/>
        <w:spacing w:after="0" w:line="262" w:lineRule="auto"/>
        <w:tabs>
          <w:tab w:leader="none" w:pos="1980" w:val="left"/>
        </w:tabs>
        <w:numPr>
          <w:ilvl w:val="1"/>
          <w:numId w:val="79"/>
        </w:numPr>
        <w:rPr>
          <w:rFonts w:ascii="Arial" w:cs="Arial" w:eastAsia="Arial" w:hAnsi="Arial"/>
          <w:sz w:val="18"/>
          <w:szCs w:val="18"/>
          <w:color w:val="auto"/>
        </w:rPr>
      </w:pPr>
      <w:r>
        <w:rPr>
          <w:rFonts w:ascii="Arial" w:cs="Arial" w:eastAsia="Arial" w:hAnsi="Arial"/>
          <w:sz w:val="18"/>
          <w:szCs w:val="18"/>
          <w:u w:val="single" w:color="auto"/>
          <w:color w:val="auto"/>
        </w:rPr>
        <w:t>Performance-Based Restricted Shares and Restricted Share Units</w:t>
      </w:r>
      <w:r>
        <w:rPr>
          <w:rFonts w:ascii="Arial" w:cs="Arial" w:eastAsia="Arial" w:hAnsi="Arial"/>
          <w:sz w:val="18"/>
          <w:szCs w:val="18"/>
          <w:color w:val="auto"/>
        </w:rPr>
        <w:t>. Any grant or the vesting thereof may be further conditioned upon the attainment of Performance Objectives established by the Committee in accordance with the applicable provisions of Section 8 of the Plan regarding Performance Shares and Performance Units.</w:t>
      </w:r>
    </w:p>
    <w:p>
      <w:pPr>
        <w:spacing w:after="0" w:line="95" w:lineRule="exact"/>
        <w:rPr>
          <w:rFonts w:ascii="Arial" w:cs="Arial" w:eastAsia="Arial" w:hAnsi="Arial"/>
          <w:sz w:val="18"/>
          <w:szCs w:val="18"/>
          <w:color w:val="auto"/>
        </w:rPr>
      </w:pPr>
    </w:p>
    <w:p>
      <w:pPr>
        <w:jc w:val="both"/>
        <w:ind w:left="1980" w:right="419" w:hanging="360"/>
        <w:spacing w:after="0" w:line="259" w:lineRule="auto"/>
        <w:tabs>
          <w:tab w:leader="none" w:pos="1980" w:val="left"/>
        </w:tabs>
        <w:numPr>
          <w:ilvl w:val="1"/>
          <w:numId w:val="79"/>
        </w:numPr>
        <w:rPr>
          <w:rFonts w:ascii="Arial" w:cs="Arial" w:eastAsia="Arial" w:hAnsi="Arial"/>
          <w:sz w:val="18"/>
          <w:szCs w:val="18"/>
          <w:color w:val="auto"/>
        </w:rPr>
      </w:pPr>
      <w:r>
        <w:rPr>
          <w:rFonts w:ascii="Arial" w:cs="Arial" w:eastAsia="Arial" w:hAnsi="Arial"/>
          <w:sz w:val="18"/>
          <w:szCs w:val="18"/>
          <w:u w:val="single" w:color="auto"/>
          <w:color w:val="auto"/>
        </w:rPr>
        <w:t>Award Agreements</w:t>
      </w:r>
      <w:r>
        <w:rPr>
          <w:rFonts w:ascii="Arial" w:cs="Arial" w:eastAsia="Arial" w:hAnsi="Arial"/>
          <w:sz w:val="18"/>
          <w:szCs w:val="18"/>
          <w:color w:val="auto"/>
        </w:rPr>
        <w:t>. Each grant shall be evidenced by an Award Agreement containing such terms and provisions as the Committee may determine consistent with this Plan. Unless otherwise directed by the Committee, all certificates representing Restricted Shares, together with a stock power that shall be endorsed in blank by the Grantee with respect to such Shares, shall be held in custody by the Company until all restrictions thereon lapse.</w:t>
      </w:r>
    </w:p>
    <w:p>
      <w:pPr>
        <w:spacing w:after="0" w:line="111" w:lineRule="exact"/>
        <w:rPr>
          <w:rFonts w:ascii="Arial" w:cs="Arial" w:eastAsia="Arial" w:hAnsi="Arial"/>
          <w:sz w:val="18"/>
          <w:szCs w:val="18"/>
          <w:color w:val="auto"/>
        </w:rPr>
      </w:pPr>
    </w:p>
    <w:p>
      <w:pPr>
        <w:jc w:val="both"/>
        <w:ind w:left="1620" w:right="419" w:hanging="360"/>
        <w:spacing w:after="0" w:line="262" w:lineRule="auto"/>
        <w:tabs>
          <w:tab w:leader="none" w:pos="1620"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Performance Shares and Performance Units</w:t>
      </w:r>
      <w:r>
        <w:rPr>
          <w:rFonts w:ascii="Arial" w:cs="Arial" w:eastAsia="Arial" w:hAnsi="Arial"/>
          <w:sz w:val="18"/>
          <w:szCs w:val="18"/>
          <w:color w:val="auto"/>
        </w:rPr>
        <w:t>. The Committee may from time to time authorize grants of Performance Shares and Performance Units, which shall become payable to the Grantee upon the achievement of specified Performance Objectives, upon such terms and conditions as the Committee may determine in accordance with the following provisions:</w:t>
      </w:r>
    </w:p>
    <w:p>
      <w:pPr>
        <w:spacing w:after="0" w:line="108" w:lineRule="exact"/>
        <w:rPr>
          <w:rFonts w:ascii="Arial" w:cs="Arial" w:eastAsia="Arial" w:hAnsi="Arial"/>
          <w:sz w:val="18"/>
          <w:szCs w:val="18"/>
          <w:color w:val="auto"/>
        </w:rPr>
      </w:pPr>
    </w:p>
    <w:p>
      <w:pPr>
        <w:jc w:val="both"/>
        <w:ind w:left="1980" w:right="419" w:hanging="360"/>
        <w:spacing w:after="0" w:line="268" w:lineRule="auto"/>
        <w:tabs>
          <w:tab w:leader="none" w:pos="1980" w:val="left"/>
        </w:tabs>
        <w:numPr>
          <w:ilvl w:val="1"/>
          <w:numId w:val="80"/>
        </w:numPr>
        <w:rPr>
          <w:rFonts w:ascii="Arial" w:cs="Arial" w:eastAsia="Arial" w:hAnsi="Arial"/>
          <w:sz w:val="18"/>
          <w:szCs w:val="18"/>
          <w:color w:val="auto"/>
        </w:rPr>
      </w:pPr>
      <w:r>
        <w:rPr>
          <w:rFonts w:ascii="Arial" w:cs="Arial" w:eastAsia="Arial" w:hAnsi="Arial"/>
          <w:sz w:val="18"/>
          <w:szCs w:val="18"/>
          <w:u w:val="single" w:color="auto"/>
          <w:color w:val="auto"/>
        </w:rPr>
        <w:t>Number of Performance Shares or Units</w:t>
      </w:r>
      <w:r>
        <w:rPr>
          <w:rFonts w:ascii="Arial" w:cs="Arial" w:eastAsia="Arial" w:hAnsi="Arial"/>
          <w:sz w:val="18"/>
          <w:szCs w:val="18"/>
          <w:color w:val="auto"/>
        </w:rPr>
        <w:t>. Each grant shall specify the number of Performance Shares or Performance Units to which it pertains, which may be subject to adjustment to reflect changes in compensation or other factors.</w:t>
      </w:r>
    </w:p>
    <w:p>
      <w:pPr>
        <w:spacing w:after="0" w:line="34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0" w:name="page81"/>
    <w:bookmarkEnd w:id="8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left="1980" w:right="419" w:hanging="360"/>
        <w:spacing w:after="0" w:line="262" w:lineRule="auto"/>
        <w:tabs>
          <w:tab w:leader="none" w:pos="1980" w:val="left"/>
        </w:tabs>
        <w:numPr>
          <w:ilvl w:val="1"/>
          <w:numId w:val="81"/>
        </w:numPr>
        <w:rPr>
          <w:rFonts w:ascii="Arial" w:cs="Arial" w:eastAsia="Arial" w:hAnsi="Arial"/>
          <w:sz w:val="18"/>
          <w:szCs w:val="18"/>
          <w:color w:val="auto"/>
        </w:rPr>
      </w:pPr>
      <w:r>
        <w:rPr>
          <w:rFonts w:ascii="Arial" w:cs="Arial" w:eastAsia="Arial" w:hAnsi="Arial"/>
          <w:sz w:val="18"/>
          <w:szCs w:val="18"/>
          <w:u w:val="single" w:color="auto"/>
          <w:color w:val="auto"/>
        </w:rPr>
        <w:t>Performance Period</w:t>
      </w:r>
      <w:r>
        <w:rPr>
          <w:rFonts w:ascii="Arial" w:cs="Arial" w:eastAsia="Arial" w:hAnsi="Arial"/>
          <w:sz w:val="18"/>
          <w:szCs w:val="18"/>
          <w:color w:val="auto"/>
        </w:rPr>
        <w:t>. The Performance Period with respect to each Performance Share or Performance Unit shall be set forth in the Award Agreement and may be subject to earlier termination in the event of a change in control of the Company or other similar transaction or event.</w:t>
      </w:r>
    </w:p>
    <w:p>
      <w:pPr>
        <w:spacing w:after="0" w:line="108" w:lineRule="exact"/>
        <w:rPr>
          <w:rFonts w:ascii="Arial" w:cs="Arial" w:eastAsia="Arial" w:hAnsi="Arial"/>
          <w:sz w:val="18"/>
          <w:szCs w:val="18"/>
          <w:color w:val="auto"/>
        </w:rPr>
      </w:pPr>
    </w:p>
    <w:p>
      <w:pPr>
        <w:ind w:left="1980" w:right="419" w:hanging="360"/>
        <w:spacing w:after="0" w:line="287" w:lineRule="auto"/>
        <w:tabs>
          <w:tab w:leader="none" w:pos="1980" w:val="left"/>
        </w:tabs>
        <w:numPr>
          <w:ilvl w:val="1"/>
          <w:numId w:val="81"/>
        </w:numPr>
        <w:rPr>
          <w:rFonts w:ascii="Arial" w:cs="Arial" w:eastAsia="Arial" w:hAnsi="Arial"/>
          <w:sz w:val="18"/>
          <w:szCs w:val="18"/>
          <w:color w:val="auto"/>
        </w:rPr>
      </w:pPr>
      <w:r>
        <w:rPr>
          <w:rFonts w:ascii="Arial" w:cs="Arial" w:eastAsia="Arial" w:hAnsi="Arial"/>
          <w:sz w:val="18"/>
          <w:szCs w:val="18"/>
          <w:u w:val="single" w:color="auto"/>
          <w:color w:val="auto"/>
        </w:rPr>
        <w:t>Performance Objectives</w:t>
      </w:r>
      <w:r>
        <w:rPr>
          <w:rFonts w:ascii="Arial" w:cs="Arial" w:eastAsia="Arial" w:hAnsi="Arial"/>
          <w:sz w:val="18"/>
          <w:szCs w:val="18"/>
          <w:color w:val="auto"/>
        </w:rPr>
        <w:t>. Each grant shall specify the Performance Objectives that are to be achieved by the Grantee.</w:t>
      </w:r>
    </w:p>
    <w:p>
      <w:pPr>
        <w:spacing w:after="0" w:line="71" w:lineRule="exact"/>
        <w:rPr>
          <w:rFonts w:ascii="Arial" w:cs="Arial" w:eastAsia="Arial" w:hAnsi="Arial"/>
          <w:sz w:val="18"/>
          <w:szCs w:val="18"/>
          <w:color w:val="auto"/>
        </w:rPr>
      </w:pPr>
    </w:p>
    <w:p>
      <w:pPr>
        <w:jc w:val="both"/>
        <w:ind w:left="1980" w:right="419" w:hanging="360"/>
        <w:spacing w:after="0" w:line="259" w:lineRule="auto"/>
        <w:tabs>
          <w:tab w:leader="none" w:pos="1980" w:val="left"/>
        </w:tabs>
        <w:numPr>
          <w:ilvl w:val="1"/>
          <w:numId w:val="81"/>
        </w:numPr>
        <w:rPr>
          <w:rFonts w:ascii="Arial" w:cs="Arial" w:eastAsia="Arial" w:hAnsi="Arial"/>
          <w:sz w:val="18"/>
          <w:szCs w:val="18"/>
          <w:color w:val="auto"/>
        </w:rPr>
      </w:pPr>
      <w:r>
        <w:rPr>
          <w:rFonts w:ascii="Arial" w:cs="Arial" w:eastAsia="Arial" w:hAnsi="Arial"/>
          <w:sz w:val="18"/>
          <w:szCs w:val="18"/>
          <w:u w:val="single" w:color="auto"/>
          <w:color w:val="auto"/>
        </w:rPr>
        <w:t>Threshold Performance Objectives</w:t>
      </w:r>
      <w:r>
        <w:rPr>
          <w:rFonts w:ascii="Arial" w:cs="Arial" w:eastAsia="Arial" w:hAnsi="Arial"/>
          <w:sz w:val="18"/>
          <w:szCs w:val="18"/>
          <w:color w:val="auto"/>
        </w:rPr>
        <w:t>. Each grant may specify in respect of the specified Performance Objectives a minimum acceptable level of achievement below which no payment will be made and may set forth a formula for determining the amount of any payment to be made if performance is at or above such minimum acceptable level but falls short of the maximum achievement of the specified Performance Objectives.</w:t>
      </w:r>
    </w:p>
    <w:p>
      <w:pPr>
        <w:spacing w:after="0" w:line="111" w:lineRule="exact"/>
        <w:rPr>
          <w:rFonts w:ascii="Arial" w:cs="Arial" w:eastAsia="Arial" w:hAnsi="Arial"/>
          <w:sz w:val="18"/>
          <w:szCs w:val="18"/>
          <w:color w:val="auto"/>
        </w:rPr>
      </w:pPr>
    </w:p>
    <w:p>
      <w:pPr>
        <w:jc w:val="both"/>
        <w:ind w:left="1980" w:right="419" w:hanging="360"/>
        <w:spacing w:after="0" w:line="259" w:lineRule="auto"/>
        <w:tabs>
          <w:tab w:leader="none" w:pos="1980" w:val="left"/>
        </w:tabs>
        <w:numPr>
          <w:ilvl w:val="1"/>
          <w:numId w:val="81"/>
        </w:numPr>
        <w:rPr>
          <w:rFonts w:ascii="Arial" w:cs="Arial" w:eastAsia="Arial" w:hAnsi="Arial"/>
          <w:sz w:val="18"/>
          <w:szCs w:val="18"/>
          <w:color w:val="auto"/>
        </w:rPr>
      </w:pPr>
      <w:r>
        <w:rPr>
          <w:rFonts w:ascii="Arial" w:cs="Arial" w:eastAsia="Arial" w:hAnsi="Arial"/>
          <w:sz w:val="18"/>
          <w:szCs w:val="18"/>
          <w:u w:val="single" w:color="auto"/>
          <w:color w:val="auto"/>
        </w:rPr>
        <w:t>Payment of Performance Shares and Units</w:t>
      </w:r>
      <w:r>
        <w:rPr>
          <w:rFonts w:ascii="Arial" w:cs="Arial" w:eastAsia="Arial" w:hAnsi="Arial"/>
          <w:sz w:val="18"/>
          <w:szCs w:val="18"/>
          <w:color w:val="auto"/>
        </w:rPr>
        <w:t>. Each grant shall specify the time and manner of payment of Performance Shares or Performance Units that shall have been earned, and any grant may specify that any such amount may be paid by the Company in cash, Shares or any combination thereof and may either grant to the Grantee or reserve to the Committee the right to elect among those alternatives.</w:t>
      </w:r>
    </w:p>
    <w:p>
      <w:pPr>
        <w:spacing w:after="0" w:line="98" w:lineRule="exact"/>
        <w:rPr>
          <w:rFonts w:ascii="Arial" w:cs="Arial" w:eastAsia="Arial" w:hAnsi="Arial"/>
          <w:sz w:val="18"/>
          <w:szCs w:val="18"/>
          <w:color w:val="auto"/>
        </w:rPr>
      </w:pPr>
    </w:p>
    <w:p>
      <w:pPr>
        <w:jc w:val="both"/>
        <w:ind w:left="1980" w:right="419" w:hanging="360"/>
        <w:spacing w:after="0" w:line="259" w:lineRule="auto"/>
        <w:tabs>
          <w:tab w:leader="none" w:pos="1980" w:val="left"/>
        </w:tabs>
        <w:numPr>
          <w:ilvl w:val="1"/>
          <w:numId w:val="81"/>
        </w:numPr>
        <w:rPr>
          <w:rFonts w:ascii="Arial" w:cs="Arial" w:eastAsia="Arial" w:hAnsi="Arial"/>
          <w:sz w:val="18"/>
          <w:szCs w:val="18"/>
          <w:color w:val="auto"/>
        </w:rPr>
      </w:pPr>
      <w:r>
        <w:rPr>
          <w:rFonts w:ascii="Arial" w:cs="Arial" w:eastAsia="Arial" w:hAnsi="Arial"/>
          <w:sz w:val="18"/>
          <w:szCs w:val="18"/>
          <w:u w:val="single" w:color="auto"/>
          <w:color w:val="auto"/>
        </w:rPr>
        <w:t>Maximum Payment</w:t>
      </w:r>
      <w:r>
        <w:rPr>
          <w:rFonts w:ascii="Arial" w:cs="Arial" w:eastAsia="Arial" w:hAnsi="Arial"/>
          <w:sz w:val="18"/>
          <w:szCs w:val="18"/>
          <w:color w:val="auto"/>
        </w:rPr>
        <w:t>. Any grant of Performance Shares may specify that the amount payable with respect thereto may not exceed a maximum specified by the Committee on the Grant Date. Any grant of Performance Units may specify that the amount payable, or the number of Shares issued, with respect thereto may not exceed maximums specified by the Committee on the Grant Date.</w:t>
      </w:r>
    </w:p>
    <w:p>
      <w:pPr>
        <w:spacing w:after="0" w:line="111" w:lineRule="exact"/>
        <w:rPr>
          <w:rFonts w:ascii="Arial" w:cs="Arial" w:eastAsia="Arial" w:hAnsi="Arial"/>
          <w:sz w:val="18"/>
          <w:szCs w:val="18"/>
          <w:color w:val="auto"/>
        </w:rPr>
      </w:pPr>
    </w:p>
    <w:p>
      <w:pPr>
        <w:jc w:val="both"/>
        <w:ind w:left="1980" w:right="419" w:hanging="360"/>
        <w:spacing w:after="0" w:line="255" w:lineRule="auto"/>
        <w:tabs>
          <w:tab w:leader="none" w:pos="1980" w:val="left"/>
        </w:tabs>
        <w:numPr>
          <w:ilvl w:val="1"/>
          <w:numId w:val="81"/>
        </w:numPr>
        <w:rPr>
          <w:rFonts w:ascii="Arial" w:cs="Arial" w:eastAsia="Arial" w:hAnsi="Arial"/>
          <w:sz w:val="18"/>
          <w:szCs w:val="18"/>
          <w:color w:val="auto"/>
        </w:rPr>
      </w:pPr>
      <w:r>
        <w:rPr>
          <w:rFonts w:ascii="Arial" w:cs="Arial" w:eastAsia="Arial" w:hAnsi="Arial"/>
          <w:sz w:val="18"/>
          <w:szCs w:val="18"/>
          <w:u w:val="single" w:color="auto"/>
          <w:color w:val="auto"/>
        </w:rPr>
        <w:t>Dividend Equivalents</w:t>
      </w:r>
      <w:r>
        <w:rPr>
          <w:rFonts w:ascii="Arial" w:cs="Arial" w:eastAsia="Arial" w:hAnsi="Arial"/>
          <w:sz w:val="18"/>
          <w:szCs w:val="18"/>
          <w:color w:val="auto"/>
        </w:rPr>
        <w:t>. Subject to Section 17(g), any grant of Performance Shares may provide for the payment to the Grantee of dividend equivalents thereon in cash or additional Shares, provided however that the Award Agreement shall provide that the Grantee shall not receive any dividends unless and until such time as the Performance Shares are earned and paid, and provided further that if the payment or crediting of dividends or dividend equivalents is in respect of an Award that is subject to Code Section 409A, then the payment or crediting of such dividends or dividend equivalents shall conform to the requirements of Code Section 409A and such requirements shall be specified in writing.</w:t>
      </w:r>
    </w:p>
    <w:p>
      <w:pPr>
        <w:spacing w:after="0" w:line="117" w:lineRule="exact"/>
        <w:rPr>
          <w:rFonts w:ascii="Arial" w:cs="Arial" w:eastAsia="Arial" w:hAnsi="Arial"/>
          <w:sz w:val="18"/>
          <w:szCs w:val="18"/>
          <w:color w:val="auto"/>
        </w:rPr>
      </w:pPr>
    </w:p>
    <w:p>
      <w:pPr>
        <w:jc w:val="both"/>
        <w:ind w:left="1980" w:right="419" w:hanging="360"/>
        <w:spacing w:after="0" w:line="278" w:lineRule="auto"/>
        <w:tabs>
          <w:tab w:leader="none" w:pos="1980" w:val="left"/>
        </w:tabs>
        <w:numPr>
          <w:ilvl w:val="1"/>
          <w:numId w:val="81"/>
        </w:numPr>
        <w:rPr>
          <w:rFonts w:ascii="Arial" w:cs="Arial" w:eastAsia="Arial" w:hAnsi="Arial"/>
          <w:sz w:val="17"/>
          <w:szCs w:val="17"/>
          <w:color w:val="auto"/>
        </w:rPr>
      </w:pPr>
      <w:r>
        <w:rPr>
          <w:rFonts w:ascii="Arial" w:cs="Arial" w:eastAsia="Arial" w:hAnsi="Arial"/>
          <w:sz w:val="17"/>
          <w:szCs w:val="17"/>
          <w:u w:val="single" w:color="auto"/>
          <w:color w:val="auto"/>
        </w:rPr>
        <w:t>Adjustment of Performance Objectives</w:t>
      </w:r>
      <w:r>
        <w:rPr>
          <w:rFonts w:ascii="Arial" w:cs="Arial" w:eastAsia="Arial" w:hAnsi="Arial"/>
          <w:sz w:val="17"/>
          <w:szCs w:val="17"/>
          <w:color w:val="auto"/>
        </w:rPr>
        <w:t>. If provided in the terms of the grant, the Committee may adjust Performance Objectives and the related minimum acceptable level of achievement if, in the sole judgment of the Committee, events or transactions have occurred after the Grant Date that are unrelated to the performance of the Grantee and result in distortion of the Performance Objectives or the related minimum acceptable level of achievement.</w:t>
      </w:r>
    </w:p>
    <w:p>
      <w:pPr>
        <w:spacing w:after="0" w:line="82" w:lineRule="exact"/>
        <w:rPr>
          <w:rFonts w:ascii="Arial" w:cs="Arial" w:eastAsia="Arial" w:hAnsi="Arial"/>
          <w:sz w:val="17"/>
          <w:szCs w:val="17"/>
          <w:color w:val="auto"/>
        </w:rPr>
      </w:pPr>
    </w:p>
    <w:p>
      <w:pPr>
        <w:jc w:val="both"/>
        <w:ind w:left="1980" w:right="419" w:hanging="360"/>
        <w:spacing w:after="0" w:line="262" w:lineRule="auto"/>
        <w:tabs>
          <w:tab w:leader="none" w:pos="1980" w:val="left"/>
        </w:tabs>
        <w:numPr>
          <w:ilvl w:val="1"/>
          <w:numId w:val="81"/>
        </w:numPr>
        <w:rPr>
          <w:rFonts w:ascii="Arial" w:cs="Arial" w:eastAsia="Arial" w:hAnsi="Arial"/>
          <w:sz w:val="18"/>
          <w:szCs w:val="18"/>
          <w:color w:val="auto"/>
        </w:rPr>
      </w:pPr>
      <w:r>
        <w:rPr>
          <w:rFonts w:ascii="Arial" w:cs="Arial" w:eastAsia="Arial" w:hAnsi="Arial"/>
          <w:sz w:val="18"/>
          <w:szCs w:val="18"/>
          <w:u w:val="single" w:color="auto"/>
          <w:color w:val="auto"/>
        </w:rPr>
        <w:t>Award Agreement</w:t>
      </w:r>
      <w:r>
        <w:rPr>
          <w:rFonts w:ascii="Arial" w:cs="Arial" w:eastAsia="Arial" w:hAnsi="Arial"/>
          <w:sz w:val="18"/>
          <w:szCs w:val="18"/>
          <w:color w:val="auto"/>
        </w:rPr>
        <w:t>. Each grant shall be evidenced by an Award Agreement which shall state that the Performance Shares or Performance Units are subject to all of the terms and conditions of this Plan and such other terms and provisions as the Committee may determine consistent with this Plan.</w:t>
      </w:r>
    </w:p>
    <w:p>
      <w:pPr>
        <w:spacing w:after="0" w:line="108" w:lineRule="exact"/>
        <w:rPr>
          <w:rFonts w:ascii="Arial" w:cs="Arial" w:eastAsia="Arial" w:hAnsi="Arial"/>
          <w:sz w:val="18"/>
          <w:szCs w:val="18"/>
          <w:color w:val="auto"/>
        </w:rPr>
      </w:pPr>
    </w:p>
    <w:p>
      <w:pPr>
        <w:jc w:val="both"/>
        <w:ind w:left="1620" w:right="419" w:hanging="360"/>
        <w:spacing w:after="0" w:line="262" w:lineRule="auto"/>
        <w:tabs>
          <w:tab w:leader="none" w:pos="1620"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Cash Awards</w:t>
      </w:r>
      <w:r>
        <w:rPr>
          <w:rFonts w:ascii="Arial" w:cs="Arial" w:eastAsia="Arial" w:hAnsi="Arial"/>
          <w:sz w:val="18"/>
          <w:szCs w:val="18"/>
          <w:color w:val="auto"/>
        </w:rPr>
        <w:t>. The Committee is authorized to grant Cash Awards on a free-standing basis or as an element of, supplement to, or in lieu of any other Award under the Plan to Grantees in such amounts and subject to such other terms as the Committee in its discretion determines to be appropriate.</w:t>
      </w:r>
    </w:p>
    <w:p>
      <w:pPr>
        <w:spacing w:after="0" w:line="95" w:lineRule="exact"/>
        <w:rPr>
          <w:rFonts w:ascii="Arial" w:cs="Arial" w:eastAsia="Arial" w:hAnsi="Arial"/>
          <w:sz w:val="18"/>
          <w:szCs w:val="18"/>
          <w:color w:val="auto"/>
        </w:rPr>
      </w:pPr>
    </w:p>
    <w:p>
      <w:pPr>
        <w:jc w:val="both"/>
        <w:ind w:left="1620" w:right="419" w:hanging="360"/>
        <w:spacing w:after="0" w:line="259" w:lineRule="auto"/>
        <w:tabs>
          <w:tab w:leader="none" w:pos="1620"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Stock Payments</w:t>
      </w:r>
      <w:r>
        <w:rPr>
          <w:rFonts w:ascii="Arial" w:cs="Arial" w:eastAsia="Arial" w:hAnsi="Arial"/>
          <w:sz w:val="18"/>
          <w:szCs w:val="18"/>
          <w:color w:val="auto"/>
        </w:rPr>
        <w:t>. If not prohibited by applicable law, the Committee may from time to time issue unrestricted Shares to Grantees, in such amounts and subject to such terms and conditions as the Committee shall from time to time in its sole discretion determine. A Stock Payment may be granted as, or in payment of, Nonemployee Director fees, bonuses, or to provide incentives or recognize special achievements or contributions.</w:t>
      </w:r>
    </w:p>
    <w:p>
      <w:pPr>
        <w:spacing w:after="0" w:line="111" w:lineRule="exact"/>
        <w:rPr>
          <w:rFonts w:ascii="Arial" w:cs="Arial" w:eastAsia="Arial" w:hAnsi="Arial"/>
          <w:sz w:val="18"/>
          <w:szCs w:val="18"/>
          <w:color w:val="auto"/>
        </w:rPr>
      </w:pPr>
    </w:p>
    <w:p>
      <w:pPr>
        <w:jc w:val="both"/>
        <w:ind w:left="1620" w:right="419" w:hanging="360"/>
        <w:spacing w:after="0" w:line="262" w:lineRule="auto"/>
        <w:tabs>
          <w:tab w:leader="none" w:pos="1620"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Reduction or Elimination of Qualified Performance-Based Awards</w:t>
      </w:r>
      <w:r>
        <w:rPr>
          <w:rFonts w:ascii="Arial" w:cs="Arial" w:eastAsia="Arial" w:hAnsi="Arial"/>
          <w:sz w:val="18"/>
          <w:szCs w:val="18"/>
          <w:color w:val="auto"/>
        </w:rPr>
        <w:t>. In determining the actual amount to be paid with respect to a Qualified Performance-Based Award, the Committee may reduce or eliminate the amount payable through the use of Negative Discretion if, in its sole judgment, such</w:t>
      </w:r>
    </w:p>
    <w:p>
      <w:pPr>
        <w:sectPr>
          <w:pgSz w:w="11900" w:h="16838" w:orient="portrait"/>
          <w:cols w:equalWidth="0" w:num="1">
            <w:col w:w="9879"/>
          </w:cols>
          <w:pgMar w:left="580" w:top="97" w:right="1440" w:bottom="1440" w:gutter="0" w:footer="0" w:header="0"/>
        </w:sectPr>
      </w:pPr>
    </w:p>
    <w:p>
      <w:pPr>
        <w:spacing w:after="0" w:line="352"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269240</wp:posOffset>
            </wp:positionV>
            <wp:extent cx="6831965"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1" w:name="page82"/>
    <w:bookmarkEnd w:id="8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left="1620" w:right="419"/>
        <w:spacing w:after="0" w:line="271" w:lineRule="auto"/>
        <w:rPr>
          <w:sz w:val="20"/>
          <w:szCs w:val="20"/>
          <w:color w:val="auto"/>
        </w:rPr>
      </w:pPr>
      <w:r>
        <w:rPr>
          <w:rFonts w:ascii="Arial" w:cs="Arial" w:eastAsia="Arial" w:hAnsi="Arial"/>
          <w:sz w:val="17"/>
          <w:szCs w:val="17"/>
          <w:color w:val="auto"/>
        </w:rPr>
        <w:t>reduction or elimination is appropriate. For the avoidance of doubt, the Committee shall not have the discretion to (i) grant or provide for a payment in respect of a Qualified Performance-Based Award to the extent the applicable Performance Objectives for the Performance Period have not been attained, or (ii) pay any amount in excess of the limitations set forth in Section 3(e) of the Plan.</w:t>
      </w:r>
    </w:p>
    <w:p>
      <w:pPr>
        <w:spacing w:after="0" w:line="89" w:lineRule="exact"/>
        <w:rPr>
          <w:sz w:val="20"/>
          <w:szCs w:val="20"/>
          <w:color w:val="auto"/>
        </w:rPr>
      </w:pPr>
    </w:p>
    <w:p>
      <w:pPr>
        <w:jc w:val="both"/>
        <w:ind w:left="1620" w:right="419" w:hanging="360"/>
        <w:spacing w:after="0" w:line="257" w:lineRule="auto"/>
        <w:tabs>
          <w:tab w:leader="none" w:pos="1620"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Clawback</w:t>
      </w:r>
      <w:r>
        <w:rPr>
          <w:rFonts w:ascii="Arial" w:cs="Arial" w:eastAsia="Arial" w:hAnsi="Arial"/>
          <w:sz w:val="18"/>
          <w:szCs w:val="18"/>
          <w:color w:val="auto"/>
        </w:rPr>
        <w:t>. Notwithstanding anything to the contrary herein, any Award or any payment made in respect of any Award that is subject to recovery under any law, government regulation, exchange listing requirement or Company policy will be subject to such deductions and/or recoupment by the Company as may be required pursuant to such law, government regulation, exchange listing requirement or Company policy (or any policy adopted by the Company pursuant to any such law, government regulation or exchange listing requirement).</w:t>
      </w:r>
    </w:p>
    <w:p>
      <w:pPr>
        <w:spacing w:after="0" w:line="101" w:lineRule="exact"/>
        <w:rPr>
          <w:rFonts w:ascii="Arial" w:cs="Arial" w:eastAsia="Arial" w:hAnsi="Arial"/>
          <w:sz w:val="18"/>
          <w:szCs w:val="18"/>
          <w:color w:val="auto"/>
        </w:rPr>
      </w:pPr>
    </w:p>
    <w:p>
      <w:pPr>
        <w:jc w:val="both"/>
        <w:ind w:left="1620" w:right="419" w:hanging="360"/>
        <w:spacing w:after="0" w:line="257" w:lineRule="auto"/>
        <w:tabs>
          <w:tab w:leader="none" w:pos="1620"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Nontransferability</w:t>
      </w:r>
      <w:r>
        <w:rPr>
          <w:rFonts w:ascii="Arial" w:cs="Arial" w:eastAsia="Arial" w:hAnsi="Arial"/>
          <w:sz w:val="18"/>
          <w:szCs w:val="18"/>
          <w:color w:val="auto"/>
        </w:rPr>
        <w:t>. No Award granted under this Plan shall be transferable by a Grantee other than by will or the laws of descent and distribution, and Options and Stock Appreciation Rights shall be exercisable during a Grantee’s lifetime only by the Grantee or, in the event of the Grantee’s legal incapacity, by his guardian or legal representative acting in a fiduciary capacity on behalf of the Grantee under state law. Any attempt to transfer an Award in violation of this Plan shall render such Award null and void.</w:t>
      </w:r>
    </w:p>
    <w:p>
      <w:pPr>
        <w:spacing w:after="0" w:line="101" w:lineRule="exact"/>
        <w:rPr>
          <w:rFonts w:ascii="Arial" w:cs="Arial" w:eastAsia="Arial" w:hAnsi="Arial"/>
          <w:sz w:val="18"/>
          <w:szCs w:val="18"/>
          <w:color w:val="auto"/>
        </w:rPr>
      </w:pPr>
    </w:p>
    <w:p>
      <w:pPr>
        <w:jc w:val="both"/>
        <w:ind w:left="1620" w:right="419" w:hanging="360"/>
        <w:spacing w:after="0" w:line="268" w:lineRule="auto"/>
        <w:tabs>
          <w:tab w:leader="none" w:pos="1620" w:val="left"/>
        </w:tabs>
        <w:numPr>
          <w:ilvl w:val="0"/>
          <w:numId w:val="83"/>
        </w:numPr>
        <w:rPr>
          <w:rFonts w:ascii="Arial" w:cs="Arial" w:eastAsia="Arial" w:hAnsi="Arial"/>
          <w:sz w:val="17"/>
          <w:szCs w:val="17"/>
          <w:color w:val="auto"/>
        </w:rPr>
      </w:pPr>
      <w:r>
        <w:rPr>
          <w:rFonts w:ascii="Arial" w:cs="Arial" w:eastAsia="Arial" w:hAnsi="Arial"/>
          <w:sz w:val="17"/>
          <w:szCs w:val="17"/>
          <w:u w:val="single" w:color="auto"/>
          <w:color w:val="auto"/>
        </w:rPr>
        <w:t>Adjustments</w:t>
      </w:r>
      <w:r>
        <w:rPr>
          <w:rFonts w:ascii="Arial" w:cs="Arial" w:eastAsia="Arial" w:hAnsi="Arial"/>
          <w:sz w:val="17"/>
          <w:szCs w:val="17"/>
          <w:color w:val="auto"/>
        </w:rPr>
        <w:t>. The Committee shall make or provide for such adjustments in the (a) number of Shares or cash covered by outstanding Awards, (b) prices per share applicable to outstanding Options and Stock Appreciation Rights, and (c) kind of shares covered by Awards (including shares of another issuer), as the Committee determines in good faith to be equitably required in order to prevent dilution or enlargement of the rights of Grantees that otherwise would result from (x) any stock dividend, stock split, combination or exchange of Shares, recapitalization or other change in the capital structure of the Company, (y) any merger, consolidation, spin-off, spin-out, split-off, split-up, reorganization, partial or complete liquidation or other distribution of assets (other than a normal cash dividend), issuance of rights or warrants to purchase securities or (z) any other corporate transaction or event having an effect similar to any of the foregoing. Moreover, in the event of any such transaction or event, the Committee may provide in substitution for any or all outstanding Awards under this Plan such alternative consideration as it may in good faith determine to be equitable under the circumstances and may require in connection therewith the surrender of all Awards so replaced. The Committee may also make or provide for such adjustments in each of the limitations specified in Section 3 of the Plan as the Committee in its sole discretion may in good faith determine to be appropriate in order to reflect any transaction or event described in this Section 14.</w:t>
      </w:r>
    </w:p>
    <w:p>
      <w:pPr>
        <w:spacing w:after="0" w:line="112" w:lineRule="exact"/>
        <w:rPr>
          <w:rFonts w:ascii="Arial" w:cs="Arial" w:eastAsia="Arial" w:hAnsi="Arial"/>
          <w:sz w:val="17"/>
          <w:szCs w:val="17"/>
          <w:color w:val="auto"/>
        </w:rPr>
      </w:pPr>
    </w:p>
    <w:p>
      <w:pPr>
        <w:jc w:val="both"/>
        <w:ind w:left="1620" w:right="419" w:hanging="360"/>
        <w:spacing w:after="0" w:line="268" w:lineRule="auto"/>
        <w:tabs>
          <w:tab w:leader="none" w:pos="1620"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Fractional Shares</w:t>
      </w:r>
      <w:r>
        <w:rPr>
          <w:rFonts w:ascii="Arial" w:cs="Arial" w:eastAsia="Arial" w:hAnsi="Arial"/>
          <w:sz w:val="18"/>
          <w:szCs w:val="18"/>
          <w:color w:val="auto"/>
        </w:rPr>
        <w:t>. The Company shall not be required to issue any fractional Shares pursuant to this Plan. The Committee may provide for the elimination of fractions or for the settlement thereof in cash.</w:t>
      </w:r>
    </w:p>
    <w:p>
      <w:pPr>
        <w:spacing w:after="0" w:line="89" w:lineRule="exact"/>
        <w:rPr>
          <w:rFonts w:ascii="Arial" w:cs="Arial" w:eastAsia="Arial" w:hAnsi="Arial"/>
          <w:sz w:val="18"/>
          <w:szCs w:val="18"/>
          <w:color w:val="auto"/>
        </w:rPr>
      </w:pPr>
    </w:p>
    <w:p>
      <w:pPr>
        <w:jc w:val="both"/>
        <w:ind w:left="1620" w:right="419" w:hanging="360"/>
        <w:spacing w:after="0" w:line="257" w:lineRule="auto"/>
        <w:tabs>
          <w:tab w:leader="none" w:pos="1620"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Withholding Taxes</w:t>
      </w:r>
      <w:r>
        <w:rPr>
          <w:rFonts w:ascii="Arial" w:cs="Arial" w:eastAsia="Arial" w:hAnsi="Arial"/>
          <w:sz w:val="18"/>
          <w:szCs w:val="18"/>
          <w:color w:val="auto"/>
        </w:rPr>
        <w:t>. To the extent that the Company is required to withhold federal, state, local or foreign taxes in connection with any payment made or benefit realized by a Grantee or other person under this Plan, it shall be a condition to the receipt of such payment or the realization of such benefit that the Grantee or such other person make arrangements satisfactory to the Company for payment of all such taxes required to be withheld. At the discretion of the Committee, such arrangements may include relinquishment of a portion of such benefit.</w:t>
      </w:r>
    </w:p>
    <w:p>
      <w:pPr>
        <w:spacing w:after="0" w:line="101" w:lineRule="exact"/>
        <w:rPr>
          <w:rFonts w:ascii="Arial" w:cs="Arial" w:eastAsia="Arial" w:hAnsi="Arial"/>
          <w:sz w:val="18"/>
          <w:szCs w:val="18"/>
          <w:color w:val="auto"/>
        </w:rPr>
      </w:pPr>
    </w:p>
    <w:p>
      <w:pPr>
        <w:ind w:left="1620" w:hanging="360"/>
        <w:spacing w:after="0"/>
        <w:tabs>
          <w:tab w:leader="none" w:pos="1620"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Amendments and Other Matters</w:t>
      </w:r>
      <w:r>
        <w:rPr>
          <w:rFonts w:ascii="Arial" w:cs="Arial" w:eastAsia="Arial" w:hAnsi="Arial"/>
          <w:sz w:val="18"/>
          <w:szCs w:val="18"/>
          <w:color w:val="auto"/>
        </w:rPr>
        <w:t>.</w:t>
      </w:r>
    </w:p>
    <w:p>
      <w:pPr>
        <w:spacing w:after="0" w:line="144" w:lineRule="exact"/>
        <w:rPr>
          <w:rFonts w:ascii="Arial" w:cs="Arial" w:eastAsia="Arial" w:hAnsi="Arial"/>
          <w:sz w:val="18"/>
          <w:szCs w:val="18"/>
          <w:color w:val="auto"/>
        </w:rPr>
      </w:pPr>
    </w:p>
    <w:p>
      <w:pPr>
        <w:jc w:val="both"/>
        <w:ind w:left="1980" w:right="419" w:hanging="360"/>
        <w:spacing w:after="0" w:line="254" w:lineRule="auto"/>
        <w:tabs>
          <w:tab w:leader="none" w:pos="1980" w:val="left"/>
        </w:tabs>
        <w:numPr>
          <w:ilvl w:val="1"/>
          <w:numId w:val="83"/>
        </w:numPr>
        <w:rPr>
          <w:rFonts w:ascii="Arial" w:cs="Arial" w:eastAsia="Arial" w:hAnsi="Arial"/>
          <w:sz w:val="18"/>
          <w:szCs w:val="18"/>
          <w:color w:val="auto"/>
        </w:rPr>
      </w:pPr>
      <w:r>
        <w:rPr>
          <w:rFonts w:ascii="Arial" w:cs="Arial" w:eastAsia="Arial" w:hAnsi="Arial"/>
          <w:sz w:val="18"/>
          <w:szCs w:val="18"/>
          <w:u w:val="single" w:color="auto"/>
          <w:color w:val="auto"/>
        </w:rPr>
        <w:t>Plan Amendments</w:t>
      </w:r>
      <w:r>
        <w:rPr>
          <w:rFonts w:ascii="Arial" w:cs="Arial" w:eastAsia="Arial" w:hAnsi="Arial"/>
          <w:sz w:val="18"/>
          <w:szCs w:val="18"/>
          <w:color w:val="auto"/>
        </w:rPr>
        <w:t>. This Plan may be amended from time to time by the Board, but no such amendment shall increase any of the limitations specified in Section 3 of the Plan, other than to reflect an adjustment made in accordance with Section 14 of the Plan, without the further approval of the stockholders of the Company. The Board may condition any amendment on the approval of the stockholders of the Company if such approval is necessary or deemed advisable with respect to the applicable listing or other requirements of a national securities exchange or other applicable laws, policies or regulations. No amendment, alteration, suspension or termination of the Plan shall impair the rights of any Grantee, unless mutually agreed otherwise between the Grantee and the Company, which agreement must be in writing and signed by the Grantee and the Company.</w:t>
      </w:r>
    </w:p>
    <w:p>
      <w:pPr>
        <w:sectPr>
          <w:pgSz w:w="11900" w:h="16838" w:orient="portrait"/>
          <w:cols w:equalWidth="0" w:num="1">
            <w:col w:w="9879"/>
          </w:cols>
          <w:pgMar w:left="580" w:top="97" w:right="1440" w:bottom="1440" w:gutter="0" w:footer="0" w:header="0"/>
        </w:sectPr>
      </w:pPr>
    </w:p>
    <w:p>
      <w:pPr>
        <w:spacing w:after="0" w:line="374"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2" w:name="page83"/>
    <w:bookmarkEnd w:id="8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left="1980" w:right="419" w:hanging="360"/>
        <w:spacing w:after="0" w:line="256" w:lineRule="auto"/>
        <w:tabs>
          <w:tab w:leader="none" w:pos="1980" w:val="left"/>
        </w:tabs>
        <w:numPr>
          <w:ilvl w:val="1"/>
          <w:numId w:val="84"/>
        </w:numPr>
        <w:rPr>
          <w:rFonts w:ascii="Arial" w:cs="Arial" w:eastAsia="Arial" w:hAnsi="Arial"/>
          <w:sz w:val="18"/>
          <w:szCs w:val="18"/>
          <w:color w:val="auto"/>
        </w:rPr>
      </w:pPr>
      <w:r>
        <w:rPr>
          <w:rFonts w:ascii="Arial" w:cs="Arial" w:eastAsia="Arial" w:hAnsi="Arial"/>
          <w:sz w:val="18"/>
          <w:szCs w:val="18"/>
          <w:u w:val="single" w:color="auto"/>
          <w:color w:val="auto"/>
        </w:rPr>
        <w:t>Repricing and Cash Buyouts Prohibited</w:t>
      </w:r>
      <w:r>
        <w:rPr>
          <w:rFonts w:ascii="Arial" w:cs="Arial" w:eastAsia="Arial" w:hAnsi="Arial"/>
          <w:sz w:val="18"/>
          <w:szCs w:val="18"/>
          <w:color w:val="auto"/>
        </w:rPr>
        <w:t>. The Committee shall not (i) reprice any outstanding Option or Stock Appreciation Right, directly or indirectly, or (ii) cancel or surrender in exchange for cash or another Award any outstanding Option or Stock Appreciation Right that is “underwater” (i​.e., with an Option Price or exercise price, as applicable, that is equal to or greater than the Fair Market Value of a Share), in each case, without the approval of the stockholders of the Company, provided that nothing herein shall prevent the Committee from taking any action provided for in Section 14 of the Plan.</w:t>
      </w:r>
    </w:p>
    <w:p>
      <w:pPr>
        <w:spacing w:after="0" w:line="115" w:lineRule="exact"/>
        <w:rPr>
          <w:rFonts w:ascii="Arial" w:cs="Arial" w:eastAsia="Arial" w:hAnsi="Arial"/>
          <w:sz w:val="18"/>
          <w:szCs w:val="18"/>
          <w:color w:val="auto"/>
        </w:rPr>
      </w:pPr>
    </w:p>
    <w:p>
      <w:pPr>
        <w:jc w:val="both"/>
        <w:ind w:left="1980" w:right="419" w:hanging="360"/>
        <w:spacing w:after="0" w:line="262" w:lineRule="auto"/>
        <w:tabs>
          <w:tab w:leader="none" w:pos="1980" w:val="left"/>
        </w:tabs>
        <w:numPr>
          <w:ilvl w:val="1"/>
          <w:numId w:val="84"/>
        </w:numPr>
        <w:rPr>
          <w:rFonts w:ascii="Arial" w:cs="Arial" w:eastAsia="Arial" w:hAnsi="Arial"/>
          <w:sz w:val="18"/>
          <w:szCs w:val="18"/>
          <w:color w:val="auto"/>
        </w:rPr>
      </w:pPr>
      <w:r>
        <w:rPr>
          <w:rFonts w:ascii="Arial" w:cs="Arial" w:eastAsia="Arial" w:hAnsi="Arial"/>
          <w:sz w:val="18"/>
          <w:szCs w:val="18"/>
          <w:u w:val="single" w:color="auto"/>
          <w:color w:val="auto"/>
        </w:rPr>
        <w:t>No Employment Right</w:t>
      </w:r>
      <w:r>
        <w:rPr>
          <w:rFonts w:ascii="Arial" w:cs="Arial" w:eastAsia="Arial" w:hAnsi="Arial"/>
          <w:sz w:val="18"/>
          <w:szCs w:val="18"/>
          <w:color w:val="auto"/>
        </w:rPr>
        <w:t>. This Plan shall not confer upon any Grantee any right with respect to continuance of employment or other service with the Company or any Subsidiary and shall not interfere in any way with any right that the Company or any Subsidiary would otherwise have to terminate any Grantee’s employment or other service at any time.</w:t>
      </w:r>
    </w:p>
    <w:p>
      <w:pPr>
        <w:spacing w:after="0" w:line="95" w:lineRule="exact"/>
        <w:rPr>
          <w:rFonts w:ascii="Arial" w:cs="Arial" w:eastAsia="Arial" w:hAnsi="Arial"/>
          <w:sz w:val="18"/>
          <w:szCs w:val="18"/>
          <w:color w:val="auto"/>
        </w:rPr>
      </w:pPr>
    </w:p>
    <w:p>
      <w:pPr>
        <w:jc w:val="both"/>
        <w:ind w:left="1980" w:right="419" w:hanging="360"/>
        <w:spacing w:after="0" w:line="259" w:lineRule="auto"/>
        <w:tabs>
          <w:tab w:leader="none" w:pos="1980" w:val="left"/>
        </w:tabs>
        <w:numPr>
          <w:ilvl w:val="1"/>
          <w:numId w:val="84"/>
        </w:numPr>
        <w:rPr>
          <w:rFonts w:ascii="Arial" w:cs="Arial" w:eastAsia="Arial" w:hAnsi="Arial"/>
          <w:sz w:val="18"/>
          <w:szCs w:val="18"/>
          <w:color w:val="auto"/>
        </w:rPr>
      </w:pPr>
      <w:r>
        <w:rPr>
          <w:rFonts w:ascii="Arial" w:cs="Arial" w:eastAsia="Arial" w:hAnsi="Arial"/>
          <w:sz w:val="18"/>
          <w:szCs w:val="18"/>
          <w:u w:val="single" w:color="auto"/>
          <w:color w:val="auto"/>
        </w:rPr>
        <w:t>Tax Qualification</w:t>
      </w:r>
      <w:r>
        <w:rPr>
          <w:rFonts w:ascii="Arial" w:cs="Arial" w:eastAsia="Arial" w:hAnsi="Arial"/>
          <w:sz w:val="18"/>
          <w:szCs w:val="18"/>
          <w:color w:val="auto"/>
        </w:rPr>
        <w:t>. To the extent that any provision of this Plan would prevent any Option that was intended to qualify under particular provisions of the Code from so qualifying, such provision of this Plan shall be null and void with respect to such Option, provided that such provision shall remain in effect with respect to other Options, and there shall be no further effect on any provision of this Plan.</w:t>
      </w:r>
    </w:p>
    <w:p>
      <w:pPr>
        <w:spacing w:after="0" w:line="98" w:lineRule="exact"/>
        <w:rPr>
          <w:rFonts w:ascii="Arial" w:cs="Arial" w:eastAsia="Arial" w:hAnsi="Arial"/>
          <w:sz w:val="18"/>
          <w:szCs w:val="18"/>
          <w:color w:val="auto"/>
        </w:rPr>
      </w:pPr>
    </w:p>
    <w:p>
      <w:pPr>
        <w:jc w:val="both"/>
        <w:ind w:left="1980" w:right="419" w:hanging="360"/>
        <w:spacing w:after="0" w:line="262" w:lineRule="auto"/>
        <w:tabs>
          <w:tab w:leader="none" w:pos="1980" w:val="left"/>
        </w:tabs>
        <w:numPr>
          <w:ilvl w:val="1"/>
          <w:numId w:val="84"/>
        </w:numPr>
        <w:rPr>
          <w:rFonts w:ascii="Arial" w:cs="Arial" w:eastAsia="Arial" w:hAnsi="Arial"/>
          <w:sz w:val="18"/>
          <w:szCs w:val="18"/>
          <w:color w:val="auto"/>
        </w:rPr>
      </w:pPr>
      <w:r>
        <w:rPr>
          <w:rFonts w:ascii="Arial" w:cs="Arial" w:eastAsia="Arial" w:hAnsi="Arial"/>
          <w:sz w:val="18"/>
          <w:szCs w:val="18"/>
          <w:u w:val="single" w:color="auto"/>
          <w:color w:val="auto"/>
        </w:rPr>
        <w:t>Change in Control</w:t>
      </w:r>
      <w:r>
        <w:rPr>
          <w:rFonts w:ascii="Arial" w:cs="Arial" w:eastAsia="Arial" w:hAnsi="Arial"/>
          <w:sz w:val="18"/>
          <w:szCs w:val="18"/>
          <w:color w:val="auto"/>
        </w:rPr>
        <w:t>. The Committee may, in its sole discretion, provide for immediate and full vesting of an Award upon the occurrence of a Change in Control of the Company. Should the Committee determine to make such a provision with respect to the grant of an Award, a representation to that effect shall be set forth in the Award Agreement.</w:t>
      </w:r>
    </w:p>
    <w:p>
      <w:pPr>
        <w:spacing w:after="0" w:line="108" w:lineRule="exact"/>
        <w:rPr>
          <w:rFonts w:ascii="Arial" w:cs="Arial" w:eastAsia="Arial" w:hAnsi="Arial"/>
          <w:sz w:val="18"/>
          <w:szCs w:val="18"/>
          <w:color w:val="auto"/>
        </w:rPr>
      </w:pPr>
    </w:p>
    <w:p>
      <w:pPr>
        <w:jc w:val="both"/>
        <w:ind w:left="1980" w:right="419" w:hanging="360"/>
        <w:spacing w:after="0" w:line="255" w:lineRule="auto"/>
        <w:tabs>
          <w:tab w:leader="none" w:pos="1980" w:val="left"/>
        </w:tabs>
        <w:numPr>
          <w:ilvl w:val="1"/>
          <w:numId w:val="84"/>
        </w:numPr>
        <w:rPr>
          <w:rFonts w:ascii="Arial" w:cs="Arial" w:eastAsia="Arial" w:hAnsi="Arial"/>
          <w:sz w:val="18"/>
          <w:szCs w:val="18"/>
          <w:color w:val="auto"/>
        </w:rPr>
      </w:pPr>
      <w:r>
        <w:rPr>
          <w:rFonts w:ascii="Arial" w:cs="Arial" w:eastAsia="Arial" w:hAnsi="Arial"/>
          <w:sz w:val="18"/>
          <w:szCs w:val="18"/>
          <w:u w:val="single" w:color="auto"/>
          <w:color w:val="auto"/>
        </w:rPr>
        <w:t>Minimum Vesting Requirements</w:t>
      </w:r>
      <w:r>
        <w:rPr>
          <w:rFonts w:ascii="Arial" w:cs="Arial" w:eastAsia="Arial" w:hAnsi="Arial"/>
          <w:sz w:val="18"/>
          <w:szCs w:val="18"/>
          <w:color w:val="auto"/>
        </w:rPr>
        <w:t>. Notwithstanding anything to the contrary contained herein, and subject to Section 17(e), no portion of any Award shall vest over a period of less than one year following the Grant Date (the “</w:t>
      </w:r>
      <w:r>
        <w:rPr>
          <w:rFonts w:ascii="Arial" w:cs="Arial" w:eastAsia="Arial" w:hAnsi="Arial"/>
          <w:sz w:val="18"/>
          <w:szCs w:val="18"/>
          <w:u w:val="single" w:color="auto"/>
          <w:color w:val="auto"/>
        </w:rPr>
        <w:t>Minimum Vesting Requirements</w:t>
      </w:r>
      <w:r>
        <w:rPr>
          <w:rFonts w:ascii="Arial" w:cs="Arial" w:eastAsia="Arial" w:hAnsi="Arial"/>
          <w:sz w:val="18"/>
          <w:szCs w:val="18"/>
          <w:color w:val="auto"/>
        </w:rPr>
        <w:t>”); provided, however, that the Committee may, in its sole discretion, (i) accelerate the vesting of any Award or otherwise lapse or waive the Minimum Vesting Requirements upon (A) the termination of employment of the Grantee or (B) a Change in Control (subject to the requirements of Section 17(e)) and (ii) grant Awards that are not subject to the Minimum Vesting Requirements with respect to 5% or less of the Shares available for issuance under the Plan (as set forth in Section 3(a), as may be adjusted pursuant to Section 14).</w:t>
      </w:r>
    </w:p>
    <w:p>
      <w:pPr>
        <w:spacing w:after="0" w:line="99" w:lineRule="exact"/>
        <w:rPr>
          <w:rFonts w:ascii="Arial" w:cs="Arial" w:eastAsia="Arial" w:hAnsi="Arial"/>
          <w:sz w:val="18"/>
          <w:szCs w:val="18"/>
          <w:color w:val="auto"/>
        </w:rPr>
      </w:pPr>
    </w:p>
    <w:p>
      <w:pPr>
        <w:jc w:val="both"/>
        <w:ind w:left="1980" w:right="419" w:hanging="360"/>
        <w:spacing w:after="0" w:line="255" w:lineRule="auto"/>
        <w:tabs>
          <w:tab w:leader="none" w:pos="1980" w:val="left"/>
        </w:tabs>
        <w:numPr>
          <w:ilvl w:val="1"/>
          <w:numId w:val="84"/>
        </w:numPr>
        <w:rPr>
          <w:rFonts w:ascii="Arial" w:cs="Arial" w:eastAsia="Arial" w:hAnsi="Arial"/>
          <w:sz w:val="18"/>
          <w:szCs w:val="18"/>
          <w:color w:val="auto"/>
        </w:rPr>
      </w:pPr>
      <w:r>
        <w:rPr>
          <w:rFonts w:ascii="Arial" w:cs="Arial" w:eastAsia="Arial" w:hAnsi="Arial"/>
          <w:sz w:val="18"/>
          <w:szCs w:val="18"/>
          <w:u w:val="single" w:color="auto"/>
          <w:color w:val="auto"/>
        </w:rPr>
        <w:t>Dividends on Unvested Equity</w:t>
      </w:r>
      <w:r>
        <w:rPr>
          <w:rFonts w:ascii="Arial" w:cs="Arial" w:eastAsia="Arial" w:hAnsi="Arial"/>
          <w:sz w:val="18"/>
          <w:szCs w:val="18"/>
          <w:color w:val="auto"/>
        </w:rPr>
        <w:t>. Any Award (other than Options and Stock Appreciation Rights) may provide for the payment to the Grantee of dividends or dividend equivalents thereon in cash or additional Shares; provided, however, that the Award Agreement shall provide that any dividends or dividend equivalents shall be subject to the same restrictions on vesting and forfeiture as apply to the underlying Award to which such dividends or dividend equivalents relate; provided, further, that, if the payment or crediting of dividends or dividend equivalents is in respect of an Award that is subject to Code Section 409A, then the payment or crediting of such dividends or dividend equivalents shall conform to the requirements of Code Section 409A and such requirements shall be specified in writing.</w:t>
      </w:r>
    </w:p>
    <w:p>
      <w:pPr>
        <w:spacing w:after="0" w:line="113" w:lineRule="exact"/>
        <w:rPr>
          <w:rFonts w:ascii="Arial" w:cs="Arial" w:eastAsia="Arial" w:hAnsi="Arial"/>
          <w:sz w:val="18"/>
          <w:szCs w:val="18"/>
          <w:color w:val="auto"/>
        </w:rPr>
      </w:pPr>
    </w:p>
    <w:p>
      <w:pPr>
        <w:jc w:val="both"/>
        <w:ind w:left="1620" w:right="419" w:hanging="360"/>
        <w:spacing w:after="0" w:line="259" w:lineRule="auto"/>
        <w:tabs>
          <w:tab w:leader="none" w:pos="1620"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Effective Date</w:t>
      </w:r>
      <w:r>
        <w:rPr>
          <w:rFonts w:ascii="Arial" w:cs="Arial" w:eastAsia="Arial" w:hAnsi="Arial"/>
          <w:sz w:val="18"/>
          <w:szCs w:val="18"/>
          <w:color w:val="auto"/>
        </w:rPr>
        <w:t>. This CTO Realty Growth, Inc. Sixth Amended and Restated 2010 Equity Incentive Plan became effective upon its adoption by the common stockholders of the Company on June 17, 2026. It replaced and superseded the Company’s Fifth Amended and Restated 2010 Equity Incentive Plan, which became effective upon its adoption by the common stockholders of the Company on June 21, 2023.</w:t>
      </w:r>
    </w:p>
    <w:p>
      <w:pPr>
        <w:spacing w:after="0" w:line="98" w:lineRule="exact"/>
        <w:rPr>
          <w:rFonts w:ascii="Arial" w:cs="Arial" w:eastAsia="Arial" w:hAnsi="Arial"/>
          <w:sz w:val="18"/>
          <w:szCs w:val="18"/>
          <w:color w:val="auto"/>
        </w:rPr>
      </w:pPr>
    </w:p>
    <w:p>
      <w:pPr>
        <w:ind w:left="1620" w:right="419" w:hanging="360"/>
        <w:spacing w:after="0" w:line="287" w:lineRule="auto"/>
        <w:tabs>
          <w:tab w:leader="none" w:pos="1620"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This Sixth Amended and Restated 2010 Equity Incentive Plan shall terminate on June 17, 2036, and no Award shall be granted after that date.</w:t>
      </w:r>
    </w:p>
    <w:p>
      <w:pPr>
        <w:spacing w:after="0" w:line="85" w:lineRule="exact"/>
        <w:rPr>
          <w:rFonts w:ascii="Arial" w:cs="Arial" w:eastAsia="Arial" w:hAnsi="Arial"/>
          <w:sz w:val="18"/>
          <w:szCs w:val="18"/>
          <w:color w:val="auto"/>
        </w:rPr>
      </w:pPr>
    </w:p>
    <w:p>
      <w:pPr>
        <w:ind w:left="1620" w:right="419" w:hanging="360"/>
        <w:spacing w:after="0" w:line="287" w:lineRule="auto"/>
        <w:tabs>
          <w:tab w:leader="none" w:pos="1620"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i w:val="1"/>
          <w:iCs w:val="1"/>
          <w:color w:val="auto"/>
        </w:rPr>
        <w:t>.</w:t>
      </w:r>
      <w:r>
        <w:rPr>
          <w:rFonts w:ascii="Arial" w:cs="Arial" w:eastAsia="Arial" w:hAnsi="Arial"/>
          <w:sz w:val="18"/>
          <w:szCs w:val="18"/>
          <w:color w:val="auto"/>
        </w:rPr>
        <w:t xml:space="preserve"> The Plan and any Award Agreements shall be administered, interpreted and enforced under the laws of the State of Maryland without regard to conflicts of laws thereof.</w:t>
      </w:r>
    </w:p>
    <w:p>
      <w:pPr>
        <w:spacing w:after="0" w:line="87" w:lineRule="exact"/>
        <w:rPr>
          <w:sz w:val="20"/>
          <w:szCs w:val="20"/>
          <w:color w:val="auto"/>
        </w:rPr>
      </w:pPr>
    </w:p>
    <w:p>
      <w:pPr>
        <w:jc w:val="both"/>
        <w:ind w:left="1260" w:right="419"/>
        <w:spacing w:after="0" w:line="252" w:lineRule="auto"/>
        <w:rPr>
          <w:sz w:val="20"/>
          <w:szCs w:val="20"/>
          <w:color w:val="auto"/>
        </w:rPr>
      </w:pPr>
      <w:r>
        <w:rPr>
          <w:rFonts w:ascii="Arial" w:cs="Arial" w:eastAsia="Arial" w:hAnsi="Arial"/>
          <w:sz w:val="18"/>
          <w:szCs w:val="18"/>
          <w:i w:val="1"/>
          <w:iCs w:val="1"/>
          <w:color w:val="auto"/>
        </w:rPr>
        <w:t>The CTO Realty Growth, Inc. Sixth Amended and Restated 2010 Equity Incentive Plan was approved by the Board of Directors on April 21, 2026 and is pending approval by the common stockholders of the Company.</w:t>
      </w:r>
    </w:p>
    <w:p>
      <w:pPr>
        <w:sectPr>
          <w:pgSz w:w="11900" w:h="16838" w:orient="portrait"/>
          <w:cols w:equalWidth="0" w:num="1">
            <w:col w:w="9879"/>
          </w:cols>
          <w:pgMar w:left="580" w:top="97" w:right="1440" w:bottom="1440" w:gutter="0" w:footer="0" w:header="0"/>
        </w:sectPr>
      </w:pPr>
    </w:p>
    <w:p>
      <w:pPr>
        <w:spacing w:after="0" w:line="359"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3" w:name="page84"/>
    <w:bookmarkEnd w:id="8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u w:val="single" w:color="auto"/>
          <w:color w:val="auto"/>
        </w:rPr>
        <w:t>APPENDIX B</w:t>
      </w:r>
    </w:p>
    <w:p>
      <w:pPr>
        <w:spacing w:after="0" w:line="117"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Non-GAAP Reconciliation</w:t>
      </w:r>
    </w:p>
    <w:p>
      <w:pPr>
        <w:spacing w:after="0" w:line="158" w:lineRule="exact"/>
        <w:rPr>
          <w:sz w:val="20"/>
          <w:szCs w:val="20"/>
          <w:color w:val="auto"/>
        </w:rPr>
      </w:pPr>
    </w:p>
    <w:p>
      <w:pPr>
        <w:jc w:val="both"/>
        <w:ind w:left="1260" w:right="419"/>
        <w:spacing w:after="0" w:line="256" w:lineRule="auto"/>
        <w:rPr>
          <w:sz w:val="20"/>
          <w:szCs w:val="20"/>
          <w:color w:val="auto"/>
        </w:rPr>
      </w:pPr>
      <w:r>
        <w:rPr>
          <w:rFonts w:ascii="Arial" w:cs="Arial" w:eastAsia="Arial" w:hAnsi="Arial"/>
          <w:sz w:val="18"/>
          <w:szCs w:val="18"/>
          <w:color w:val="auto"/>
        </w:rPr>
        <w:t>This Proxy Statement includes certain financial performance measures not defined by generally accepted accounting principles in the United States (“GAAP”). Reconciliations of these non-GAAP financial measures to the most directly comparable GAAP measures are included in this Appendix B. We believe these non-GAAP financial measures are useful to investors because they are widely accepted industry measures used by analysts and investors to compare the operating performance of REITs. Our definitions and calculations of these non-GAAP measures may not be comparable to similarly titled measures employed by other companies.</w:t>
      </w:r>
    </w:p>
    <w:p>
      <w:pPr>
        <w:spacing w:after="0" w:line="115" w:lineRule="exact"/>
        <w:rPr>
          <w:sz w:val="20"/>
          <w:szCs w:val="20"/>
          <w:color w:val="auto"/>
        </w:rPr>
      </w:pPr>
    </w:p>
    <w:p>
      <w:pPr>
        <w:jc w:val="both"/>
        <w:ind w:left="1260" w:right="419"/>
        <w:spacing w:after="0" w:line="259" w:lineRule="auto"/>
        <w:rPr>
          <w:sz w:val="20"/>
          <w:szCs w:val="20"/>
          <w:color w:val="auto"/>
        </w:rPr>
      </w:pPr>
      <w:r>
        <w:rPr>
          <w:rFonts w:ascii="Arial" w:cs="Arial" w:eastAsia="Arial" w:hAnsi="Arial"/>
          <w:sz w:val="18"/>
          <w:szCs w:val="18"/>
          <w:color w:val="auto"/>
        </w:rPr>
        <w:t>These non-GAAP financial measures do not represent cash generated from operating activities and are not necessarily indicative of cash available to fund cash requirements; accordingly, they should not be considered alternatives to net income as a performance measure or cash flows from operating activities as a liquidity measure and should be considered in addition to, and not in lieu of, GAAP financial measures.</w:t>
      </w:r>
    </w:p>
    <w:p>
      <w:pPr>
        <w:spacing w:after="0" w:line="9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SAME PROPERTY NOI</w:t>
      </w:r>
    </w:p>
    <w:p>
      <w:pPr>
        <w:spacing w:after="0" w:line="158" w:lineRule="exact"/>
        <w:rPr>
          <w:sz w:val="20"/>
          <w:szCs w:val="20"/>
          <w:color w:val="auto"/>
        </w:rPr>
      </w:pPr>
    </w:p>
    <w:p>
      <w:pPr>
        <w:jc w:val="both"/>
        <w:ind w:left="1260" w:right="419"/>
        <w:spacing w:after="0" w:line="268" w:lineRule="auto"/>
        <w:rPr>
          <w:sz w:val="20"/>
          <w:szCs w:val="20"/>
          <w:color w:val="auto"/>
        </w:rPr>
      </w:pPr>
      <w:r>
        <w:rPr>
          <w:rFonts w:ascii="Arial" w:cs="Arial" w:eastAsia="Arial" w:hAnsi="Arial"/>
          <w:sz w:val="17"/>
          <w:szCs w:val="17"/>
          <w:color w:val="auto"/>
        </w:rPr>
        <w:t>To derive same-property net operating income (“Same-Property NOI”), GAAP net income or loss attributable to the Company is adjusted to exclude real estate related depreciation and amortization, as well as extraordinary items (as defined by GAAP) such as net gain or loss from sales of depreciable real estate assets, impairment write-downs associated with depreciable real estate assets, impairments associated with the implementation of current expected credit losses on commercial loans and investments at the time of origination, including the pro rata share of such adjustments of unconsolidated subsidiaries, non-cash revenues and expenses such as straight-line rental revenue, amortization of deferred financing costs,, gains and losses recognized on the extinguishment of debt, above- and below-market lease related intangibles, non-cash compensation, other non-recurring items such as termination fees, forfeitures of tenant security deposits, and other non-recurring items, and other non-cash income or expense. Interest expense, general and administrative expenses, investment and other income or loss, income tax benefit or expense, real estate operations revenues and direct cost of revenues, management fee income, and interest income from commercial loans and investments are also excluded from Same-Property NOI. GAAP net income or loss is further adjusted to remove the impact of properties that were not owned for the full current and prior year reporting periods presented. Cash rental income received under the leases pertaining to the Company’s assets that are presented as commercial loans and investments in accordance with GAAP is also used in lieu of the interest income equivalent.</w:t>
      </w:r>
    </w:p>
    <w:p>
      <w:pPr>
        <w:spacing w:after="0" w:line="110" w:lineRule="exact"/>
        <w:rPr>
          <w:sz w:val="20"/>
          <w:szCs w:val="20"/>
          <w:color w:val="auto"/>
        </w:rPr>
      </w:pPr>
    </w:p>
    <w:p>
      <w:pPr>
        <w:jc w:val="both"/>
        <w:ind w:left="1260" w:right="419"/>
        <w:spacing w:after="0" w:line="255" w:lineRule="auto"/>
        <w:rPr>
          <w:sz w:val="20"/>
          <w:szCs w:val="20"/>
          <w:color w:val="auto"/>
        </w:rPr>
      </w:pPr>
      <w:r>
        <w:rPr>
          <w:rFonts w:ascii="Arial" w:cs="Arial" w:eastAsia="Arial" w:hAnsi="Arial"/>
          <w:sz w:val="18"/>
          <w:szCs w:val="18"/>
          <w:color w:val="auto"/>
        </w:rPr>
        <w:t>We use Same-Property NOI to compare the operating performance of our assets between periods. It is an accepted and important measurement used by management, investors and analysts because it includes all property-level revenues from the Company’s properties, less operating and maintenance expenses, real estate taxes and other property-specific expenses (“Net Operating Income” or “NOI”) of properties that have been owned and stabilized for the entire current and prior year reporting periods. Same-Property NOI attempts to eliminate differences due to the acquisition or disposition of properties during the particular period presented, and therefore provides a more comparable and consistent performance measure for the comparison of the Company’s properties. Same-Property NOI may not be comparable to similarly titled measures employed by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4" w:name="page85"/>
    <w:bookmarkEnd w:id="8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CTO Realty Growth, Inc.</w:t>
      </w:r>
    </w:p>
    <w:p>
      <w:pPr>
        <w:spacing w:after="0" w:line="27"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Non-GAAP Financial Measures</w:t>
      </w:r>
    </w:p>
    <w:p>
      <w:pPr>
        <w:spacing w:after="0" w:line="9" w:lineRule="exact"/>
        <w:rPr>
          <w:sz w:val="20"/>
          <w:szCs w:val="20"/>
          <w:color w:val="auto"/>
        </w:rPr>
      </w:pPr>
    </w:p>
    <w:p>
      <w:pPr>
        <w:jc w:val="right"/>
        <w:ind w:right="3079"/>
        <w:spacing w:after="0"/>
        <w:rPr>
          <w:sz w:val="20"/>
          <w:szCs w:val="20"/>
          <w:color w:val="auto"/>
        </w:rPr>
      </w:pPr>
      <w:r>
        <w:rPr>
          <w:rFonts w:ascii="Arial" w:cs="Arial" w:eastAsia="Arial" w:hAnsi="Arial"/>
          <w:sz w:val="18"/>
          <w:szCs w:val="18"/>
          <w:b w:val="1"/>
          <w:bCs w:val="1"/>
          <w:color w:val="auto"/>
        </w:rPr>
        <w:t>Same-Property NOI Reconciliation</w:t>
      </w:r>
    </w:p>
    <w:p>
      <w:pPr>
        <w:spacing w:after="0" w:line="9"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(In thousands)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440" w:right="1740" w:hanging="179"/>
        <w:spacing w:after="0" w:line="297" w:lineRule="auto"/>
        <w:rPr>
          <w:sz w:val="20"/>
          <w:szCs w:val="20"/>
          <w:color w:val="auto"/>
        </w:rPr>
      </w:pPr>
      <w:r>
        <w:rPr>
          <w:rFonts w:ascii="Arial" w:cs="Arial" w:eastAsia="Arial" w:hAnsi="Arial"/>
          <w:sz w:val="18"/>
          <w:szCs w:val="18"/>
          <w:color w:val="auto"/>
        </w:rPr>
        <w:t>Net Income (Loss) Attributable to the Company Gain on Disposition of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-12700</wp:posOffset>
            </wp:positionV>
            <wp:extent cx="5212080" cy="16319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-346710</wp:posOffset>
            </wp:positionV>
            <wp:extent cx="5212080" cy="1714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8"/>
          <w:szCs w:val="18"/>
          <w:color w:val="auto"/>
        </w:rPr>
        <w:t>Loss on Extinguishment of Debt</w:t>
      </w:r>
    </w:p>
    <w:p>
      <w:pPr>
        <w:spacing w:after="0" w:line="50"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Provision for Impairment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17780</wp:posOffset>
            </wp:positionV>
            <wp:extent cx="5212080" cy="16319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Depreciation and Amortization</w:t>
      </w:r>
    </w:p>
    <w:p>
      <w:pPr>
        <w:spacing w:after="0" w:line="50"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Amortization of Intangibles to Lease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17780</wp:posOffset>
            </wp:positionV>
            <wp:extent cx="5212080" cy="16319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Straight-Line Rent Adjustment</w:t>
      </w:r>
    </w:p>
    <w:p>
      <w:pPr>
        <w:spacing w:after="0" w:line="50"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Accretion of Tenant Contribution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17780</wp:posOffset>
            </wp:positionV>
            <wp:extent cx="5212080" cy="16319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Interest Expense</w:t>
      </w:r>
    </w:p>
    <w:p>
      <w:pPr>
        <w:spacing w:after="0" w:line="50"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General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17780</wp:posOffset>
            </wp:positionV>
            <wp:extent cx="5212080" cy="16256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spacing w:after="0" w:line="30"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Investment and Other Income (Loss)</w:t>
      </w:r>
    </w:p>
    <w:p>
      <w:pPr>
        <w:spacing w:after="0" w:line="50"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Income Tax Benefit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17780</wp:posOffset>
            </wp:positionV>
            <wp:extent cx="5212080" cy="16319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Real Estate Operations Revenues</w:t>
      </w:r>
    </w:p>
    <w:p>
      <w:pPr>
        <w:spacing w:after="0" w:line="50" w:lineRule="exact"/>
        <w:rPr>
          <w:sz w:val="20"/>
          <w:szCs w:val="20"/>
          <w:color w:val="auto"/>
        </w:rPr>
      </w:pPr>
    </w:p>
    <w:p>
      <w:pPr>
        <w:ind w:left="1440" w:right="1460"/>
        <w:spacing w:after="0" w:line="313" w:lineRule="auto"/>
        <w:rPr>
          <w:sz w:val="20"/>
          <w:szCs w:val="20"/>
          <w:color w:val="auto"/>
        </w:rPr>
      </w:pPr>
      <w:r>
        <w:rPr>
          <w:rFonts w:ascii="Arial" w:cs="Arial" w:eastAsia="Arial" w:hAnsi="Arial"/>
          <w:sz w:val="18"/>
          <w:szCs w:val="18"/>
          <w:color w:val="auto"/>
        </w:rPr>
        <w:t>Real Estate Operations Direct Cost of Revenues Management Fee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-193040</wp:posOffset>
            </wp:positionV>
            <wp:extent cx="5212080" cy="17145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ind w:left="1440" w:right="760"/>
        <w:spacing w:after="0" w:line="288" w:lineRule="auto"/>
        <w:rPr>
          <w:sz w:val="20"/>
          <w:szCs w:val="20"/>
          <w:color w:val="auto"/>
        </w:rPr>
      </w:pPr>
      <w:r>
        <w:rPr>
          <w:rFonts w:ascii="Arial" w:cs="Arial" w:eastAsia="Arial" w:hAnsi="Arial"/>
          <w:sz w:val="18"/>
          <w:szCs w:val="18"/>
          <w:color w:val="auto"/>
        </w:rPr>
        <w:t>Interest Income from Commercial Loans and Investments Other Non-Recurring Items</w:t>
      </w:r>
      <w:r>
        <w:rPr>
          <w:rFonts w:ascii="Arial" w:cs="Arial" w:eastAsia="Arial" w:hAnsi="Arial"/>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-209550</wp:posOffset>
            </wp:positionV>
            <wp:extent cx="5212080" cy="18859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212080" cy="1885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7"/>
          <w:szCs w:val="17"/>
          <w:color w:val="auto"/>
        </w:rPr>
        <w:t>Less: Impact of Properties Not Owned for the Full Reporting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33655</wp:posOffset>
            </wp:positionV>
            <wp:extent cx="5212080" cy="18034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212080" cy="180340"/>
                    </a:xfrm>
                    <a:prstGeom prst="rect">
                      <a:avLst/>
                    </a:prstGeom>
                    <a:noFill/>
                  </pic:spPr>
                </pic:pic>
              </a:graphicData>
            </a:graphic>
          </wp:anchor>
        </w:drawing>
      </w:r>
    </w:p>
    <w:p>
      <w:pPr>
        <w:spacing w:after="0" w:line="8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Same-Property NOI</w:t>
      </w:r>
    </w:p>
    <w:p>
      <w:pPr>
        <w:spacing w:after="0" w:line="63" w:lineRule="exact"/>
        <w:rPr>
          <w:sz w:val="20"/>
          <w:szCs w:val="20"/>
          <w:color w:val="auto"/>
        </w:rPr>
      </w:pPr>
    </w:p>
    <w:p>
      <w:pPr>
        <w:ind w:left="1260" w:right="1640" w:firstLine="180"/>
        <w:spacing w:after="0" w:line="434" w:lineRule="auto"/>
        <w:rPr>
          <w:sz w:val="20"/>
          <w:szCs w:val="20"/>
          <w:color w:val="auto"/>
        </w:rPr>
      </w:pPr>
      <w:r>
        <w:rPr>
          <w:rFonts w:ascii="Arial" w:cs="Arial" w:eastAsia="Arial" w:hAnsi="Arial"/>
          <w:sz w:val="17"/>
          <w:szCs w:val="17"/>
          <w:color w:val="auto"/>
        </w:rPr>
        <w:t>Less: Same Property NOI for Other Properties Same-Property NOI for Shopping Centers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-290830</wp:posOffset>
            </wp:positionV>
            <wp:extent cx="5212080" cy="2057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212080" cy="20574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-7620</wp:posOffset>
            </wp:positionV>
            <wp:extent cx="123444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auto"/>
        </w:rPr>
        <w:t>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137160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6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5"/>
          </w:tcPr>
          <w:p>
            <w:pPr>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97"/>
        </w:trPr>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2024</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273"/>
        </w:trPr>
        <w:tc>
          <w:tcPr>
            <w:tcW w:w="960" w:type="dxa"/>
            <w:vAlign w:val="bottom"/>
            <w:gridSpan w:val="4"/>
          </w:tcPr>
          <w:p>
            <w:pPr>
              <w:jc w:val="right"/>
              <w:ind w:right="100"/>
              <w:spacing w:after="0"/>
              <w:rPr>
                <w:sz w:val="20"/>
                <w:szCs w:val="20"/>
                <w:color w:val="auto"/>
              </w:rPr>
            </w:pPr>
            <w:r>
              <w:rPr>
                <w:rFonts w:ascii="Arial" w:cs="Arial" w:eastAsia="Arial" w:hAnsi="Arial"/>
                <w:sz w:val="18"/>
                <w:szCs w:val="18"/>
                <w:color w:val="auto"/>
              </w:rPr>
              <w:t>​$ 10,092</w:t>
            </w:r>
          </w:p>
        </w:tc>
        <w:tc>
          <w:tcPr>
            <w:tcW w:w="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5"/>
          </w:tcPr>
          <w:p>
            <w:pPr>
              <w:jc w:val="right"/>
              <w:spacing w:after="0"/>
              <w:rPr>
                <w:sz w:val="20"/>
                <w:szCs w:val="20"/>
                <w:color w:val="auto"/>
              </w:rPr>
            </w:pPr>
            <w:r>
              <w:rPr>
                <w:rFonts w:ascii="Arial" w:cs="Arial" w:eastAsia="Arial" w:hAnsi="Arial"/>
                <w:sz w:val="18"/>
                <w:szCs w:val="18"/>
                <w:color w:val="auto"/>
              </w:rPr>
              <w:t>(1,965) ​</w:t>
            </w:r>
          </w:p>
        </w:tc>
      </w:tr>
      <w:tr>
        <w:trPr>
          <w:trHeight w:val="257"/>
        </w:trPr>
        <w:tc>
          <w:tcPr>
            <w:tcW w:w="1200" w:type="dxa"/>
            <w:vAlign w:val="bottom"/>
            <w:gridSpan w:val="6"/>
          </w:tcPr>
          <w:p>
            <w:pPr>
              <w:jc w:val="right"/>
              <w:ind w:right="180"/>
              <w:spacing w:after="0"/>
              <w:rPr>
                <w:sz w:val="20"/>
                <w:szCs w:val="20"/>
                <w:color w:val="auto"/>
              </w:rPr>
            </w:pPr>
            <w:r>
              <w:rPr>
                <w:rFonts w:ascii="Arial" w:cs="Arial" w:eastAsia="Arial" w:hAnsi="Arial"/>
                <w:sz w:val="18"/>
                <w:szCs w:val="18"/>
                <w:color w:val="auto"/>
              </w:rPr>
              <w:t>​ (21,452) ​</w:t>
            </w:r>
          </w:p>
        </w:tc>
        <w:tc>
          <w:tcPr>
            <w:tcW w:w="120" w:type="dxa"/>
            <w:vAlign w:val="bottom"/>
          </w:tcPr>
          <w:p>
            <w:pPr>
              <w:spacing w:after="0"/>
              <w:rPr>
                <w:sz w:val="22"/>
                <w:szCs w:val="22"/>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5"/>
          </w:tcPr>
          <w:p>
            <w:pPr>
              <w:jc w:val="right"/>
              <w:spacing w:after="0"/>
              <w:rPr>
                <w:sz w:val="20"/>
                <w:szCs w:val="20"/>
                <w:color w:val="auto"/>
              </w:rPr>
            </w:pPr>
            <w:r>
              <w:rPr>
                <w:rFonts w:ascii="Arial" w:cs="Arial" w:eastAsia="Arial" w:hAnsi="Arial"/>
                <w:sz w:val="18"/>
                <w:szCs w:val="18"/>
                <w:color w:val="auto"/>
              </w:rPr>
              <w:t>(8,308) ​</w:t>
            </w:r>
          </w:p>
        </w:tc>
      </w:tr>
      <w:tr>
        <w:trPr>
          <w:trHeight w:val="257"/>
        </w:trPr>
        <w:tc>
          <w:tcPr>
            <w:tcW w:w="2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20,449</w:t>
            </w:r>
          </w:p>
        </w:tc>
        <w:tc>
          <w:tcPr>
            <w:tcW w:w="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2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68</w:t>
            </w:r>
          </w:p>
        </w:tc>
        <w:tc>
          <w:tcPr>
            <w:tcW w:w="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676</w:t>
            </w:r>
          </w:p>
        </w:tc>
        <w:tc>
          <w:tcPr>
            <w:tcW w:w="80" w:type="dxa"/>
            <w:vAlign w:val="bottom"/>
          </w:tcPr>
          <w:p>
            <w:pPr>
              <w:spacing w:after="0"/>
              <w:rPr>
                <w:sz w:val="22"/>
                <w:szCs w:val="22"/>
                <w:color w:val="auto"/>
              </w:rPr>
            </w:pPr>
          </w:p>
        </w:tc>
        <w:tc>
          <w:tcPr>
            <w:tcW w:w="8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2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60,015</w:t>
            </w:r>
          </w:p>
        </w:tc>
        <w:tc>
          <w:tcPr>
            <w:tcW w:w="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65,049</w:t>
            </w:r>
          </w:p>
        </w:tc>
        <w:tc>
          <w:tcPr>
            <w:tcW w:w="80" w:type="dxa"/>
            <w:vAlign w:val="bottom"/>
          </w:tcPr>
          <w:p>
            <w:pPr>
              <w:spacing w:after="0"/>
              <w:rPr>
                <w:sz w:val="22"/>
                <w:szCs w:val="22"/>
                <w:color w:val="auto"/>
              </w:rPr>
            </w:pPr>
          </w:p>
        </w:tc>
        <w:tc>
          <w:tcPr>
            <w:tcW w:w="8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2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1,006</w:t>
            </w:r>
          </w:p>
        </w:tc>
        <w:tc>
          <w:tcPr>
            <w:tcW w:w="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254</w:t>
            </w:r>
          </w:p>
        </w:tc>
        <w:tc>
          <w:tcPr>
            <w:tcW w:w="80" w:type="dxa"/>
            <w:vAlign w:val="bottom"/>
          </w:tcPr>
          <w:p>
            <w:pPr>
              <w:spacing w:after="0"/>
              <w:rPr>
                <w:sz w:val="22"/>
                <w:szCs w:val="22"/>
                <w:color w:val="auto"/>
              </w:rPr>
            </w:pPr>
          </w:p>
        </w:tc>
        <w:tc>
          <w:tcPr>
            <w:tcW w:w="8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2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2,159</w:t>
            </w:r>
          </w:p>
        </w:tc>
        <w:tc>
          <w:tcPr>
            <w:tcW w:w="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1,681</w:t>
            </w:r>
          </w:p>
        </w:tc>
        <w:tc>
          <w:tcPr>
            <w:tcW w:w="80" w:type="dxa"/>
            <w:vAlign w:val="bottom"/>
          </w:tcPr>
          <w:p>
            <w:pPr>
              <w:spacing w:after="0"/>
              <w:rPr>
                <w:sz w:val="22"/>
                <w:szCs w:val="22"/>
                <w:color w:val="auto"/>
              </w:rPr>
            </w:pPr>
          </w:p>
        </w:tc>
        <w:tc>
          <w:tcPr>
            <w:tcW w:w="8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2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c>
          <w:tcPr>
            <w:tcW w:w="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22"/>
                <w:szCs w:val="22"/>
                <w:color w:val="auto"/>
              </w:rPr>
            </w:pPr>
          </w:p>
        </w:tc>
        <w:tc>
          <w:tcPr>
            <w:tcW w:w="8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2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26,928</w:t>
            </w:r>
          </w:p>
        </w:tc>
        <w:tc>
          <w:tcPr>
            <w:tcW w:w="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22,521</w:t>
            </w:r>
          </w:p>
        </w:tc>
        <w:tc>
          <w:tcPr>
            <w:tcW w:w="80" w:type="dxa"/>
            <w:vAlign w:val="bottom"/>
          </w:tcPr>
          <w:p>
            <w:pPr>
              <w:spacing w:after="0"/>
              <w:rPr>
                <w:sz w:val="22"/>
                <w:szCs w:val="22"/>
                <w:color w:val="auto"/>
              </w:rPr>
            </w:pPr>
          </w:p>
        </w:tc>
        <w:tc>
          <w:tcPr>
            <w:tcW w:w="8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2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18,527</w:t>
            </w:r>
          </w:p>
        </w:tc>
        <w:tc>
          <w:tcPr>
            <w:tcW w:w="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16,269</w:t>
            </w:r>
          </w:p>
        </w:tc>
        <w:tc>
          <w:tcPr>
            <w:tcW w:w="80" w:type="dxa"/>
            <w:vAlign w:val="bottom"/>
          </w:tcPr>
          <w:p>
            <w:pPr>
              <w:spacing w:after="0"/>
              <w:rPr>
                <w:sz w:val="22"/>
                <w:szCs w:val="22"/>
                <w:color w:val="auto"/>
              </w:rPr>
            </w:pPr>
          </w:p>
        </w:tc>
        <w:tc>
          <w:tcPr>
            <w:tcW w:w="8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2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60" w:type="dxa"/>
            <w:vAlign w:val="bottom"/>
            <w:gridSpan w:val="4"/>
          </w:tcPr>
          <w:p>
            <w:pPr>
              <w:jc w:val="right"/>
              <w:ind w:right="180"/>
              <w:spacing w:after="0"/>
              <w:rPr>
                <w:sz w:val="20"/>
                <w:szCs w:val="20"/>
                <w:color w:val="auto"/>
              </w:rPr>
            </w:pPr>
            <w:r>
              <w:rPr>
                <w:rFonts w:ascii="Arial" w:cs="Arial" w:eastAsia="Arial" w:hAnsi="Arial"/>
                <w:sz w:val="18"/>
                <w:szCs w:val="18"/>
                <w:color w:val="auto"/>
              </w:rPr>
              <w:t>(3,451) ​</w:t>
            </w:r>
          </w:p>
        </w:tc>
        <w:tc>
          <w:tcPr>
            <w:tcW w:w="120" w:type="dxa"/>
            <w:vAlign w:val="bottom"/>
          </w:tcPr>
          <w:p>
            <w:pPr>
              <w:spacing w:after="0"/>
              <w:rPr>
                <w:sz w:val="22"/>
                <w:szCs w:val="22"/>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5"/>
          </w:tcPr>
          <w:p>
            <w:pPr>
              <w:jc w:val="right"/>
              <w:spacing w:after="0"/>
              <w:rPr>
                <w:sz w:val="20"/>
                <w:szCs w:val="20"/>
                <w:color w:val="auto"/>
              </w:rPr>
            </w:pPr>
            <w:r>
              <w:rPr>
                <w:rFonts w:ascii="Arial" w:cs="Arial" w:eastAsia="Arial" w:hAnsi="Arial"/>
                <w:sz w:val="18"/>
                <w:szCs w:val="18"/>
                <w:color w:val="auto"/>
              </w:rPr>
              <w:t>(2,606) ​</w:t>
            </w:r>
          </w:p>
        </w:tc>
      </w:tr>
      <w:tr>
        <w:trPr>
          <w:trHeight w:val="257"/>
        </w:trPr>
        <w:tc>
          <w:tcPr>
            <w:tcW w:w="2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446</w:t>
            </w:r>
          </w:p>
        </w:tc>
        <w:tc>
          <w:tcPr>
            <w:tcW w:w="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5"/>
          </w:tcPr>
          <w:p>
            <w:pPr>
              <w:jc w:val="right"/>
              <w:spacing w:after="0"/>
              <w:rPr>
                <w:sz w:val="20"/>
                <w:szCs w:val="20"/>
                <w:color w:val="auto"/>
              </w:rPr>
            </w:pPr>
            <w:r>
              <w:rPr>
                <w:rFonts w:ascii="Arial" w:cs="Arial" w:eastAsia="Arial" w:hAnsi="Arial"/>
                <w:sz w:val="18"/>
                <w:szCs w:val="18"/>
                <w:color w:val="auto"/>
              </w:rPr>
              <w:t>(339) ​</w:t>
            </w:r>
          </w:p>
        </w:tc>
      </w:tr>
      <w:tr>
        <w:trPr>
          <w:trHeight w:val="257"/>
        </w:trPr>
        <w:tc>
          <w:tcPr>
            <w:tcW w:w="2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5"/>
          </w:tcPr>
          <w:p>
            <w:pPr>
              <w:jc w:val="right"/>
              <w:spacing w:after="0"/>
              <w:rPr>
                <w:sz w:val="20"/>
                <w:szCs w:val="20"/>
                <w:color w:val="auto"/>
              </w:rPr>
            </w:pPr>
            <w:r>
              <w:rPr>
                <w:rFonts w:ascii="Arial" w:cs="Arial" w:eastAsia="Arial" w:hAnsi="Arial"/>
                <w:sz w:val="18"/>
                <w:szCs w:val="18"/>
                <w:color w:val="auto"/>
              </w:rPr>
              <w:t>(1,981) ​</w:t>
            </w:r>
          </w:p>
        </w:tc>
      </w:tr>
      <w:tr>
        <w:trPr>
          <w:trHeight w:val="266"/>
        </w:trPr>
        <w:tc>
          <w:tcPr>
            <w:tcW w:w="2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1,437</w:t>
            </w:r>
          </w:p>
        </w:tc>
        <w:tc>
          <w:tcPr>
            <w:tcW w:w="80" w:type="dxa"/>
            <w:vAlign w:val="bottom"/>
          </w:tcPr>
          <w:p>
            <w:pPr>
              <w:spacing w:after="0"/>
              <w:rPr>
                <w:sz w:val="23"/>
                <w:szCs w:val="23"/>
                <w:color w:val="auto"/>
              </w:rPr>
            </w:pPr>
          </w:p>
        </w:tc>
        <w:tc>
          <w:tcPr>
            <w:tcW w:w="8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2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60" w:type="dxa"/>
            <w:vAlign w:val="bottom"/>
            <w:gridSpan w:val="4"/>
          </w:tcPr>
          <w:p>
            <w:pPr>
              <w:jc w:val="right"/>
              <w:ind w:right="180"/>
              <w:spacing w:after="0"/>
              <w:rPr>
                <w:sz w:val="20"/>
                <w:szCs w:val="20"/>
                <w:color w:val="auto"/>
              </w:rPr>
            </w:pPr>
            <w:r>
              <w:rPr>
                <w:rFonts w:ascii="Arial" w:cs="Arial" w:eastAsia="Arial" w:hAnsi="Arial"/>
                <w:sz w:val="18"/>
                <w:szCs w:val="18"/>
                <w:color w:val="auto"/>
              </w:rPr>
              <w:t>(4,849) ​</w:t>
            </w:r>
          </w:p>
        </w:tc>
        <w:tc>
          <w:tcPr>
            <w:tcW w:w="120" w:type="dxa"/>
            <w:vAlign w:val="bottom"/>
          </w:tcPr>
          <w:p>
            <w:pPr>
              <w:spacing w:after="0"/>
              <w:rPr>
                <w:sz w:val="23"/>
                <w:szCs w:val="23"/>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5"/>
          </w:tcPr>
          <w:p>
            <w:pPr>
              <w:jc w:val="right"/>
              <w:spacing w:after="0"/>
              <w:rPr>
                <w:sz w:val="20"/>
                <w:szCs w:val="20"/>
                <w:color w:val="auto"/>
              </w:rPr>
            </w:pPr>
            <w:r>
              <w:rPr>
                <w:rFonts w:ascii="Arial" w:cs="Arial" w:eastAsia="Arial" w:hAnsi="Arial"/>
                <w:sz w:val="18"/>
                <w:szCs w:val="18"/>
                <w:color w:val="auto"/>
              </w:rPr>
              <w:t>(4,590) ​</w:t>
            </w:r>
          </w:p>
        </w:tc>
      </w:tr>
      <w:tr>
        <w:trPr>
          <w:trHeight w:val="270"/>
        </w:trPr>
        <w:tc>
          <w:tcPr>
            <w:tcW w:w="1200" w:type="dxa"/>
            <w:vAlign w:val="bottom"/>
            <w:gridSpan w:val="6"/>
          </w:tcPr>
          <w:p>
            <w:pPr>
              <w:jc w:val="right"/>
              <w:ind w:right="180"/>
              <w:spacing w:after="0"/>
              <w:rPr>
                <w:sz w:val="20"/>
                <w:szCs w:val="20"/>
                <w:color w:val="auto"/>
              </w:rPr>
            </w:pPr>
            <w:r>
              <w:rPr>
                <w:rFonts w:ascii="Arial" w:cs="Arial" w:eastAsia="Arial" w:hAnsi="Arial"/>
                <w:sz w:val="18"/>
                <w:szCs w:val="18"/>
                <w:color w:val="auto"/>
              </w:rPr>
              <w:t>​ (12,540) ​</w:t>
            </w:r>
          </w:p>
        </w:tc>
        <w:tc>
          <w:tcPr>
            <w:tcW w:w="120" w:type="dxa"/>
            <w:vAlign w:val="bottom"/>
          </w:tcPr>
          <w:p>
            <w:pPr>
              <w:spacing w:after="0"/>
              <w:rPr>
                <w:sz w:val="23"/>
                <w:szCs w:val="23"/>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5"/>
          </w:tcPr>
          <w:p>
            <w:pPr>
              <w:jc w:val="right"/>
              <w:spacing w:after="0"/>
              <w:rPr>
                <w:sz w:val="20"/>
                <w:szCs w:val="20"/>
                <w:color w:val="auto"/>
              </w:rPr>
            </w:pPr>
            <w:r>
              <w:rPr>
                <w:rFonts w:ascii="Arial" w:cs="Arial" w:eastAsia="Arial" w:hAnsi="Arial"/>
                <w:sz w:val="18"/>
                <w:szCs w:val="18"/>
                <w:color w:val="auto"/>
              </w:rPr>
              <w:t>(7,357) ​</w:t>
            </w:r>
          </w:p>
        </w:tc>
      </w:tr>
      <w:tr>
        <w:trPr>
          <w:trHeight w:val="297"/>
        </w:trPr>
        <w:tc>
          <w:tcPr>
            <w:tcW w:w="2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60" w:type="dxa"/>
            <w:vAlign w:val="bottom"/>
            <w:gridSpan w:val="4"/>
          </w:tcPr>
          <w:p>
            <w:pPr>
              <w:jc w:val="right"/>
              <w:ind w:right="180"/>
              <w:spacing w:after="0"/>
              <w:rPr>
                <w:sz w:val="20"/>
                <w:szCs w:val="20"/>
                <w:color w:val="auto"/>
              </w:rPr>
            </w:pPr>
            <w:r>
              <w:rPr>
                <w:rFonts w:ascii="Arial" w:cs="Arial" w:eastAsia="Arial" w:hAnsi="Arial"/>
                <w:sz w:val="18"/>
                <w:szCs w:val="18"/>
                <w:color w:val="auto"/>
              </w:rPr>
              <w:t>(1,113) ​</w:t>
            </w:r>
          </w:p>
        </w:tc>
        <w:tc>
          <w:tcPr>
            <w:tcW w:w="12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5"/>
          </w:tcPr>
          <w:p>
            <w:pPr>
              <w:jc w:val="right"/>
              <w:spacing w:after="0"/>
              <w:rPr>
                <w:sz w:val="20"/>
                <w:szCs w:val="20"/>
                <w:color w:val="auto"/>
              </w:rPr>
            </w:pPr>
            <w:r>
              <w:rPr>
                <w:rFonts w:ascii="Arial" w:cs="Arial" w:eastAsia="Arial" w:hAnsi="Arial"/>
                <w:sz w:val="18"/>
                <w:szCs w:val="18"/>
                <w:color w:val="auto"/>
              </w:rPr>
              <w:t>(1,507) ​</w:t>
            </w:r>
          </w:p>
        </w:tc>
      </w:tr>
      <w:tr>
        <w:trPr>
          <w:trHeight w:val="253"/>
        </w:trPr>
        <w:tc>
          <w:tcPr>
            <w:tcW w:w="120" w:type="dxa"/>
            <w:vAlign w:val="bottom"/>
          </w:tcPr>
          <w:p>
            <w:pPr>
              <w:spacing w:after="0"/>
              <w:rPr>
                <w:sz w:val="21"/>
                <w:szCs w:val="21"/>
                <w:color w:val="auto"/>
              </w:rPr>
            </w:pPr>
          </w:p>
        </w:tc>
        <w:tc>
          <w:tcPr>
            <w:tcW w:w="1080" w:type="dxa"/>
            <w:vAlign w:val="bottom"/>
            <w:gridSpan w:val="5"/>
          </w:tcPr>
          <w:p>
            <w:pPr>
              <w:jc w:val="right"/>
              <w:ind w:right="180"/>
              <w:spacing w:after="0" w:line="252"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 xml:space="preserve"> (32,219) </w:t>
            </w:r>
            <w:r>
              <w:rPr>
                <w:rFonts w:ascii="Arial" w:cs="Arial" w:eastAsia="Arial" w:hAnsi="Arial"/>
                <w:sz w:val="29"/>
                <w:szCs w:val="29"/>
                <w:color w:val="auto"/>
                <w:vertAlign w:val="subscript"/>
              </w:rPr>
              <w:t>​</w:t>
            </w:r>
          </w:p>
        </w:tc>
        <w:tc>
          <w:tcPr>
            <w:tcW w:w="120" w:type="dxa"/>
            <w:vAlign w:val="bottom"/>
          </w:tcPr>
          <w:p>
            <w:pPr>
              <w:spacing w:after="0"/>
              <w:rPr>
                <w:sz w:val="21"/>
                <w:szCs w:val="21"/>
                <w:color w:val="auto"/>
              </w:rPr>
            </w:pPr>
          </w:p>
        </w:tc>
        <w:tc>
          <w:tcPr>
            <w:tcW w:w="900" w:type="dxa"/>
            <w:vAlign w:val="bottom"/>
            <w:gridSpan w:val="6"/>
          </w:tcPr>
          <w:p>
            <w:pPr>
              <w:jc w:val="right"/>
              <w:spacing w:after="0" w:line="252"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 xml:space="preserve"> (17,163) </w:t>
            </w:r>
            <w:r>
              <w:rPr>
                <w:rFonts w:ascii="Arial" w:cs="Arial" w:eastAsia="Arial" w:hAnsi="Arial"/>
                <w:sz w:val="29"/>
                <w:szCs w:val="29"/>
                <w:color w:val="auto"/>
                <w:vertAlign w:val="subscript"/>
              </w:rPr>
              <w:t>​</w:t>
            </w:r>
          </w:p>
        </w:tc>
      </w:tr>
      <w:tr>
        <w:trPr>
          <w:trHeight w:val="20"/>
        </w:trPr>
        <w:tc>
          <w:tcPr>
            <w:tcW w:w="12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95"/>
        </w:trPr>
        <w:tc>
          <w:tcPr>
            <w:tcW w:w="12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​$ 64,118</w:t>
            </w:r>
          </w:p>
        </w:tc>
        <w:tc>
          <w:tcPr>
            <w:tcW w:w="100" w:type="dxa"/>
            <w:vAlign w:val="bottom"/>
          </w:tcPr>
          <w:p>
            <w:pPr>
              <w:spacing w:after="0"/>
              <w:rPr>
                <w:sz w:val="24"/>
                <w:szCs w:val="24"/>
                <w:color w:val="auto"/>
              </w:rPr>
            </w:pPr>
          </w:p>
        </w:tc>
        <w:tc>
          <w:tcPr>
            <w:tcW w:w="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820" w:type="dxa"/>
            <w:vAlign w:val="bottom"/>
            <w:gridSpan w:val="4"/>
          </w:tcPr>
          <w:p>
            <w:pPr>
              <w:jc w:val="right"/>
              <w:ind w:right="100"/>
              <w:spacing w:after="0"/>
              <w:rPr>
                <w:sz w:val="20"/>
                <w:szCs w:val="20"/>
                <w:color w:val="auto"/>
              </w:rPr>
            </w:pPr>
            <w:r>
              <w:rPr>
                <w:rFonts w:ascii="Arial" w:cs="Arial" w:eastAsia="Arial" w:hAnsi="Arial"/>
                <w:sz w:val="18"/>
                <w:szCs w:val="18"/>
                <w:color w:val="auto"/>
                <w:w w:val="99"/>
              </w:rPr>
              <w:t>​$ 62,123</w:t>
            </w:r>
          </w:p>
        </w:tc>
        <w:tc>
          <w:tcPr>
            <w:tcW w:w="8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53"/>
        </w:trPr>
        <w:tc>
          <w:tcPr>
            <w:tcW w:w="120" w:type="dxa"/>
            <w:vAlign w:val="bottom"/>
          </w:tcPr>
          <w:p>
            <w:pPr>
              <w:spacing w:after="0"/>
              <w:rPr>
                <w:sz w:val="21"/>
                <w:szCs w:val="21"/>
                <w:color w:val="auto"/>
              </w:rPr>
            </w:pP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4"/>
          </w:tcPr>
          <w:p>
            <w:pPr>
              <w:jc w:val="right"/>
              <w:ind w:right="180"/>
              <w:spacing w:after="0" w:line="252" w:lineRule="exact"/>
              <w:rPr>
                <w:sz w:val="20"/>
                <w:szCs w:val="20"/>
                <w:color w:val="auto"/>
              </w:rPr>
            </w:pPr>
            <w:r>
              <w:rPr>
                <w:rFonts w:ascii="Arial" w:cs="Arial" w:eastAsia="Arial" w:hAnsi="Arial"/>
                <w:sz w:val="16"/>
                <w:szCs w:val="16"/>
                <w:color w:val="auto"/>
              </w:rPr>
              <w:t xml:space="preserve">(5,141) </w:t>
            </w:r>
            <w:r>
              <w:rPr>
                <w:rFonts w:ascii="Arial" w:cs="Arial" w:eastAsia="Arial" w:hAnsi="Arial"/>
                <w:sz w:val="29"/>
                <w:szCs w:val="29"/>
                <w:color w:val="auto"/>
                <w:vertAlign w:val="subscript"/>
              </w:rPr>
              <w:t>​</w:t>
            </w:r>
          </w:p>
        </w:tc>
        <w:tc>
          <w:tcPr>
            <w:tcW w:w="120" w:type="dxa"/>
            <w:vAlign w:val="bottom"/>
          </w:tcPr>
          <w:p>
            <w:pPr>
              <w:spacing w:after="0"/>
              <w:rPr>
                <w:sz w:val="21"/>
                <w:szCs w:val="21"/>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5"/>
          </w:tcPr>
          <w:p>
            <w:pPr>
              <w:jc w:val="right"/>
              <w:spacing w:after="0" w:line="252" w:lineRule="exact"/>
              <w:rPr>
                <w:sz w:val="20"/>
                <w:szCs w:val="20"/>
                <w:color w:val="auto"/>
              </w:rPr>
            </w:pPr>
            <w:r>
              <w:rPr>
                <w:rFonts w:ascii="Arial" w:cs="Arial" w:eastAsia="Arial" w:hAnsi="Arial"/>
                <w:sz w:val="16"/>
                <w:szCs w:val="16"/>
                <w:color w:val="auto"/>
              </w:rPr>
              <w:t xml:space="preserve">(5,635) </w:t>
            </w:r>
            <w:r>
              <w:rPr>
                <w:rFonts w:ascii="Arial" w:cs="Arial" w:eastAsia="Arial" w:hAnsi="Arial"/>
                <w:sz w:val="29"/>
                <w:szCs w:val="29"/>
                <w:color w:val="auto"/>
                <w:vertAlign w:val="subscript"/>
              </w:rPr>
              <w:t>​</w:t>
            </w:r>
          </w:p>
        </w:tc>
      </w:tr>
      <w:tr>
        <w:trPr>
          <w:trHeight w:val="277"/>
        </w:trPr>
        <w:tc>
          <w:tcPr>
            <w:tcW w:w="120" w:type="dxa"/>
            <w:vAlign w:val="bottom"/>
          </w:tcPr>
          <w:p>
            <w:pPr>
              <w:spacing w:after="0"/>
              <w:rPr>
                <w:sz w:val="24"/>
                <w:szCs w:val="24"/>
                <w:color w:val="auto"/>
              </w:rPr>
            </w:pPr>
          </w:p>
        </w:tc>
        <w:tc>
          <w:tcPr>
            <w:tcW w:w="740" w:type="dxa"/>
            <w:vAlign w:val="bottom"/>
            <w:tcBorders>
              <w:top w:val="single" w:sz="8" w:color="auto"/>
              <w:bottom w:val="single" w:sz="8" w:color="auto"/>
            </w:tcBorders>
            <w:gridSpan w:val="2"/>
          </w:tcPr>
          <w:p>
            <w:pPr>
              <w:jc w:val="right"/>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$ 58,977</w:t>
            </w:r>
          </w:p>
        </w:tc>
        <w:tc>
          <w:tcPr>
            <w:tcW w:w="100" w:type="dxa"/>
            <w:vAlign w:val="bottom"/>
          </w:tcPr>
          <w:p>
            <w:pPr>
              <w:spacing w:after="0"/>
              <w:rPr>
                <w:sz w:val="24"/>
                <w:szCs w:val="24"/>
                <w:color w:val="auto"/>
              </w:rPr>
            </w:pPr>
          </w:p>
        </w:tc>
        <w:tc>
          <w:tcPr>
            <w:tcW w:w="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740" w:type="dxa"/>
            <w:vAlign w:val="bottom"/>
            <w:tcBorders>
              <w:top w:val="single" w:sz="8" w:color="auto"/>
              <w:bottom w:val="single" w:sz="8" w:color="auto"/>
            </w:tcBorders>
            <w:gridSpan w:val="3"/>
          </w:tcPr>
          <w:p>
            <w:pPr>
              <w:jc w:val="right"/>
              <w:ind w:right="2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$ 56,488</w:t>
            </w:r>
          </w:p>
        </w:tc>
        <w:tc>
          <w:tcPr>
            <w:tcW w:w="80" w:type="dxa"/>
            <w:vAlign w:val="bottom"/>
          </w:tcPr>
          <w:p>
            <w:pPr>
              <w:spacing w:after="0"/>
              <w:rPr>
                <w:sz w:val="24"/>
                <w:szCs w:val="24"/>
                <w:color w:val="auto"/>
              </w:rPr>
            </w:pPr>
          </w:p>
        </w:tc>
        <w:tc>
          <w:tcPr>
            <w:tcW w:w="8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0"/>
        </w:trPr>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7" w:lineRule="exact"/>
        <w:rPr>
          <w:sz w:val="20"/>
          <w:szCs w:val="20"/>
          <w:color w:val="auto"/>
        </w:rPr>
      </w:pPr>
    </w:p>
    <w:p>
      <w:pPr>
        <w:sectPr>
          <w:pgSz w:w="11900" w:h="16838" w:orient="portrait"/>
          <w:cols w:equalWidth="0" w:num="2">
            <w:col w:w="6700" w:space="600"/>
            <w:col w:w="2579"/>
          </w:cols>
          <w:pgMar w:left="580" w:top="97" w:right="1440" w:bottom="1440" w:gutter="0" w:footer="0" w:header="0"/>
          <w:type w:val="continuous"/>
        </w:sectPr>
      </w:pPr>
    </w:p>
    <w:p>
      <w:pPr>
        <w:ind w:left="1620" w:hanging="360"/>
        <w:spacing w:after="0"/>
        <w:tabs>
          <w:tab w:leader="none" w:pos="1620" w:val="left"/>
        </w:tabs>
        <w:numPr>
          <w:ilvl w:val="0"/>
          <w:numId w:val="86"/>
        </w:numPr>
        <w:rPr>
          <w:rFonts w:ascii="Arial" w:cs="Arial" w:eastAsia="Arial" w:hAnsi="Arial"/>
          <w:sz w:val="14"/>
          <w:szCs w:val="14"/>
          <w:color w:val="auto"/>
        </w:rPr>
      </w:pPr>
      <w:r>
        <w:rPr>
          <w:rFonts w:ascii="Arial" w:cs="Arial" w:eastAsia="Arial" w:hAnsi="Arial"/>
          <w:sz w:val="14"/>
          <w:szCs w:val="14"/>
          <w:color w:val="auto"/>
        </w:rPr>
        <w:t>Includes non-recurring items including termination fees, forfeitures of tenant security deposits, and other non-recurring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5" w:name="page86"/>
    <w:bookmarkEnd w:id="8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PRO FORMA ADJUSTED EBITDA</w:t>
      </w:r>
    </w:p>
    <w:p>
      <w:pPr>
        <w:spacing w:after="0" w:line="158" w:lineRule="exact"/>
        <w:rPr>
          <w:sz w:val="20"/>
          <w:szCs w:val="20"/>
          <w:color w:val="auto"/>
        </w:rPr>
      </w:pPr>
    </w:p>
    <w:p>
      <w:pPr>
        <w:jc w:val="both"/>
        <w:ind w:left="1260" w:right="419"/>
        <w:spacing w:after="0" w:line="252" w:lineRule="auto"/>
        <w:rPr>
          <w:sz w:val="20"/>
          <w:szCs w:val="20"/>
          <w:color w:val="auto"/>
        </w:rPr>
      </w:pPr>
      <w:r>
        <w:rPr>
          <w:rFonts w:ascii="Arial" w:cs="Arial" w:eastAsia="Arial" w:hAnsi="Arial"/>
          <w:sz w:val="18"/>
          <w:szCs w:val="18"/>
          <w:color w:val="auto"/>
        </w:rPr>
        <w:t>To derive Pro Forma Adjusted Earnings Before Interest, Taxes, Depreciation and Amortization (“Pro Forma Adjusted EBITDA”), GAAP net income or loss attributable to the Company is adjusted to exclude real estate related depreciation and amortization, as well as extraordinary items (as defined by GAAP) such as net gain or loss from sales of depreciable real estate assets, impairment write-downs associated with depreciable real estate assets, impairments associated with the implementation of current expected credit losses on commercial loans and investments at the time of origination, including the pro rata share of such adjustments of unconsolidated subsidiaries, non-cash revenues and expenses such as straight-line rental revenue, amortization of deferred financing costs, gains and losses recognized on the extinguishment of debt, above- and below-market lease related intangibles, non-cash compensation, other non-recurring items such as termination fees, forfeitures of tenant security deposits, and other non-recurring items. The Company also excludes the gains or losses from sales of assets incidental to the primary business of the REIT which specifically include the sales of mitigation credits, subsurface sales, investment securities, and land sales, in addition to the mark-to-market of the Company’s investment securities. Cash interest expense is also excluded from Pro Forma Adjusted EBITDA, and GAAP net income or loss is adjusted for the annualized impact of acquisitions, dispositions and other similar activities.</w:t>
      </w:r>
    </w:p>
    <w:p>
      <w:pPr>
        <w:spacing w:after="0" w:line="127" w:lineRule="exact"/>
        <w:rPr>
          <w:sz w:val="20"/>
          <w:szCs w:val="20"/>
          <w:color w:val="auto"/>
        </w:rPr>
      </w:pPr>
    </w:p>
    <w:p>
      <w:pPr>
        <w:jc w:val="both"/>
        <w:ind w:left="1260" w:right="419"/>
        <w:spacing w:after="0" w:line="259" w:lineRule="auto"/>
        <w:rPr>
          <w:sz w:val="20"/>
          <w:szCs w:val="20"/>
          <w:color w:val="auto"/>
        </w:rPr>
      </w:pPr>
      <w:r>
        <w:rPr>
          <w:rFonts w:ascii="Arial" w:cs="Arial" w:eastAsia="Arial" w:hAnsi="Arial"/>
          <w:sz w:val="18"/>
          <w:szCs w:val="18"/>
          <w:color w:val="auto"/>
        </w:rPr>
        <w:t>We believe that Pro Forma Adjusted EBITDA is an additional useful supplemental measure for investors to consider as it allows for a better assessment of our operating performance without the distortions created by other non-cash revenues, expenses or certain effects of the Company’s capital structure on our operating performance. Pro Forma Adjusted EBITDA may not be comparable to similarly titled measures employed by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6" w:name="page87"/>
    <w:bookmarkEnd w:id="8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CTO Realty Growth, Inc.</w:t>
      </w:r>
    </w:p>
    <w:p>
      <w:pPr>
        <w:spacing w:after="0" w:line="27"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Non-GAAP Financial Measures</w:t>
      </w:r>
    </w:p>
    <w:p>
      <w:pPr>
        <w:spacing w:after="0" w:line="9" w:lineRule="exact"/>
        <w:rPr>
          <w:sz w:val="20"/>
          <w:szCs w:val="20"/>
          <w:color w:val="auto"/>
        </w:rPr>
      </w:pPr>
    </w:p>
    <w:p>
      <w:pPr>
        <w:jc w:val="center"/>
        <w:ind w:right="-800"/>
        <w:spacing w:after="0"/>
        <w:rPr>
          <w:sz w:val="20"/>
          <w:szCs w:val="20"/>
          <w:color w:val="auto"/>
        </w:rPr>
      </w:pPr>
      <w:r>
        <w:rPr>
          <w:rFonts w:ascii="Arial" w:cs="Arial" w:eastAsia="Arial" w:hAnsi="Arial"/>
          <w:sz w:val="17"/>
          <w:szCs w:val="17"/>
          <w:b w:val="1"/>
          <w:bCs w:val="1"/>
          <w:color w:val="auto"/>
        </w:rPr>
        <w:t>Reconciliation of Net Debt Plus Preferred to Pro Forma Adjusted EBITDA</w:t>
      </w:r>
    </w:p>
    <w:p>
      <w:pPr>
        <w:spacing w:after="0" w:line="21"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(In thousands)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Net Income Attributable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-153035</wp:posOffset>
            </wp:positionV>
            <wp:extent cx="5212080" cy="17145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30"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Depreciation and Amortization of Real Estate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17780</wp:posOffset>
            </wp:positionV>
            <wp:extent cx="5212080" cy="16256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spacing w:after="0" w:line="30"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Gain on Disposition of Assets</w:t>
      </w:r>
    </w:p>
    <w:p>
      <w:pPr>
        <w:spacing w:after="0" w:line="50"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Unrealized Gain &amp; Realized Loss on Investment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17780</wp:posOffset>
            </wp:positionV>
            <wp:extent cx="5212080" cy="16319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Distributions to Preferred Stockholders</w:t>
      </w:r>
    </w:p>
    <w:p>
      <w:pPr>
        <w:spacing w:after="0" w:line="50"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Amortization of Intangibles to Lease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17780</wp:posOffset>
            </wp:positionV>
            <wp:extent cx="5212080" cy="16319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Straight-Line Rent Adjustment</w:t>
      </w:r>
    </w:p>
    <w:p>
      <w:pPr>
        <w:spacing w:after="0" w:line="50"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Other 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17780</wp:posOffset>
            </wp:positionV>
            <wp:extent cx="5212080" cy="16319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Amortization of Loan Costs &amp; Capitalized Interest</w:t>
      </w:r>
    </w:p>
    <w:p>
      <w:pPr>
        <w:spacing w:after="0" w:line="50"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Non-Cash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17780</wp:posOffset>
            </wp:positionV>
            <wp:extent cx="5212080" cy="17970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spacing w:after="0" w:line="14"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Other Non-Recurring Items</w:t>
      </w:r>
      <w:r>
        <w:rPr>
          <w:rFonts w:ascii="Arial" w:cs="Arial" w:eastAsia="Arial" w:hAnsi="Arial"/>
          <w:sz w:val="23"/>
          <w:szCs w:val="23"/>
          <w:color w:val="auto"/>
          <w:vertAlign w:val="superscript"/>
        </w:rPr>
        <w:t>(1)</w:t>
      </w:r>
    </w:p>
    <w:p>
      <w:pPr>
        <w:spacing w:after="0" w:line="46" w:lineRule="exact"/>
        <w:rPr>
          <w:sz w:val="20"/>
          <w:szCs w:val="20"/>
          <w:color w:val="auto"/>
        </w:rPr>
      </w:pPr>
    </w:p>
    <w:p>
      <w:pPr>
        <w:ind w:left="1260" w:right="2140" w:firstLine="180"/>
        <w:spacing w:after="0" w:line="368" w:lineRule="auto"/>
        <w:rPr>
          <w:sz w:val="20"/>
          <w:szCs w:val="20"/>
          <w:color w:val="auto"/>
        </w:rPr>
      </w:pPr>
      <w:r>
        <w:rPr>
          <w:rFonts w:ascii="Arial" w:cs="Arial" w:eastAsia="Arial" w:hAnsi="Arial"/>
          <w:sz w:val="18"/>
          <w:szCs w:val="18"/>
          <w:color w:val="auto"/>
        </w:rPr>
        <w:t>Interest Expense, Net of Amortization of Loan Costs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-251460</wp:posOffset>
            </wp:positionV>
            <wp:extent cx="5212080" cy="19748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3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Annualized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17780</wp:posOffset>
            </wp:positionV>
            <wp:extent cx="5212080" cy="30861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212080" cy="308610"/>
                    </a:xfrm>
                    <a:prstGeom prst="rect">
                      <a:avLst/>
                    </a:prstGeom>
                    <a:noFill/>
                  </pic:spPr>
                </pic:pic>
              </a:graphicData>
            </a:graphic>
          </wp:anchor>
        </w:drawing>
      </w:r>
    </w:p>
    <w:p>
      <w:pPr>
        <w:spacing w:after="0" w:line="16" w:lineRule="exact"/>
        <w:rPr>
          <w:sz w:val="20"/>
          <w:szCs w:val="20"/>
          <w:color w:val="auto"/>
        </w:rPr>
      </w:pPr>
    </w:p>
    <w:p>
      <w:pPr>
        <w:ind w:left="1440"/>
        <w:spacing w:after="0"/>
        <w:rPr>
          <w:sz w:val="20"/>
          <w:szCs w:val="20"/>
          <w:color w:val="auto"/>
        </w:rPr>
      </w:pPr>
      <w:r>
        <w:rPr>
          <w:rFonts w:ascii="Arial" w:cs="Arial" w:eastAsia="Arial" w:hAnsi="Arial"/>
          <w:sz w:val="17"/>
          <w:szCs w:val="17"/>
          <w:color w:val="auto"/>
        </w:rPr>
        <w:t>Pro Forma Annualized Impact of Current Quarter Investments and Dispositions,</w:t>
      </w:r>
    </w:p>
    <w:p>
      <w:pPr>
        <w:ind w:left="1620"/>
        <w:spacing w:after="0" w:line="180" w:lineRule="auto"/>
        <w:rPr>
          <w:sz w:val="20"/>
          <w:szCs w:val="20"/>
          <w:color w:val="auto"/>
        </w:rPr>
      </w:pPr>
      <w:r>
        <w:rPr>
          <w:rFonts w:ascii="Arial" w:cs="Arial" w:eastAsia="Arial" w:hAnsi="Arial"/>
          <w:sz w:val="30"/>
          <w:szCs w:val="30"/>
          <w:color w:val="auto"/>
          <w:vertAlign w:val="subscript"/>
        </w:rPr>
        <w:t>Net</w:t>
      </w:r>
      <w:r>
        <w:rPr>
          <w:rFonts w:ascii="Arial" w:cs="Arial" w:eastAsia="Arial" w:hAnsi="Arial"/>
          <w:sz w:val="11"/>
          <w:szCs w:val="11"/>
          <w:color w:val="auto"/>
        </w:rPr>
        <w:t>(2)</w:t>
      </w:r>
    </w:p>
    <w:p>
      <w:pPr>
        <w:spacing w:after="0" w:line="4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Annualized Preferred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26035</wp:posOffset>
            </wp:positionV>
            <wp:extent cx="5212080" cy="19748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7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Pro Forma Adjusted EBITDA</w:t>
      </w:r>
    </w:p>
    <w:p>
      <w:pPr>
        <w:spacing w:after="0" w:line="19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Total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17780</wp:posOffset>
            </wp:positionV>
            <wp:extent cx="5212080" cy="16256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spacing w:after="0" w:line="30"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Financing Costs, Net of Accumulated Amortization</w:t>
      </w:r>
    </w:p>
    <w:p>
      <w:pPr>
        <w:spacing w:after="0" w:line="50"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17780</wp:posOffset>
            </wp:positionV>
            <wp:extent cx="5212080" cy="18859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212080" cy="188595"/>
                    </a:xfrm>
                    <a:prstGeom prst="rect">
                      <a:avLst/>
                    </a:prstGeom>
                    <a:noFill/>
                  </pic:spPr>
                </pic:pic>
              </a:graphicData>
            </a:graphic>
          </wp:anchor>
        </w:drawing>
      </w:r>
    </w:p>
    <w:p>
      <w:pPr>
        <w:spacing w:after="0" w:line="4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Preferred Outstanding (at par value)</w:t>
      </w:r>
    </w:p>
    <w:p>
      <w:pPr>
        <w:spacing w:after="0" w:line="10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Net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34925</wp:posOffset>
            </wp:positionV>
            <wp:extent cx="5212080" cy="27432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212080" cy="274320"/>
                    </a:xfrm>
                    <a:prstGeom prst="rect">
                      <a:avLst/>
                    </a:prstGeom>
                    <a:noFill/>
                  </pic:spPr>
                </pic:pic>
              </a:graphicData>
            </a:graphic>
          </wp:anchor>
        </w:drawing>
      </w:r>
    </w:p>
    <w:p>
      <w:pPr>
        <w:spacing w:after="0" w:line="20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Net Debt to Pro Forma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111760</wp:posOffset>
            </wp:positionV>
            <wp:extent cx="123444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Three Months</w:t>
      </w:r>
    </w:p>
    <w:p>
      <w:pPr>
        <w:spacing w:after="0" w:line="15" w:lineRule="exact"/>
        <w:rPr>
          <w:sz w:val="20"/>
          <w:szCs w:val="20"/>
          <w:color w:val="auto"/>
        </w:rPr>
      </w:pPr>
    </w:p>
    <w:p>
      <w:pPr>
        <w:ind w:left="480"/>
        <w:spacing w:after="0"/>
        <w:rPr>
          <w:sz w:val="20"/>
          <w:szCs w:val="20"/>
          <w:color w:val="auto"/>
        </w:rPr>
      </w:pPr>
      <w:r>
        <w:rPr>
          <w:rFonts w:ascii="Arial" w:cs="Arial" w:eastAsia="Arial" w:hAnsi="Arial"/>
          <w:sz w:val="14"/>
          <w:szCs w:val="14"/>
          <w:b w:val="1"/>
          <w:bCs w:val="1"/>
          <w:color w:val="auto"/>
        </w:rPr>
        <w:t>Ended</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p>
      <w:pPr>
        <w:ind w:left="560"/>
        <w:spacing w:after="0"/>
        <w:rPr>
          <w:sz w:val="20"/>
          <w:szCs w:val="20"/>
          <w:color w:val="auto"/>
        </w:rPr>
      </w:pPr>
      <w:r>
        <w:rPr>
          <w:rFonts w:ascii="Arial" w:cs="Arial" w:eastAsia="Arial" w:hAnsi="Arial"/>
          <w:sz w:val="14"/>
          <w:szCs w:val="14"/>
          <w:b w:val="1"/>
          <w:bCs w:val="1"/>
          <w:color w:val="auto"/>
        </w:rPr>
        <w:t>2025</w:t>
      </w:r>
    </w:p>
    <w:p>
      <w:pPr>
        <w:spacing w:after="0" w:line="58" w:lineRule="exact"/>
        <w:rPr>
          <w:sz w:val="20"/>
          <w:szCs w:val="20"/>
          <w:color w:val="auto"/>
        </w:rPr>
      </w:pPr>
    </w:p>
    <w:tbl>
      <w:tblPr>
        <w:tblLayout w:type="fixed"/>
        <w:tblInd w:w="320" w:type="dxa"/>
        <w:tblCellMar>
          <w:top w:w="0" w:type="dxa"/>
          <w:left w:w="0" w:type="dxa"/>
          <w:bottom w:w="0" w:type="dxa"/>
          <w:right w:w="0" w:type="dxa"/>
        </w:tblCellMar>
      </w:tblPr>
      <w:tr>
        <w:trPr>
          <w:trHeight w:val="257"/>
        </w:trPr>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28,335</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15,411</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(20,079) ​</w:t>
            </w:r>
          </w:p>
        </w:tc>
      </w:tr>
      <w:tr>
        <w:trPr>
          <w:trHeight w:val="257"/>
        </w:trPr>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(5,919) ​</w:t>
            </w:r>
          </w:p>
        </w:tc>
      </w:tr>
      <w:tr>
        <w:trPr>
          <w:trHeight w:val="257"/>
        </w:trPr>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(1,878) ​</w:t>
            </w:r>
          </w:p>
        </w:tc>
      </w:tr>
      <w:tr>
        <w:trPr>
          <w:trHeight w:val="256"/>
        </w:trPr>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(110) ​</w:t>
            </w:r>
          </w:p>
        </w:tc>
      </w:tr>
      <w:tr>
        <w:trPr>
          <w:trHeight w:val="257"/>
        </w:trPr>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(469) ​</w:t>
            </w:r>
          </w:p>
        </w:tc>
      </w:tr>
      <w:tr>
        <w:trPr>
          <w:trHeight w:val="257"/>
        </w:trPr>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 ​</w:t>
            </w:r>
          </w:p>
        </w:tc>
      </w:tr>
      <w:tr>
        <w:trPr>
          <w:trHeight w:val="257"/>
        </w:trPr>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203</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6"/>
        </w:trPr>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936</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4"/>
        </w:trPr>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(387) ​</w:t>
            </w:r>
          </w:p>
        </w:tc>
      </w:tr>
      <w:tr>
        <w:trPr>
          <w:trHeight w:val="248"/>
        </w:trPr>
        <w:tc>
          <w:tcPr>
            <w:tcW w:w="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6,896</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140" w:type="dxa"/>
            <w:vAlign w:val="bottom"/>
            <w:tcBorders>
              <w:bottom w:val="single" w:sz="8" w:color="auto"/>
            </w:tcBorders>
            <w:gridSpan w:val="2"/>
          </w:tcPr>
          <w:p>
            <w:pPr>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22,938</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
        </w:trPr>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75"/>
        </w:trPr>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91,752</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59"/>
        </w:trPr>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1,816</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6"/>
        </w:trPr>
        <w:tc>
          <w:tcPr>
            <w:tcW w:w="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7,512</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r>
    </w:tbl>
    <w:p>
      <w:pPr>
        <w:ind w:left="320"/>
        <w:spacing w:after="0" w:line="195" w:lineRule="auto"/>
        <w:rPr>
          <w:sz w:val="20"/>
          <w:szCs w:val="20"/>
          <w:color w:val="auto"/>
        </w:rPr>
      </w:pPr>
      <w:r>
        <w:rPr>
          <w:rFonts w:ascii="Arial" w:cs="Arial" w:eastAsia="Arial" w:hAnsi="Arial"/>
          <w:sz w:val="35"/>
          <w:szCs w:val="35"/>
          <w:u w:val="single" w:color="auto"/>
          <w:color w:val="auto"/>
          <w:vertAlign w:val="subscript"/>
        </w:rPr>
        <w:t>​</w:t>
      </w:r>
      <w:r>
        <w:rPr>
          <w:rFonts w:ascii="Arial" w:cs="Arial" w:eastAsia="Arial" w:hAnsi="Arial"/>
          <w:sz w:val="18"/>
          <w:szCs w:val="18"/>
          <w:b w:val="1"/>
          <w:bCs w:val="1"/>
          <w:u w:val="single" w:color="auto"/>
          <w:color w:val="auto"/>
        </w:rPr>
        <w:t>$101,080</w:t>
      </w:r>
      <w:r>
        <w:rPr>
          <w:rFonts w:ascii="Arial" w:cs="Arial" w:eastAsia="Arial" w:hAnsi="Arial"/>
          <w:sz w:val="18"/>
          <w:szCs w:val="18"/>
          <w:b w:val="1"/>
          <w:bCs w:val="1"/>
          <w:color w:val="auto"/>
        </w:rPr>
        <w:t xml:space="preserve"> </w:t>
      </w:r>
      <w:r>
        <w:rPr>
          <w:rFonts w:ascii="Arial" w:cs="Arial" w:eastAsia="Arial" w:hAnsi="Arial"/>
          <w:sz w:val="35"/>
          <w:szCs w:val="35"/>
          <w:color w:val="auto"/>
          <w:vertAlign w:val="subscript"/>
        </w:rPr>
        <w:t>​</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​$616,345</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2,455</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6"/>
        </w:trPr>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(6,467) ​</w:t>
            </w:r>
          </w:p>
        </w:tc>
      </w:tr>
      <w:tr>
        <w:trPr>
          <w:trHeight w:val="253"/>
        </w:trPr>
        <w:tc>
          <w:tcPr>
            <w:tcW w:w="1200" w:type="dxa"/>
            <w:vAlign w:val="bottom"/>
            <w:gridSpan w:val="4"/>
          </w:tcPr>
          <w:p>
            <w:pPr>
              <w:jc w:val="right"/>
              <w:ind w:right="100"/>
              <w:spacing w:after="0" w:line="252"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 xml:space="preserve"> 117,827</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3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320" w:type="dxa"/>
        <w:tblCellMar>
          <w:top w:w="0" w:type="dxa"/>
          <w:left w:w="0" w:type="dxa"/>
          <w:bottom w:w="0" w:type="dxa"/>
          <w:right w:w="0" w:type="dxa"/>
        </w:tblCellMar>
      </w:tblPr>
      <w:tr>
        <w:trPr>
          <w:trHeight w:val="283"/>
        </w:trPr>
        <w:tc>
          <w:tcPr>
            <w:tcW w:w="780" w:type="dxa"/>
            <w:vAlign w:val="bottom"/>
            <w:tcBorders>
              <w:bottom w:val="single" w:sz="8" w:color="auto"/>
            </w:tcBorders>
            <w:gridSpan w:val="3"/>
          </w:tcPr>
          <w:p>
            <w:pPr>
              <w:jc w:val="right"/>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b w:val="1"/>
                <w:bCs w:val="1"/>
                <w:u w:val="single" w:color="auto"/>
                <w:color w:val="auto"/>
              </w:rPr>
              <w:t>$</w:t>
            </w:r>
            <w:r>
              <w:rPr>
                <w:rFonts w:ascii="Arial" w:cs="Arial" w:eastAsia="Arial" w:hAnsi="Arial"/>
                <w:sz w:val="16"/>
                <w:szCs w:val="16"/>
                <w:b w:val="1"/>
                <w:bCs w:val="1"/>
                <w:color w:val="auto"/>
              </w:rPr>
              <w:t>718,550</w:t>
            </w:r>
          </w:p>
        </w:tc>
        <w:tc>
          <w:tcPr>
            <w:tcW w:w="160" w:type="dxa"/>
            <w:vAlign w:val="bottom"/>
          </w:tcPr>
          <w:p>
            <w:pPr>
              <w:ind w:left="10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72"/>
        </w:trPr>
        <w:tc>
          <w:tcPr>
            <w:tcW w:w="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7.1x</w:t>
            </w:r>
          </w:p>
        </w:tc>
        <w:tc>
          <w:tcPr>
            <w:tcW w:w="160" w:type="dxa"/>
            <w:vAlign w:val="bottom"/>
          </w:tcPr>
          <w:p>
            <w:pPr>
              <w:ind w:left="10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660" w:space="600"/>
            <w:col w:w="1619"/>
          </w:cols>
          <w:pgMar w:left="580" w:top="97" w:right="1440" w:bottom="1440" w:gutter="0" w:footer="0" w:header="0"/>
          <w:type w:val="continuous"/>
        </w:sectPr>
      </w:pPr>
    </w:p>
    <w:p>
      <w:pPr>
        <w:spacing w:after="0" w:line="47" w:lineRule="exact"/>
        <w:rPr>
          <w:sz w:val="20"/>
          <w:szCs w:val="20"/>
          <w:color w:val="auto"/>
        </w:rPr>
      </w:pPr>
    </w:p>
    <w:p>
      <w:pPr>
        <w:ind w:left="1620" w:hanging="360"/>
        <w:spacing w:after="0"/>
        <w:tabs>
          <w:tab w:leader="none" w:pos="1620" w:val="left"/>
        </w:tabs>
        <w:numPr>
          <w:ilvl w:val="0"/>
          <w:numId w:val="87"/>
        </w:numPr>
        <w:rPr>
          <w:rFonts w:ascii="Arial" w:cs="Arial" w:eastAsia="Arial" w:hAnsi="Arial"/>
          <w:sz w:val="14"/>
          <w:szCs w:val="14"/>
          <w:color w:val="auto"/>
        </w:rPr>
      </w:pPr>
      <w:r>
        <w:rPr>
          <w:rFonts w:ascii="Arial" w:cs="Arial" w:eastAsia="Arial" w:hAnsi="Arial"/>
          <w:sz w:val="14"/>
          <w:szCs w:val="14"/>
          <w:color w:val="auto"/>
        </w:rPr>
        <w:t>Includes non-recurring items such as termination fees, forfeitures of tenant security deposits, and other non-recurring items.</w:t>
      </w:r>
    </w:p>
    <w:p>
      <w:pPr>
        <w:spacing w:after="0" w:line="95" w:lineRule="exact"/>
        <w:rPr>
          <w:rFonts w:ascii="Arial" w:cs="Arial" w:eastAsia="Arial" w:hAnsi="Arial"/>
          <w:sz w:val="14"/>
          <w:szCs w:val="14"/>
          <w:color w:val="auto"/>
        </w:rPr>
      </w:pPr>
    </w:p>
    <w:p>
      <w:pPr>
        <w:ind w:left="1620" w:right="419" w:hanging="360"/>
        <w:spacing w:after="0" w:line="305" w:lineRule="auto"/>
        <w:tabs>
          <w:tab w:leader="none" w:pos="1620" w:val="left"/>
        </w:tabs>
        <w:numPr>
          <w:ilvl w:val="0"/>
          <w:numId w:val="87"/>
        </w:numPr>
        <w:rPr>
          <w:rFonts w:ascii="Arial" w:cs="Arial" w:eastAsia="Arial" w:hAnsi="Arial"/>
          <w:sz w:val="14"/>
          <w:szCs w:val="14"/>
          <w:color w:val="auto"/>
        </w:rPr>
      </w:pPr>
      <w:r>
        <w:rPr>
          <w:rFonts w:ascii="Arial" w:cs="Arial" w:eastAsia="Arial" w:hAnsi="Arial"/>
          <w:sz w:val="14"/>
          <w:szCs w:val="14"/>
          <w:color w:val="auto"/>
        </w:rPr>
        <w:t>Reflects the pro forma annualized impact on Annualized Adjusted EBITDA of the Company’s investments and disposition activity during the three months ended December 31, 2025.</w:t>
      </w:r>
    </w:p>
    <w:p>
      <w:pPr>
        <w:spacing w:after="0" w:line="22" w:lineRule="exact"/>
        <w:rPr>
          <w:rFonts w:ascii="Arial" w:cs="Arial" w:eastAsia="Arial" w:hAnsi="Arial"/>
          <w:sz w:val="14"/>
          <w:szCs w:val="14"/>
          <w:color w:val="auto"/>
        </w:rPr>
      </w:pPr>
    </w:p>
    <w:p>
      <w:pPr>
        <w:ind w:left="1620" w:hanging="360"/>
        <w:spacing w:after="0"/>
        <w:tabs>
          <w:tab w:leader="none" w:pos="1620" w:val="left"/>
        </w:tabs>
        <w:numPr>
          <w:ilvl w:val="0"/>
          <w:numId w:val="87"/>
        </w:numPr>
        <w:rPr>
          <w:rFonts w:ascii="Arial" w:cs="Arial" w:eastAsia="Arial" w:hAnsi="Arial"/>
          <w:sz w:val="14"/>
          <w:szCs w:val="14"/>
          <w:color w:val="auto"/>
        </w:rPr>
      </w:pPr>
      <w:r>
        <w:rPr>
          <w:rFonts w:ascii="Arial" w:cs="Arial" w:eastAsia="Arial" w:hAnsi="Arial"/>
          <w:sz w:val="14"/>
          <w:szCs w:val="14"/>
          <w:color w:val="auto"/>
        </w:rPr>
        <w:t>Includes only restricted cash held in escrow accounts to be reinvested through the like-kind exchange 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7" w:name="page88"/>
    <w:bookmarkEnd w:id="87"/>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-81280</wp:posOffset>
            </wp:positionV>
            <wp:extent cx="6643370" cy="85979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643370" cy="859790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13335</wp:posOffset>
            </wp:positionV>
            <wp:extent cx="6831965"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8" w:name="page89"/>
    <w:bookmarkEnd w:id="88"/>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9369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31965" cy="8936990"/>
                    </a:xfrm>
                    <a:prstGeom prst="rect">
                      <a:avLst/>
                    </a:prstGeom>
                    <a:noFill/>
                  </pic:spPr>
                </pic:pic>
              </a:graphicData>
            </a:graphic>
          </wp:anchor>
        </w:drawing>
      </w:r>
    </w:p>
    <w:sectPr>
      <w:pgSz w:w="11900" w:h="16838" w:orient="portrait"/>
      <w:cols w:equalWidth="0" w:num="1">
        <w:col w:w="9879"/>
      </w:cols>
      <w:pgMar w:left="580" w:top="9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5A06FB"/>
    <w:multiLevelType w:val="hybridMultilevel"/>
    <w:lvl w:ilvl="0">
      <w:lvlJc w:val="left"/>
      <w:lvlText w:val="☐"/>
      <w:numFmt w:val="bullet"/>
      <w:start w:val="1"/>
    </w:lvl>
  </w:abstractNum>
  <w:abstractNum w:abstractNumId="1">
    <w:nsid w:val="2CD89A32"/>
    <w:multiLevelType w:val="hybridMultilevel"/>
    <w:lvl w:ilvl="0">
      <w:lvlJc w:val="left"/>
      <w:lvlText w:val="☒"/>
      <w:numFmt w:val="bullet"/>
      <w:start w:val="1"/>
    </w:lvl>
  </w:abstractNum>
  <w:abstractNum w:abstractNumId="2">
    <w:nsid w:val="57E4CCAF"/>
    <w:multiLevelType w:val="hybridMultilevel"/>
    <w:lvl w:ilvl="0">
      <w:lvlJc w:val="left"/>
      <w:lvlText w:val="☐"/>
      <w:numFmt w:val="bullet"/>
      <w:start w:val="1"/>
    </w:lvl>
  </w:abstractNum>
  <w:abstractNum w:abstractNumId="3">
    <w:nsid w:val="7A6D8D3C"/>
    <w:multiLevelType w:val="hybridMultilevel"/>
    <w:lvl w:ilvl="0">
      <w:lvlJc w:val="left"/>
      <w:lvlText w:val="☒"/>
      <w:numFmt w:val="bullet"/>
      <w:start w:val="1"/>
    </w:lvl>
  </w:abstractNum>
  <w:abstractNum w:abstractNumId="4">
    <w:nsid w:val="4B588F54"/>
    <w:multiLevelType w:val="hybridMultilevel"/>
    <w:lvl w:ilvl="0">
      <w:lvlJc w:val="left"/>
      <w:lvlText w:val="☐"/>
      <w:numFmt w:val="bullet"/>
      <w:start w:val="1"/>
    </w:lvl>
  </w:abstractNum>
  <w:abstractNum w:abstractNumId="5">
    <w:nsid w:val="542289EC"/>
    <w:multiLevelType w:val="hybridMultilevel"/>
    <w:lvl w:ilvl="0">
      <w:lvlJc w:val="left"/>
      <w:lvlText w:val="%1."/>
      <w:numFmt w:val="decimal"/>
      <w:start w:val="1"/>
    </w:lvl>
  </w:abstractNum>
  <w:abstractNum w:abstractNumId="6">
    <w:nsid w:val="6DE91B18"/>
    <w:multiLevelType w:val="hybridMultilevel"/>
    <w:lvl w:ilvl="0">
      <w:lvlJc w:val="left"/>
      <w:lvlText w:val="(%1)"/>
      <w:numFmt w:val="lowerRoman"/>
      <w:start w:val="2"/>
    </w:lvl>
  </w:abstractNum>
  <w:abstractNum w:abstractNumId="7">
    <w:nsid w:val="38437FDB"/>
    <w:multiLevelType w:val="hybridMultilevel"/>
    <w:lvl w:ilvl="0">
      <w:lvlJc w:val="left"/>
      <w:lvlText w:val="•"/>
      <w:numFmt w:val="bullet"/>
      <w:start w:val="1"/>
    </w:lvl>
  </w:abstractNum>
  <w:abstractNum w:abstractNumId="8">
    <w:nsid w:val="7644A45C"/>
    <w:multiLevelType w:val="hybridMultilevel"/>
    <w:lvl w:ilvl="0">
      <w:lvlJc w:val="left"/>
      <w:lvlText w:val="•"/>
      <w:numFmt w:val="bullet"/>
      <w:start w:val="1"/>
    </w:lvl>
  </w:abstractNum>
  <w:abstractNum w:abstractNumId="9">
    <w:nsid w:val="32FFF902"/>
    <w:multiLevelType w:val="hybridMultilevel"/>
    <w:lvl w:ilvl="0">
      <w:lvlJc w:val="left"/>
      <w:lvlText w:val="(%1)"/>
      <w:numFmt w:val="lowerRoman"/>
      <w:start w:val="2"/>
    </w:lvl>
  </w:abstractNum>
  <w:abstractNum w:abstractNumId="10">
    <w:nsid w:val="684A481A"/>
    <w:multiLevelType w:val="hybridMultilevel"/>
    <w:lvl w:ilvl="0">
      <w:lvlJc w:val="left"/>
      <w:lvlText w:val="(%1)"/>
      <w:numFmt w:val="decimal"/>
      <w:start w:val="1"/>
    </w:lvl>
  </w:abstractNum>
  <w:abstractNum w:abstractNumId="11">
    <w:nsid w:val="579478FE"/>
    <w:multiLevelType w:val="hybridMultilevel"/>
    <w:lvl w:ilvl="0">
      <w:lvlJc w:val="left"/>
      <w:lvlText w:val="•"/>
      <w:numFmt w:val="bullet"/>
      <w:start w:val="1"/>
    </w:lvl>
  </w:abstractNum>
  <w:abstractNum w:abstractNumId="12">
    <w:nsid w:val="749ABB43"/>
    <w:multiLevelType w:val="hybridMultilevel"/>
    <w:lvl w:ilvl="0">
      <w:lvlJc w:val="left"/>
      <w:lvlText w:val="•"/>
      <w:numFmt w:val="bullet"/>
      <w:start w:val="1"/>
    </w:lvl>
  </w:abstractNum>
  <w:abstractNum w:abstractNumId="13">
    <w:nsid w:val="3DC240FB"/>
    <w:multiLevelType w:val="hybridMultilevel"/>
    <w:lvl w:ilvl="0">
      <w:lvlJc w:val="left"/>
      <w:lvlText w:val="•"/>
      <w:numFmt w:val="bullet"/>
      <w:start w:val="1"/>
    </w:lvl>
  </w:abstractNum>
  <w:abstractNum w:abstractNumId="14">
    <w:nsid w:val="1BA026FA"/>
    <w:multiLevelType w:val="hybridMultilevel"/>
    <w:lvl w:ilvl="0">
      <w:lvlJc w:val="left"/>
      <w:lvlText w:val="(%1)"/>
      <w:numFmt w:val="decimal"/>
      <w:start w:val="1"/>
    </w:lvl>
  </w:abstractNum>
  <w:abstractNum w:abstractNumId="15">
    <w:nsid w:val="79A1DEAA"/>
    <w:multiLevelType w:val="hybridMultilevel"/>
    <w:lvl w:ilvl="0">
      <w:lvlJc w:val="left"/>
      <w:lvlText w:val="•"/>
      <w:numFmt w:val="bullet"/>
      <w:start w:val="1"/>
    </w:lvl>
    <w:lvl w:ilvl="1">
      <w:lvlJc w:val="left"/>
      <w:lvlText w:val="◦"/>
      <w:numFmt w:val="bullet"/>
      <w:start w:val="1"/>
    </w:lvl>
  </w:abstractNum>
  <w:abstractNum w:abstractNumId="16">
    <w:nsid w:val="75C6C33A"/>
    <w:multiLevelType w:val="hybridMultilevel"/>
    <w:lvl w:ilvl="0">
      <w:lvlJc w:val="left"/>
      <w:lvlText w:val="◦"/>
      <w:numFmt w:val="bullet"/>
      <w:start w:val="1"/>
    </w:lvl>
  </w:abstractNum>
  <w:abstractNum w:abstractNumId="17">
    <w:nsid w:val="12E685FB"/>
    <w:multiLevelType w:val="hybridMultilevel"/>
    <w:lvl w:ilvl="0">
      <w:lvlJc w:val="left"/>
      <w:lvlText w:val="•"/>
      <w:numFmt w:val="bullet"/>
      <w:start w:val="1"/>
    </w:lvl>
  </w:abstractNum>
  <w:abstractNum w:abstractNumId="18">
    <w:nsid w:val="70C6A529"/>
    <w:multiLevelType w:val="hybridMultilevel"/>
    <w:lvl w:ilvl="0">
      <w:lvlJc w:val="left"/>
      <w:lvlText w:val="*"/>
      <w:numFmt w:val="bullet"/>
      <w:start w:val="1"/>
    </w:lvl>
  </w:abstractNum>
  <w:abstractNum w:abstractNumId="19">
    <w:nsid w:val="520EEDD1"/>
    <w:multiLevelType w:val="hybridMultilevel"/>
    <w:lvl w:ilvl="0">
      <w:lvlJc w:val="left"/>
      <w:lvlText w:val="(%1)"/>
      <w:numFmt w:val="decimal"/>
      <w:start w:val="1"/>
    </w:lvl>
  </w:abstractNum>
  <w:abstractNum w:abstractNumId="20">
    <w:nsid w:val="374A3FE6"/>
    <w:multiLevelType w:val="hybridMultilevel"/>
    <w:lvl w:ilvl="0">
      <w:lvlJc w:val="left"/>
      <w:lvlText w:val="(%1)"/>
      <w:numFmt w:val="decimal"/>
      <w:start w:val="10"/>
    </w:lvl>
  </w:abstractNum>
  <w:abstractNum w:abstractNumId="21">
    <w:nsid w:val="4F4EF005"/>
    <w:multiLevelType w:val="hybridMultilevel"/>
    <w:lvl w:ilvl="0">
      <w:lvlJc w:val="left"/>
      <w:lvlText w:val="•"/>
      <w:numFmt w:val="bullet"/>
      <w:start w:val="1"/>
    </w:lvl>
  </w:abstractNum>
  <w:abstractNum w:abstractNumId="22">
    <w:nsid w:val="23F9C13C"/>
    <w:multiLevelType w:val="hybridMultilevel"/>
    <w:lvl w:ilvl="0">
      <w:lvlJc w:val="left"/>
      <w:lvlText w:val="•"/>
      <w:numFmt w:val="bullet"/>
      <w:start w:val="1"/>
    </w:lvl>
  </w:abstractNum>
  <w:abstractNum w:abstractNumId="23">
    <w:nsid w:val="649BB77C"/>
    <w:multiLevelType w:val="hybridMultilevel"/>
    <w:lvl w:ilvl="0">
      <w:lvlJc w:val="left"/>
      <w:lvlText w:val="•"/>
      <w:numFmt w:val="bullet"/>
      <w:start w:val="1"/>
    </w:lvl>
  </w:abstractNum>
  <w:abstractNum w:abstractNumId="24">
    <w:nsid w:val="275AC794"/>
    <w:multiLevelType w:val="hybridMultilevel"/>
    <w:lvl w:ilvl="0">
      <w:lvlJc w:val="left"/>
      <w:lvlText w:val="•"/>
      <w:numFmt w:val="bullet"/>
      <w:start w:val="1"/>
    </w:lvl>
    <w:lvl w:ilvl="1">
      <w:lvlJc w:val="left"/>
      <w:lvlText w:val="◦"/>
      <w:numFmt w:val="bullet"/>
      <w:start w:val="1"/>
    </w:lvl>
  </w:abstractNum>
  <w:abstractNum w:abstractNumId="25">
    <w:nsid w:val="39386575"/>
    <w:multiLevelType w:val="hybridMultilevel"/>
    <w:lvl w:ilvl="0">
      <w:lvlJc w:val="left"/>
      <w:lvlText w:val="•"/>
      <w:numFmt w:val="bullet"/>
      <w:start w:val="1"/>
    </w:lvl>
  </w:abstractNum>
  <w:abstractNum w:abstractNumId="26">
    <w:nsid w:val="1CF10FD8"/>
    <w:multiLevelType w:val="hybridMultilevel"/>
    <w:lvl w:ilvl="0">
      <w:lvlJc w:val="left"/>
      <w:lvlText w:val="•"/>
      <w:numFmt w:val="bullet"/>
      <w:start w:val="1"/>
    </w:lvl>
  </w:abstractNum>
  <w:abstractNum w:abstractNumId="27">
    <w:nsid w:val="180115BE"/>
    <w:multiLevelType w:val="hybridMultilevel"/>
    <w:lvl w:ilvl="0">
      <w:lvlJc w:val="left"/>
      <w:lvlText w:val="•"/>
      <w:numFmt w:val="bullet"/>
      <w:start w:val="1"/>
    </w:lvl>
  </w:abstractNum>
  <w:abstractNum w:abstractNumId="28">
    <w:nsid w:val="235BA861"/>
    <w:multiLevelType w:val="hybridMultilevel"/>
    <w:lvl w:ilvl="0">
      <w:lvlJc w:val="left"/>
      <w:lvlText w:val="(%1)"/>
      <w:numFmt w:val="lowerRoman"/>
      <w:start w:val="4"/>
    </w:lvl>
  </w:abstractNum>
  <w:abstractNum w:abstractNumId="29">
    <w:nsid w:val="47398C89"/>
    <w:multiLevelType w:val="hybridMultilevel"/>
    <w:lvl w:ilvl="0">
      <w:lvlJc w:val="left"/>
      <w:lvlText w:val="•"/>
      <w:numFmt w:val="bullet"/>
      <w:start w:val="1"/>
    </w:lvl>
  </w:abstractNum>
  <w:abstractNum w:abstractNumId="30">
    <w:nsid w:val="354FE9F9"/>
    <w:multiLevelType w:val="hybridMultilevel"/>
    <w:lvl w:ilvl="0">
      <w:lvlJc w:val="left"/>
      <w:lvlText w:val="•"/>
      <w:numFmt w:val="bullet"/>
      <w:start w:val="1"/>
    </w:lvl>
  </w:abstractNum>
  <w:abstractNum w:abstractNumId="31">
    <w:nsid w:val="15B5AF5C"/>
    <w:multiLevelType w:val="hybridMultilevel"/>
    <w:lvl w:ilvl="0">
      <w:lvlJc w:val="left"/>
      <w:lvlText w:val="•"/>
      <w:numFmt w:val="bullet"/>
      <w:start w:val="1"/>
    </w:lvl>
  </w:abstractNum>
  <w:abstractNum w:abstractNumId="32">
    <w:nsid w:val="741226BB"/>
    <w:multiLevelType w:val="hybridMultilevel"/>
    <w:lvl w:ilvl="0">
      <w:lvlJc w:val="left"/>
      <w:lvlText w:val="•"/>
      <w:numFmt w:val="bullet"/>
      <w:start w:val="1"/>
    </w:lvl>
  </w:abstractNum>
  <w:abstractNum w:abstractNumId="33">
    <w:nsid w:val="D34B6A8"/>
    <w:multiLevelType w:val="hybridMultilevel"/>
    <w:lvl w:ilvl="0">
      <w:lvlJc w:val="left"/>
      <w:lvlText w:val="(%1)"/>
      <w:numFmt w:val="decimal"/>
      <w:start w:val="1"/>
    </w:lvl>
  </w:abstractNum>
  <w:abstractNum w:abstractNumId="34">
    <w:nsid w:val="10233C99"/>
    <w:multiLevelType w:val="hybridMultilevel"/>
    <w:lvl w:ilvl="0">
      <w:lvlJc w:val="left"/>
      <w:lvlText w:val="(%1)"/>
      <w:numFmt w:val="lowerRoman"/>
      <w:start w:val="1"/>
    </w:lvl>
  </w:abstractNum>
  <w:abstractNum w:abstractNumId="35">
    <w:nsid w:val="3F6AB60F"/>
    <w:multiLevelType w:val="hybridMultilevel"/>
    <w:lvl w:ilvl="0">
      <w:lvlJc w:val="left"/>
      <w:lvlText w:val="(%1)"/>
      <w:numFmt w:val="decimal"/>
      <w:start w:val="1"/>
    </w:lvl>
  </w:abstractNum>
  <w:abstractNum w:abstractNumId="36">
    <w:nsid w:val="61574095"/>
    <w:multiLevelType w:val="hybridMultilevel"/>
    <w:lvl w:ilvl="0">
      <w:lvlJc w:val="left"/>
      <w:lvlText w:val="•"/>
      <w:numFmt w:val="bullet"/>
      <w:start w:val="1"/>
    </w:lvl>
  </w:abstractNum>
  <w:abstractNum w:abstractNumId="37">
    <w:nsid w:val="7E0C57B1"/>
    <w:multiLevelType w:val="hybridMultilevel"/>
    <w:lvl w:ilvl="0">
      <w:lvlJc w:val="left"/>
      <w:lvlText w:val="(%1)"/>
      <w:numFmt w:val="lowerRoman"/>
      <w:start w:val="1"/>
    </w:lvl>
  </w:abstractNum>
  <w:abstractNum w:abstractNumId="38">
    <w:nsid w:val="77AE35EB"/>
    <w:multiLevelType w:val="hybridMultilevel"/>
    <w:lvl w:ilvl="0">
      <w:lvlJc w:val="left"/>
      <w:lvlText w:val="(%1)"/>
      <w:numFmt w:val="decimal"/>
      <w:start w:val="1"/>
    </w:lvl>
  </w:abstractNum>
  <w:abstractNum w:abstractNumId="39">
    <w:nsid w:val="579BE4F1"/>
    <w:multiLevelType w:val="hybridMultilevel"/>
    <w:lvl w:ilvl="0">
      <w:lvlJc w:val="left"/>
      <w:lvlText w:val="(%1)"/>
      <w:numFmt w:val="decimal"/>
      <w:start w:val="6"/>
    </w:lvl>
  </w:abstractNum>
  <w:abstractNum w:abstractNumId="40">
    <w:nsid w:val="310C50B3"/>
    <w:multiLevelType w:val="hybridMultilevel"/>
    <w:lvl w:ilvl="0">
      <w:lvlJc w:val="left"/>
      <w:lvlText w:val="(%1)"/>
      <w:numFmt w:val="decimal"/>
      <w:start w:val="1"/>
    </w:lvl>
  </w:abstractNum>
  <w:abstractNum w:abstractNumId="41">
    <w:nsid w:val="5FF87E05"/>
    <w:multiLevelType w:val="hybridMultilevel"/>
    <w:lvl w:ilvl="0">
      <w:lvlJc w:val="left"/>
      <w:lvlText w:val="(%1)"/>
      <w:numFmt w:val="decimal"/>
      <w:start w:val="1"/>
    </w:lvl>
  </w:abstractNum>
  <w:abstractNum w:abstractNumId="42">
    <w:nsid w:val="2F305DEF"/>
    <w:multiLevelType w:val="hybridMultilevel"/>
    <w:lvl w:ilvl="0">
      <w:lvlJc w:val="left"/>
      <w:lvlText w:val="(%1)"/>
      <w:numFmt w:val="decimal"/>
      <w:start w:val="4"/>
    </w:lvl>
  </w:abstractNum>
  <w:abstractNum w:abstractNumId="43">
    <w:nsid w:val="25A70BF7"/>
    <w:multiLevelType w:val="hybridMultilevel"/>
    <w:lvl w:ilvl="0">
      <w:lvlJc w:val="left"/>
      <w:lvlText w:val="(%1)"/>
      <w:numFmt w:val="decimal"/>
      <w:start w:val="1"/>
    </w:lvl>
  </w:abstractNum>
  <w:abstractNum w:abstractNumId="44">
    <w:nsid w:val="1DBABF00"/>
    <w:multiLevelType w:val="hybridMultilevel"/>
    <w:lvl w:ilvl="0">
      <w:lvlJc w:val="left"/>
      <w:lvlText w:val="(%1)"/>
      <w:numFmt w:val="lowerRoman"/>
      <w:start w:val="2"/>
    </w:lvl>
  </w:abstractNum>
  <w:abstractNum w:abstractNumId="45">
    <w:nsid w:val="4AD084E9"/>
    <w:multiLevelType w:val="hybridMultilevel"/>
    <w:lvl w:ilvl="0">
      <w:lvlJc w:val="left"/>
      <w:lvlText w:val="(%1)"/>
      <w:numFmt w:val="lowerRoman"/>
      <w:start w:val="1"/>
    </w:lvl>
  </w:abstractNum>
  <w:abstractNum w:abstractNumId="46">
    <w:nsid w:val="1F48EAA1"/>
    <w:multiLevelType w:val="hybridMultilevel"/>
    <w:lvl w:ilvl="0">
      <w:lvlJc w:val="left"/>
      <w:lvlText w:val="•"/>
      <w:numFmt w:val="bullet"/>
      <w:start w:val="1"/>
    </w:lvl>
  </w:abstractNum>
  <w:abstractNum w:abstractNumId="47">
    <w:nsid w:val="1381823A"/>
    <w:multiLevelType w:val="hybridMultilevel"/>
    <w:lvl w:ilvl="0">
      <w:lvlJc w:val="left"/>
      <w:lvlText w:val="(%1)"/>
      <w:numFmt w:val="lowerRoman"/>
      <w:start w:val="2"/>
    </w:lvl>
  </w:abstractNum>
  <w:abstractNum w:abstractNumId="48">
    <w:nsid w:val="5DB70AE5"/>
    <w:multiLevelType w:val="hybridMultilevel"/>
    <w:lvl w:ilvl="0">
      <w:lvlJc w:val="left"/>
      <w:lvlText w:val="•"/>
      <w:numFmt w:val="bullet"/>
      <w:start w:val="1"/>
    </w:lvl>
  </w:abstractNum>
  <w:abstractNum w:abstractNumId="49">
    <w:nsid w:val="100F8FCA"/>
    <w:multiLevelType w:val="hybridMultilevel"/>
    <w:lvl w:ilvl="0">
      <w:lvlJc w:val="left"/>
      <w:lvlText w:val="(%1)"/>
      <w:numFmt w:val="decimal"/>
      <w:start w:val="1"/>
    </w:lvl>
  </w:abstractNum>
  <w:abstractNum w:abstractNumId="50">
    <w:nsid w:val="6590700B"/>
    <w:multiLevelType w:val="hybridMultilevel"/>
    <w:lvl w:ilvl="0">
      <w:lvlJc w:val="left"/>
      <w:lvlText w:val="(%1)"/>
      <w:numFmt w:val="decimal"/>
      <w:start w:val="2"/>
    </w:lvl>
  </w:abstractNum>
  <w:abstractNum w:abstractNumId="51">
    <w:nsid w:val="15014ACB"/>
    <w:multiLevelType w:val="hybridMultilevel"/>
    <w:lvl w:ilvl="0">
      <w:lvlJc w:val="left"/>
      <w:lvlText w:val="(%1)"/>
      <w:numFmt w:val="decimal"/>
      <w:start w:val="1"/>
    </w:lvl>
  </w:abstractNum>
  <w:abstractNum w:abstractNumId="52">
    <w:nsid w:val="5F5E7FD0"/>
    <w:multiLevelType w:val="hybridMultilevel"/>
    <w:lvl w:ilvl="0">
      <w:lvlJc w:val="left"/>
      <w:lvlText w:val="(%1)"/>
      <w:numFmt w:val="decimal"/>
      <w:start w:val="2"/>
    </w:lvl>
  </w:abstractNum>
  <w:abstractNum w:abstractNumId="53">
    <w:nsid w:val="98A3148"/>
    <w:multiLevelType w:val="hybridMultilevel"/>
    <w:lvl w:ilvl="0">
      <w:lvlJc w:val="left"/>
      <w:lvlText w:val="(%1)"/>
      <w:numFmt w:val="decimal"/>
      <w:start w:val="3"/>
    </w:lvl>
  </w:abstractNum>
  <w:abstractNum w:abstractNumId="54">
    <w:nsid w:val="799D0247"/>
    <w:multiLevelType w:val="hybridMultilevel"/>
    <w:lvl w:ilvl="0">
      <w:lvlJc w:val="left"/>
      <w:lvlText w:val="(%1)"/>
      <w:numFmt w:val="lowerRoman"/>
      <w:start w:val="1"/>
    </w:lvl>
  </w:abstractNum>
  <w:abstractNum w:abstractNumId="55">
    <w:nsid w:val="6B94764"/>
    <w:multiLevelType w:val="hybridMultilevel"/>
    <w:lvl w:ilvl="0">
      <w:lvlJc w:val="left"/>
      <w:lvlText w:val="•"/>
      <w:numFmt w:val="bullet"/>
      <w:start w:val="1"/>
    </w:lvl>
  </w:abstractNum>
  <w:abstractNum w:abstractNumId="56">
    <w:nsid w:val="42C296BD"/>
    <w:multiLevelType w:val="hybridMultilevel"/>
    <w:lvl w:ilvl="0">
      <w:lvlJc w:val="left"/>
      <w:lvlText w:val="(%1)"/>
      <w:numFmt w:val="decimal"/>
      <w:start w:val="1"/>
    </w:lvl>
  </w:abstractNum>
  <w:abstractNum w:abstractNumId="57">
    <w:nsid w:val="168E121F"/>
    <w:multiLevelType w:val="hybridMultilevel"/>
    <w:lvl w:ilvl="0">
      <w:lvlJc w:val="left"/>
      <w:lvlText w:val="(%1)"/>
      <w:numFmt w:val="decimal"/>
      <w:start w:val="1"/>
    </w:lvl>
  </w:abstractNum>
  <w:abstractNum w:abstractNumId="58">
    <w:nsid w:val="1EBA5D23"/>
    <w:multiLevelType w:val="hybridMultilevel"/>
    <w:lvl w:ilvl="0">
      <w:lvlJc w:val="left"/>
      <w:lvlText w:val="•"/>
      <w:numFmt w:val="bullet"/>
      <w:start w:val="1"/>
    </w:lvl>
  </w:abstractNum>
  <w:abstractNum w:abstractNumId="59">
    <w:nsid w:val="661E3F1E"/>
    <w:multiLevelType w:val="hybridMultilevel"/>
    <w:lvl w:ilvl="0">
      <w:lvlJc w:val="left"/>
      <w:lvlText w:val="•"/>
      <w:numFmt w:val="bullet"/>
      <w:start w:val="1"/>
    </w:lvl>
  </w:abstractNum>
  <w:abstractNum w:abstractNumId="60">
    <w:nsid w:val="5DC79EA8"/>
    <w:multiLevelType w:val="hybridMultilevel"/>
    <w:lvl w:ilvl="0">
      <w:lvlJc w:val="left"/>
      <w:lvlText w:val="•"/>
      <w:numFmt w:val="bullet"/>
      <w:start w:val="1"/>
    </w:lvl>
  </w:abstractNum>
  <w:abstractNum w:abstractNumId="61">
    <w:nsid w:val="540A471C"/>
    <w:multiLevelType w:val="hybridMultilevel"/>
    <w:lvl w:ilvl="0">
      <w:lvlJc w:val="left"/>
      <w:lvlText w:val="(%1)"/>
      <w:numFmt w:val="decimal"/>
      <w:start w:val="1"/>
    </w:lvl>
  </w:abstractNum>
  <w:abstractNum w:abstractNumId="62">
    <w:nsid w:val="7BD3EE7B"/>
    <w:multiLevelType w:val="hybridMultilevel"/>
    <w:lvl w:ilvl="0">
      <w:lvlJc w:val="left"/>
      <w:lvlText w:val="•"/>
      <w:numFmt w:val="bullet"/>
      <w:start w:val="1"/>
    </w:lvl>
  </w:abstractNum>
  <w:abstractNum w:abstractNumId="63">
    <w:nsid w:val="51D9C564"/>
    <w:multiLevelType w:val="hybridMultilevel"/>
    <w:lvl w:ilvl="0">
      <w:lvlJc w:val="left"/>
      <w:lvlText w:val="•"/>
      <w:numFmt w:val="bullet"/>
      <w:start w:val="1"/>
    </w:lvl>
  </w:abstractNum>
  <w:abstractNum w:abstractNumId="64">
    <w:nsid w:val="613EFDC5"/>
    <w:multiLevelType w:val="hybridMultilevel"/>
    <w:lvl w:ilvl="0">
      <w:lvlJc w:val="left"/>
      <w:lvlText w:val="(%1)"/>
      <w:numFmt w:val="lowerRoman"/>
      <w:start w:val="2"/>
    </w:lvl>
  </w:abstractNum>
  <w:abstractNum w:abstractNumId="65">
    <w:nsid w:val="BF72B14"/>
    <w:multiLevelType w:val="hybridMultilevel"/>
    <w:lvl w:ilvl="0">
      <w:lvlJc w:val="left"/>
      <w:lvlText w:val="(%1)"/>
      <w:numFmt w:val="decimal"/>
      <w:start w:val="1"/>
    </w:lvl>
  </w:abstractNum>
  <w:abstractNum w:abstractNumId="66">
    <w:nsid w:val="11447B73"/>
    <w:multiLevelType w:val="hybridMultilevel"/>
    <w:lvl w:ilvl="0">
      <w:lvlJc w:val="left"/>
      <w:lvlText w:val="•"/>
      <w:numFmt w:val="bullet"/>
      <w:start w:val="1"/>
    </w:lvl>
  </w:abstractNum>
  <w:abstractNum w:abstractNumId="67">
    <w:nsid w:val="42963E5A"/>
    <w:multiLevelType w:val="hybridMultilevel"/>
    <w:lvl w:ilvl="0">
      <w:lvlJc w:val="left"/>
      <w:lvlText w:val="%1."/>
      <w:numFmt w:val="decimal"/>
      <w:start w:val="1"/>
    </w:lvl>
    <w:lvl w:ilvl="1">
      <w:lvlJc w:val="left"/>
      <w:lvlText w:val="(%2)"/>
      <w:numFmt w:val="lowerLetter"/>
      <w:start w:val="35"/>
    </w:lvl>
    <w:lvl w:ilvl="2">
      <w:lvlJc w:val="left"/>
      <w:lvlText w:val="%3"/>
      <w:numFmt w:val="decimal"/>
      <w:start w:val="1"/>
    </w:lvl>
    <w:lvl w:ilvl="3">
      <w:lvlJc w:val="left"/>
      <w:lvlText w:val="%4"/>
      <w:numFmt w:val="lowerLetter"/>
      <w:start w:val="1"/>
    </w:lvl>
  </w:abstractNum>
  <w:abstractNum w:abstractNumId="68">
    <w:nsid w:val="A0382C5"/>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lvl w:ilvl="3">
      <w:lvlJc w:val="left"/>
      <w:lvlText w:val="%4."/>
      <w:numFmt w:val="lowerLetter"/>
      <w:start w:val="1"/>
    </w:lvl>
  </w:abstractNum>
  <w:abstractNum w:abstractNumId="69">
    <w:nsid w:val="8F2B15E"/>
    <w:multiLevelType w:val="hybridMultilevel"/>
    <w:lvl w:ilvl="0">
      <w:lvlJc w:val="left"/>
      <w:lvlText w:val="(%1)"/>
      <w:numFmt w:val="lowerLetter"/>
      <w:start w:val="7"/>
    </w:lvl>
    <w:lvl w:ilvl="1">
      <w:lvlJc w:val="left"/>
      <w:lvlText w:val="(%2)"/>
      <w:numFmt w:val="decimal"/>
      <w:start w:val="1"/>
    </w:lvl>
  </w:abstractNum>
  <w:abstractNum w:abstractNumId="70">
    <w:nsid w:val="1A32234B"/>
    <w:multiLevelType w:val="hybridMultilevel"/>
    <w:lvl w:ilvl="0">
      <w:lvlJc w:val="left"/>
      <w:lvlText w:val="(%1)"/>
      <w:numFmt w:val="decimal"/>
      <w:start w:val="3"/>
    </w:lvl>
  </w:abstractNum>
  <w:abstractNum w:abstractNumId="71">
    <w:nsid w:val="3B0FD379"/>
    <w:multiLevelType w:val="hybridMultilevel"/>
    <w:lvl w:ilvl="0">
      <w:lvlJc w:val="left"/>
      <w:lvlText w:val="(%1)"/>
      <w:numFmt w:val="lowerLetter"/>
      <w:start w:val="21"/>
    </w:lvl>
  </w:abstractNum>
  <w:abstractNum w:abstractNumId="72">
    <w:nsid w:val="68EB2F63"/>
    <w:multiLevelType w:val="hybridMultilevel"/>
    <w:lvl w:ilvl="0">
      <w:lvlJc w:val="left"/>
      <w:lvlText w:val="%1"/>
      <w:numFmt w:val="decimal"/>
      <w:start w:val="1"/>
    </w:lvl>
    <w:lvl w:ilvl="1">
      <w:lvlJc w:val="left"/>
      <w:lvlText w:val="(%2)"/>
      <w:numFmt w:val="lowerLetter"/>
      <w:start w:val="27"/>
    </w:lvl>
  </w:abstractNum>
  <w:abstractNum w:abstractNumId="73">
    <w:nsid w:val="4962813B"/>
    <w:multiLevelType w:val="hybridMultilevel"/>
    <w:lvl w:ilvl="0">
      <w:lvlJc w:val="left"/>
      <w:lvlText w:val="%1."/>
      <w:numFmt w:val="decimal"/>
      <w:start w:val="3"/>
    </w:lvl>
    <w:lvl w:ilvl="1">
      <w:lvlJc w:val="left"/>
      <w:lvlText w:val="(%2)"/>
      <w:numFmt w:val="lowerLetter"/>
      <w:start w:val="1"/>
    </w:lvl>
  </w:abstractNum>
  <w:abstractNum w:abstractNumId="74">
    <w:nsid w:val="60B6DF70"/>
    <w:multiLevelType w:val="hybridMultilevel"/>
    <w:lvl w:ilvl="0">
      <w:lvlJc w:val="left"/>
      <w:lvlText w:val="(%1)"/>
      <w:numFmt w:val="lowerLetter"/>
      <w:start w:val="1"/>
    </w:lvl>
  </w:abstractNum>
  <w:abstractNum w:abstractNumId="75">
    <w:nsid w:val="6A5EE64"/>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35"/>
    </w:lvl>
  </w:abstractNum>
  <w:abstractNum w:abstractNumId="76">
    <w:nsid w:val="14330624"/>
    <w:multiLevelType w:val="hybridMultilevel"/>
    <w:lvl w:ilvl="0">
      <w:lvlJc w:val="left"/>
      <w:lvlText w:val="%1"/>
      <w:numFmt w:val="decimal"/>
      <w:start w:val="1"/>
    </w:lvl>
    <w:lvl w:ilvl="1">
      <w:lvlJc w:val="left"/>
      <w:lvlText w:val="(%2)"/>
      <w:numFmt w:val="lowerLetter"/>
      <w:start w:val="4"/>
    </w:lvl>
  </w:abstractNum>
  <w:abstractNum w:abstractNumId="77">
    <w:nsid w:val="7FFFCA11"/>
    <w:multiLevelType w:val="hybridMultilevel"/>
    <w:lvl w:ilvl="0">
      <w:lvlJc w:val="left"/>
      <w:lvlText w:val="%1."/>
      <w:numFmt w:val="decimal"/>
      <w:start w:val="6"/>
    </w:lvl>
    <w:lvl w:ilvl="1">
      <w:lvlJc w:val="left"/>
      <w:lvlText w:val="(%2)"/>
      <w:numFmt w:val="lowerLetter"/>
      <w:start w:val="1"/>
    </w:lvl>
  </w:abstractNum>
  <w:abstractNum w:abstractNumId="78">
    <w:nsid w:val="1A27709E"/>
    <w:multiLevelType w:val="hybridMultilevel"/>
    <w:lvl w:ilvl="0">
      <w:lvlJc w:val="left"/>
      <w:lvlText w:val="%1"/>
      <w:numFmt w:val="decimal"/>
      <w:start w:val="1"/>
    </w:lvl>
    <w:lvl w:ilvl="1">
      <w:lvlJc w:val="left"/>
      <w:lvlText w:val="(%2)"/>
      <w:numFmt w:val="lowerLetter"/>
      <w:start w:val="2"/>
    </w:lvl>
  </w:abstractNum>
  <w:abstractNum w:abstractNumId="79">
    <w:nsid w:val="71EA1109"/>
    <w:multiLevelType w:val="hybridMultilevel"/>
    <w:lvl w:ilvl="0">
      <w:lvlJc w:val="left"/>
      <w:lvlText w:val="%1."/>
      <w:numFmt w:val="decimal"/>
      <w:start w:val="8"/>
    </w:lvl>
    <w:lvl w:ilvl="1">
      <w:lvlJc w:val="left"/>
      <w:lvlText w:val="(%2)"/>
      <w:numFmt w:val="lowerLetter"/>
      <w:start w:val="1"/>
    </w:lvl>
  </w:abstractNum>
  <w:abstractNum w:abstractNumId="80">
    <w:nsid w:val="100F59DC"/>
    <w:multiLevelType w:val="hybridMultilevel"/>
    <w:lvl w:ilvl="0">
      <w:lvlJc w:val="left"/>
      <w:lvlText w:val="%1"/>
      <w:numFmt w:val="decimal"/>
      <w:start w:val="1"/>
    </w:lvl>
    <w:lvl w:ilvl="1">
      <w:lvlJc w:val="left"/>
      <w:lvlText w:val="(%2)"/>
      <w:numFmt w:val="lowerLetter"/>
      <w:start w:val="2"/>
    </w:lvl>
  </w:abstractNum>
  <w:abstractNum w:abstractNumId="81">
    <w:nsid w:val="7FB7E0AA"/>
    <w:multiLevelType w:val="hybridMultilevel"/>
    <w:lvl w:ilvl="0">
      <w:lvlJc w:val="left"/>
      <w:lvlText w:val="%1."/>
      <w:numFmt w:val="decimal"/>
      <w:start w:val="9"/>
    </w:lvl>
    <w:lvl w:ilvl="1">
      <w:lvlJc w:val="left"/>
      <w:lvlText w:val="%2"/>
      <w:numFmt w:val="lowerLetter"/>
      <w:start w:val="1"/>
    </w:lvl>
  </w:abstractNum>
  <w:abstractNum w:abstractNumId="82">
    <w:nsid w:val="6EB5BD4"/>
    <w:multiLevelType w:val="hybridMultilevel"/>
    <w:lvl w:ilvl="0">
      <w:lvlJc w:val="left"/>
      <w:lvlText w:val="%1."/>
      <w:numFmt w:val="decimal"/>
      <w:start w:val="12"/>
    </w:lvl>
    <w:lvl w:ilvl="1">
      <w:lvlJc w:val="left"/>
      <w:lvlText w:val="(%2)"/>
      <w:numFmt w:val="lowerLetter"/>
      <w:start w:val="1"/>
    </w:lvl>
  </w:abstractNum>
  <w:abstractNum w:abstractNumId="83">
    <w:nsid w:val="6F6DD9AC"/>
    <w:multiLevelType w:val="hybridMultilevel"/>
    <w:lvl w:ilvl="0">
      <w:lvlJc w:val="left"/>
      <w:lvlText w:val="%1"/>
      <w:numFmt w:val="decimal"/>
      <w:start w:val="1"/>
    </w:lvl>
    <w:lvl w:ilvl="1">
      <w:lvlJc w:val="left"/>
      <w:lvlText w:val="(%2)"/>
      <w:numFmt w:val="lowerLetter"/>
      <w:start w:val="2"/>
    </w:lvl>
  </w:abstractNum>
  <w:abstractNum w:abstractNumId="84">
    <w:nsid w:val="94211F2"/>
    <w:multiLevelType w:val="hybridMultilevel"/>
    <w:lvl w:ilvl="0">
      <w:lvlJc w:val="left"/>
      <w:lvlText w:val="%1."/>
      <w:numFmt w:val="decimal"/>
      <w:start w:val="18"/>
    </w:lvl>
    <w:lvl w:ilvl="1">
      <w:lvlJc w:val="left"/>
      <w:lvlText w:val="%2"/>
      <w:numFmt w:val="lowerLetter"/>
      <w:start w:val="1"/>
    </w:lvl>
  </w:abstractNum>
  <w:abstractNum w:abstractNumId="85">
    <w:nsid w:val="885E1B"/>
    <w:multiLevelType w:val="hybridMultilevel"/>
    <w:lvl w:ilvl="0">
      <w:lvlJc w:val="left"/>
      <w:lvlText w:val="(%1)"/>
      <w:numFmt w:val="decimal"/>
      <w:start w:val="1"/>
    </w:lvl>
  </w:abstractNum>
  <w:abstractNum w:abstractNumId="86">
    <w:nsid w:val="7627211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jpeg"/><Relationship Id="rId256" Type="http://schemas.openxmlformats.org/officeDocument/2006/relationships/image" Target="media/image249.png"/><Relationship Id="rId257" Type="http://schemas.openxmlformats.org/officeDocument/2006/relationships/image" Target="media/image2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2026-04-28T16:44:53Z</dcterms:created>
  <dcterms:modified xsi:type="dcterms:W3CDTF">2026-04-28T16:44:53Z</dcterms:modified>
</cp:coreProperties>
</file>