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cto-20260630x10q.htm"/>
        <w:bookmarkStart w:id="1" w:name="kscto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8" w:space="1" w:color="000000"/>
        </w:pBdr>
        <w:bidi w:val="0"/>
        <w:spacing w:before="0" w:after="0"/>
        <w:ind w:left="0" w:right="0" w:hanging="0"/>
        <w:jc w:val="center"/>
        <w:rPr>
          <w:bdr w:val="single" w:sz="24" w:space="1" w:color="000000"/>
        </w:rPr>
      </w:pPr>
      <w:r>
        <w:rPr>
          <w:bdr w:val="single" w:sz="24" w:space="1" w:color="000000"/>
        </w:rPr>
        <w:t>​</w:t>
      </w:r>
    </w:p>
    <w:p>
      <w:pPr>
        <w:pStyle w:val="TextBody"/>
        <w:bidi w:val="0"/>
        <w:spacing w:lineRule="auto" w:line="283" w:before="0" w:after="0"/>
        <w:ind w:left="0" w:right="0" w:firstLine="90"/>
        <w:jc w:val="center"/>
        <w:rPr>
          <w:rFonts w:ascii="Times New Roman;Times;serif" w:hAnsi="Times New Roman;Times;serif"/>
          <w:b/>
          <w:sz w:val="32"/>
        </w:rPr>
      </w:pPr>
      <w:bookmarkStart w:id="2" w:name="_df1a67ae_a948_4f3c_a572_495a6ec29d12"/>
      <w:bookmarkEnd w:id="2"/>
      <w:r>
        <w:rPr>
          <w:rFonts w:ascii="Times New Roman;Times;serif" w:hAnsi="Times New Roman;Times;serif"/>
          <w:b/>
          <w:sz w:val="32"/>
        </w:rPr>
        <w:t>UNITED STATES</w:t>
      </w:r>
    </w:p>
    <w:p>
      <w:pPr>
        <w:pStyle w:val="TextBody"/>
        <w:bidi w:val="0"/>
        <w:spacing w:lineRule="auto" w:line="283"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lineRule="auto" w:line="283"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lineRule="auto" w:line="283" w:before="0" w:after="0"/>
              <w:jc w:val="left"/>
              <w:rPr/>
            </w:pPr>
            <w:r>
              <w:rPr/>
              <w:t>☒</w:t>
            </w:r>
          </w:p>
        </w:tc>
        <w:tc>
          <w:tcPr>
            <w:tcW w:w="9874" w:type="dxa"/>
            <w:tcBorders/>
            <w:vAlign w:val="center"/>
          </w:tcPr>
          <w:p>
            <w:pPr>
              <w:pStyle w:val="TableContents"/>
              <w:bidi w:val="0"/>
              <w:spacing w:lineRule="auto" w:line="283" w:before="0" w:after="0"/>
              <w:jc w:val="left"/>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June 30, 2026</w:t>
      </w:r>
    </w:p>
    <w:p>
      <w:pPr>
        <w:pStyle w:val="TextBody"/>
        <w:bidi w:val="0"/>
        <w:spacing w:lineRule="auto" w:line="283" w:before="0" w:after="0"/>
        <w:ind w:left="0" w:right="0" w:hanging="0"/>
        <w:jc w:val="left"/>
        <w:rPr>
          <w:rFonts w:ascii="Times New Roman;Times;serif" w:hAnsi="Times New Roman;Times;serif"/>
          <w:b/>
          <w:sz w:val="18"/>
        </w:rPr>
      </w:pPr>
      <w:r>
        <w:rPr>
          <w:rFonts w:ascii="Times New Roman;Times;serif" w:hAnsi="Times New Roman;Times;serif"/>
          <w:b/>
          <w:sz w:val="18"/>
        </w:rPr>
        <w:t>OR</w:t>
      </w:r>
    </w:p>
    <w:p>
      <w:pPr>
        <w:pStyle w:val="TextBody"/>
        <w:bidi w:val="0"/>
        <w:spacing w:lineRule="auto" w:line="283"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lineRule="auto" w:line="283" w:before="0" w:after="0"/>
              <w:jc w:val="left"/>
              <w:rPr/>
            </w:pPr>
            <w:r>
              <w:rPr/>
              <w:t>☐</w:t>
            </w:r>
          </w:p>
        </w:tc>
        <w:tc>
          <w:tcPr>
            <w:tcW w:w="9874" w:type="dxa"/>
            <w:tcBorders/>
            <w:vAlign w:val="center"/>
          </w:tcPr>
          <w:p>
            <w:pPr>
              <w:pStyle w:val="TableContents"/>
              <w:bidi w:val="0"/>
              <w:spacing w:lineRule="auto" w:line="283" w:before="0" w:after="0"/>
              <w:jc w:val="left"/>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rFonts w:ascii="Times New Roman;Times;serif" w:hAnsi="Times New Roman;Times;serif"/>
          <w:sz w:val="18"/>
        </w:rPr>
      </w:pPr>
      <w:r>
        <w:rPr>
          <w:rFonts w:ascii="Times New Roman;Times;serif" w:hAnsi="Times New Roman;Times;serif"/>
          <w:b/>
          <w:sz w:val="18"/>
        </w:rPr>
        <w:t xml:space="preserve">For the transition period from </w:t>
      </w:r>
      <w:r>
        <w:rPr>
          <w:rFonts w:ascii="Times New Roman;Times;serif" w:hAnsi="Times New Roman;Times;serif"/>
          <w:sz w:val="18"/>
        </w:rPr>
        <w:t xml:space="preserve">                     </w:t>
      </w:r>
      <w:r>
        <w:rPr>
          <w:rFonts w:ascii="Times New Roman;Times;serif" w:hAnsi="Times New Roman;Times;serif"/>
          <w:b/>
          <w:sz w:val="18"/>
        </w:rPr>
        <w:t xml:space="preserve">to </w:t>
      </w:r>
      <w:r>
        <w:rPr>
          <w:rFonts w:ascii="Times New Roman;Times;serif" w:hAnsi="Times New Roman;Times;serif"/>
          <w:sz w:val="18"/>
        </w:rPr>
        <w:t>                    </w:t>
      </w:r>
    </w:p>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001-11350</w:t>
      </w:r>
    </w:p>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rFonts w:ascii="Times New Roman;Times;serif" w:hAnsi="Times New Roman;Times;serif"/>
          <w:b/>
          <w:sz w:val="44"/>
        </w:rPr>
      </w:pPr>
      <w:r>
        <w:rPr>
          <w:rFonts w:ascii="Times New Roman;Times;serif" w:hAnsi="Times New Roman;Times;serif"/>
          <w:b/>
          <w:sz w:val="44"/>
        </w:rPr>
        <w:t>CTO REALTY GROWTH, INC.</w:t>
      </w:r>
    </w:p>
    <w:p>
      <w:pPr>
        <w:pStyle w:val="TextBody"/>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pPr>
      <w:r>
        <w:rPr/>
        <w:t>​</w:t>
      </w:r>
    </w:p>
    <w:p>
      <w:pPr>
        <w:pStyle w:val="Normal"/>
        <w:bidi w:val="0"/>
        <w:spacing w:before="0" w:after="0"/>
        <w:jc w:val="left"/>
        <w:rPr>
          <w:sz w:val="4"/>
          <w:szCs w:val="4"/>
        </w:rPr>
      </w:pPr>
      <w:r>
        <w:rPr>
          <w:sz w:val="4"/>
          <w:szCs w:val="4"/>
        </w:rPr>
      </w:r>
      <w:bookmarkStart w:id="3" w:name="Tc_MGmKPEtBPkq79ZPWvIp9fQ_7_2"/>
      <w:bookmarkStart w:id="4" w:name="Tc_RGhBefEn1UW0dxCg1dY_2g_7_0"/>
      <w:bookmarkStart w:id="5" w:name="Tc_n6rTNpew30-st5zRRlOtKQ_6_0"/>
      <w:bookmarkStart w:id="6" w:name="Tc_a7C5evur4kuP7ZCnIYkUEA_5_0"/>
      <w:bookmarkStart w:id="7" w:name="Tc_aDPYMd7yw0S9xIhC4KQPAw_3_2"/>
      <w:bookmarkStart w:id="8" w:name="Tc_rxz_h131uku2i2O6dlWMMw_3_0"/>
      <w:bookmarkStart w:id="9" w:name="Tc_7__OrMa3AEy4ZtI-wmfQBA_2_2"/>
      <w:bookmarkStart w:id="10" w:name="Tc_ph3pscw-JUy4p1Lb-qvMCA_2_0"/>
      <w:bookmarkStart w:id="11" w:name="_e7f04234_4853_40af_8d15_bacdf7a29870"/>
      <w:bookmarkStart w:id="12" w:name="Tc_MGmKPEtBPkq79ZPWvIp9fQ_7_2"/>
      <w:bookmarkStart w:id="13" w:name="Tc_RGhBefEn1UW0dxCg1dY_2g_7_0"/>
      <w:bookmarkStart w:id="14" w:name="Tc_n6rTNpew30-st5zRRlOtKQ_6_0"/>
      <w:bookmarkStart w:id="15" w:name="Tc_a7C5evur4kuP7ZCnIYkUEA_5_0"/>
      <w:bookmarkStart w:id="16" w:name="Tc_aDPYMd7yw0S9xIhC4KQPAw_3_2"/>
      <w:bookmarkStart w:id="17" w:name="Tc_rxz_h131uku2i2O6dlWMMw_3_0"/>
      <w:bookmarkStart w:id="18" w:name="Tc_7__OrMa3AEy4ZtI-wmfQBA_2_2"/>
      <w:bookmarkStart w:id="19" w:name="Tc_ph3pscw-JUy4p1Lb-qvMCA_2_0"/>
      <w:bookmarkStart w:id="20" w:name="_e7f04234_4853_40af_8d15_bacdf7a29870"/>
      <w:bookmarkEnd w:id="12"/>
      <w:bookmarkEnd w:id="13"/>
      <w:bookmarkEnd w:id="14"/>
      <w:bookmarkEnd w:id="15"/>
      <w:bookmarkEnd w:id="16"/>
      <w:bookmarkEnd w:id="17"/>
      <w:bookmarkEnd w:id="18"/>
      <w:bookmarkEnd w:id="19"/>
      <w:bookmarkEnd w:id="20"/>
    </w:p>
    <w:tbl>
      <w:tblPr>
        <w:tblW w:w="4983" w:type="dxa"/>
        <w:jc w:val="left"/>
        <w:tblInd w:w="0" w:type="dxa"/>
        <w:tblLayout w:type="fixed"/>
        <w:tblCellMar>
          <w:top w:w="0" w:type="dxa"/>
          <w:left w:w="0" w:type="dxa"/>
          <w:bottom w:w="0" w:type="dxa"/>
          <w:right w:w="0" w:type="dxa"/>
        </w:tblCellMar>
      </w:tblPr>
      <w:tblGrid>
        <w:gridCol w:w="3076"/>
        <w:gridCol w:w="346"/>
        <w:gridCol w:w="1561"/>
      </w:tblGrid>
      <w:tr>
        <w:trPr/>
        <w:tc>
          <w:tcPr>
            <w:tcW w:w="3076" w:type="dxa"/>
            <w:tcBorders/>
            <w:vAlign w:val="center"/>
          </w:tcPr>
          <w:p>
            <w:pPr>
              <w:pStyle w:val="TableContents"/>
              <w:bidi w:val="0"/>
              <w:spacing w:lineRule="auto" w:line="283" w:before="0" w:after="0"/>
              <w:ind w:left="0" w:right="0" w:hanging="0"/>
              <w:jc w:val="left"/>
              <w:rPr/>
            </w:pPr>
            <w:r>
              <w:rPr/>
              <w:t>​</w:t>
            </w:r>
          </w:p>
        </w:tc>
        <w:tc>
          <w:tcPr>
            <w:tcW w:w="346" w:type="dxa"/>
            <w:tcBorders/>
            <w:vAlign w:val="center"/>
          </w:tcPr>
          <w:p>
            <w:pPr>
              <w:pStyle w:val="TableContents"/>
              <w:bidi w:val="0"/>
              <w:spacing w:lineRule="auto" w:line="283" w:before="0" w:after="0"/>
              <w:ind w:left="0" w:right="0" w:hanging="0"/>
              <w:jc w:val="left"/>
              <w:rPr/>
            </w:pPr>
            <w:r>
              <w:rPr/>
              <w:t>​</w:t>
            </w:r>
          </w:p>
        </w:tc>
        <w:tc>
          <w:tcPr>
            <w:tcW w:w="1561" w:type="dxa"/>
            <w:tcBorders/>
            <w:vAlign w:val="center"/>
          </w:tcPr>
          <w:p>
            <w:pPr>
              <w:pStyle w:val="TableContents"/>
              <w:bidi w:val="0"/>
              <w:spacing w:lineRule="auto" w:line="283" w:before="0" w:after="0"/>
              <w:ind w:left="0" w:right="0" w:hanging="0"/>
              <w:jc w:val="left"/>
              <w:rPr/>
            </w:pPr>
            <w:r>
              <w:rPr/>
              <w:t>​</w:t>
            </w:r>
          </w:p>
        </w:tc>
      </w:tr>
      <w:tr>
        <w:trPr/>
        <w:tc>
          <w:tcPr>
            <w:tcW w:w="3076"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Maryland</w:t>
            </w:r>
          </w:p>
        </w:tc>
        <w:tc>
          <w:tcPr>
            <w:tcW w:w="346" w:type="dxa"/>
            <w:tcBorders/>
            <w:vAlign w:val="center"/>
          </w:tcPr>
          <w:p>
            <w:pPr>
              <w:pStyle w:val="TableContents"/>
              <w:bidi w:val="0"/>
              <w:spacing w:lineRule="auto" w:line="283" w:before="0" w:after="0"/>
              <w:ind w:left="0" w:right="0" w:hanging="0"/>
              <w:jc w:val="left"/>
              <w:rPr/>
            </w:pPr>
            <w:r>
              <w:rPr/>
              <w:t>  ​ ​ ​</w:t>
            </w:r>
          </w:p>
        </w:tc>
        <w:tc>
          <w:tcPr>
            <w:tcW w:w="1561"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59-0483700</w:t>
            </w:r>
          </w:p>
        </w:tc>
      </w:tr>
      <w:tr>
        <w:trPr/>
        <w:tc>
          <w:tcPr>
            <w:tcW w:w="3076"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(State or other jurisdiction of</w:t>
            </w:r>
          </w:p>
        </w:tc>
        <w:tc>
          <w:tcPr>
            <w:tcW w:w="346" w:type="dxa"/>
            <w:tcBorders/>
            <w:vAlign w:val="center"/>
          </w:tcPr>
          <w:p>
            <w:pPr>
              <w:pStyle w:val="TableContents"/>
              <w:bidi w:val="0"/>
              <w:spacing w:lineRule="auto" w:line="283" w:before="0" w:after="0"/>
              <w:ind w:left="0" w:right="0" w:hanging="0"/>
              <w:jc w:val="left"/>
              <w:rPr/>
            </w:pPr>
            <w:r>
              <w:rPr/>
              <w:t>​</w:t>
            </w:r>
          </w:p>
        </w:tc>
        <w:tc>
          <w:tcPr>
            <w:tcW w:w="1561"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(I.R.S. Employer</w:t>
            </w:r>
          </w:p>
        </w:tc>
      </w:tr>
      <w:tr>
        <w:trPr/>
        <w:tc>
          <w:tcPr>
            <w:tcW w:w="3076"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incorporation or organization)</w:t>
            </w:r>
          </w:p>
        </w:tc>
        <w:tc>
          <w:tcPr>
            <w:tcW w:w="346" w:type="dxa"/>
            <w:tcBorders/>
            <w:vAlign w:val="center"/>
          </w:tcPr>
          <w:p>
            <w:pPr>
              <w:pStyle w:val="TableContents"/>
              <w:bidi w:val="0"/>
              <w:spacing w:lineRule="auto" w:line="283" w:before="0" w:after="0"/>
              <w:ind w:left="0" w:right="0" w:hanging="0"/>
              <w:jc w:val="left"/>
              <w:rPr/>
            </w:pPr>
            <w:r>
              <w:rPr/>
              <w:t>​</w:t>
            </w:r>
          </w:p>
        </w:tc>
        <w:tc>
          <w:tcPr>
            <w:tcW w:w="1561"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Identification No.)</w:t>
            </w:r>
          </w:p>
        </w:tc>
      </w:tr>
      <w:tr>
        <w:trPr/>
        <w:tc>
          <w:tcPr>
            <w:tcW w:w="3076" w:type="dxa"/>
            <w:tcBorders/>
            <w:vAlign w:val="center"/>
          </w:tcPr>
          <w:p>
            <w:pPr>
              <w:pStyle w:val="TableContents"/>
              <w:bidi w:val="0"/>
              <w:spacing w:lineRule="auto" w:line="283" w:before="0" w:after="0"/>
              <w:ind w:left="0" w:right="0" w:hanging="0"/>
              <w:jc w:val="center"/>
              <w:rPr/>
            </w:pPr>
            <w:r>
              <w:rPr/>
              <w:t>​</w:t>
            </w:r>
          </w:p>
        </w:tc>
        <w:tc>
          <w:tcPr>
            <w:tcW w:w="346" w:type="dxa"/>
            <w:tcBorders/>
            <w:vAlign w:val="center"/>
          </w:tcPr>
          <w:p>
            <w:pPr>
              <w:pStyle w:val="TableContents"/>
              <w:bidi w:val="0"/>
              <w:spacing w:lineRule="auto" w:line="283" w:before="0" w:after="0"/>
              <w:ind w:left="0" w:right="0" w:hanging="0"/>
              <w:jc w:val="left"/>
              <w:rPr/>
            </w:pPr>
            <w:r>
              <w:rPr/>
              <w:t>​</w:t>
            </w:r>
          </w:p>
        </w:tc>
        <w:tc>
          <w:tcPr>
            <w:tcW w:w="1561" w:type="dxa"/>
            <w:tcBorders/>
            <w:vAlign w:val="center"/>
          </w:tcPr>
          <w:p>
            <w:pPr>
              <w:pStyle w:val="TableContents"/>
              <w:bidi w:val="0"/>
              <w:spacing w:lineRule="auto" w:line="283" w:before="0" w:after="0"/>
              <w:ind w:left="0" w:right="0" w:hanging="0"/>
              <w:jc w:val="center"/>
              <w:rPr/>
            </w:pPr>
            <w:r>
              <w:rPr/>
              <w:t>​</w:t>
            </w:r>
          </w:p>
        </w:tc>
      </w:tr>
      <w:tr>
        <w:trPr/>
        <w:tc>
          <w:tcPr>
            <w:tcW w:w="3076" w:type="dxa"/>
            <w:tcBorders/>
            <w:vAlign w:val="center"/>
          </w:tcPr>
          <w:p>
            <w:pPr>
              <w:pStyle w:val="TableContents"/>
              <w:bidi w:val="0"/>
              <w:spacing w:lineRule="auto" w:line="283" w:before="0" w:after="0"/>
              <w:ind w:left="0" w:right="0" w:hanging="0"/>
              <w:jc w:val="center"/>
              <w:rPr>
                <w:rFonts w:ascii="Times New Roman;Times;serif" w:hAnsi="Times New Roman;Times;serif"/>
                <w:sz w:val="20"/>
              </w:rPr>
            </w:pPr>
            <w:r>
              <w:rPr>
                <w:rFonts w:ascii="Times New Roman;Times;serif" w:hAnsi="Times New Roman;Times;serif"/>
                <w:b/>
                <w:sz w:val="18"/>
              </w:rPr>
              <w:t>369 N. New York Avenue,</w:t>
            </w:r>
            <w:r>
              <w:rPr>
                <w:rFonts w:ascii="Times New Roman;Times;serif" w:hAnsi="Times New Roman;Times;serif"/>
                <w:sz w:val="20"/>
              </w:rPr>
              <w:t xml:space="preserve"> </w:t>
            </w:r>
            <w:r>
              <w:rPr>
                <w:rFonts w:ascii="Times New Roman;Times;serif" w:hAnsi="Times New Roman;Times;serif"/>
                <w:b/>
                <w:sz w:val="18"/>
              </w:rPr>
              <w:t>Suite 201</w:t>
            </w:r>
          </w:p>
        </w:tc>
        <w:tc>
          <w:tcPr>
            <w:tcW w:w="346" w:type="dxa"/>
            <w:tcBorders/>
            <w:vAlign w:val="center"/>
          </w:tcPr>
          <w:p>
            <w:pPr>
              <w:pStyle w:val="TableContents"/>
              <w:bidi w:val="0"/>
              <w:spacing w:lineRule="auto" w:line="283" w:before="0" w:after="0"/>
              <w:ind w:left="0" w:right="0" w:hanging="0"/>
              <w:jc w:val="left"/>
              <w:rPr/>
            </w:pPr>
            <w:r>
              <w:rPr/>
              <w:t>​</w:t>
            </w:r>
          </w:p>
        </w:tc>
        <w:tc>
          <w:tcPr>
            <w:tcW w:w="1561" w:type="dxa"/>
            <w:tcBorders/>
            <w:vAlign w:val="center"/>
          </w:tcPr>
          <w:p>
            <w:pPr>
              <w:pStyle w:val="TableContents"/>
              <w:bidi w:val="0"/>
              <w:spacing w:lineRule="auto" w:line="283" w:before="0" w:after="0"/>
              <w:ind w:left="0" w:right="0" w:hanging="0"/>
              <w:jc w:val="center"/>
              <w:rPr/>
            </w:pPr>
            <w:r>
              <w:rPr/>
              <w:t>​</w:t>
            </w:r>
          </w:p>
        </w:tc>
      </w:tr>
      <w:tr>
        <w:trPr/>
        <w:tc>
          <w:tcPr>
            <w:tcW w:w="3076"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Winter Park, Florida</w:t>
            </w:r>
          </w:p>
        </w:tc>
        <w:tc>
          <w:tcPr>
            <w:tcW w:w="346" w:type="dxa"/>
            <w:tcBorders/>
            <w:vAlign w:val="center"/>
          </w:tcPr>
          <w:p>
            <w:pPr>
              <w:pStyle w:val="TableContents"/>
              <w:bidi w:val="0"/>
              <w:spacing w:lineRule="auto" w:line="283" w:before="0" w:after="0"/>
              <w:ind w:left="0" w:right="0" w:hanging="0"/>
              <w:jc w:val="left"/>
              <w:rPr/>
            </w:pPr>
            <w:r>
              <w:rPr/>
              <w:t>​</w:t>
            </w:r>
          </w:p>
        </w:tc>
        <w:tc>
          <w:tcPr>
            <w:tcW w:w="1561"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32789</w:t>
            </w:r>
          </w:p>
        </w:tc>
      </w:tr>
      <w:tr>
        <w:trPr/>
        <w:tc>
          <w:tcPr>
            <w:tcW w:w="3076"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(Address of principal executive offices)</w:t>
            </w:r>
          </w:p>
        </w:tc>
        <w:tc>
          <w:tcPr>
            <w:tcW w:w="346" w:type="dxa"/>
            <w:tcBorders/>
            <w:vAlign w:val="center"/>
          </w:tcPr>
          <w:p>
            <w:pPr>
              <w:pStyle w:val="TableContents"/>
              <w:bidi w:val="0"/>
              <w:spacing w:lineRule="auto" w:line="283" w:before="0" w:after="0"/>
              <w:ind w:left="0" w:right="0" w:hanging="0"/>
              <w:jc w:val="left"/>
              <w:rPr/>
            </w:pPr>
            <w:r>
              <w:rPr/>
              <w:t>​</w:t>
            </w:r>
          </w:p>
        </w:tc>
        <w:tc>
          <w:tcPr>
            <w:tcW w:w="1561"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(Zip Code)</w:t>
            </w:r>
          </w:p>
        </w:tc>
      </w:tr>
    </w:tbl>
    <w:p>
      <w:pPr>
        <w:pStyle w:val="TextBody"/>
        <w:bidi w:val="0"/>
        <w:spacing w:lineRule="auto" w:line="283" w:before="0" w:after="0"/>
        <w:ind w:left="0" w:right="0" w:hanging="0"/>
        <w:jc w:val="left"/>
        <w:rPr/>
      </w:pPr>
      <w:r>
        <w:rPr/>
        <w:t>​</w:t>
      </w:r>
    </w:p>
    <w:p>
      <w:pPr>
        <w:pStyle w:val="TextBody"/>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(407) 904-3324</w:t>
      </w:r>
    </w:p>
    <w:p>
      <w:pPr>
        <w:pStyle w:val="TextBody"/>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w:t>
      </w:r>
    </w:p>
    <w:p>
      <w:pPr>
        <w:pStyle w:val="TextBody"/>
        <w:bidi w:val="0"/>
        <w:spacing w:lineRule="auto" w:line="283" w:before="0" w:after="0"/>
        <w:ind w:left="0" w:right="0" w:hanging="0"/>
        <w:jc w:val="center"/>
        <w:rPr/>
      </w:pPr>
      <w:r>
        <w:rPr/>
        <w:t>​</w:t>
      </w:r>
    </w:p>
    <w:tbl>
      <w:tblPr>
        <w:tblW w:w="6451" w:type="dxa"/>
        <w:jc w:val="left"/>
        <w:tblInd w:w="0" w:type="dxa"/>
        <w:tblLayout w:type="fixed"/>
        <w:tblCellMar>
          <w:top w:w="0" w:type="dxa"/>
          <w:left w:w="0" w:type="dxa"/>
          <w:bottom w:w="0" w:type="dxa"/>
          <w:right w:w="0" w:type="dxa"/>
        </w:tblCellMar>
      </w:tblPr>
      <w:tblGrid>
        <w:gridCol w:w="6451"/>
      </w:tblGrid>
      <w:tr>
        <w:trPr/>
        <w:tc>
          <w:tcPr>
            <w:tcW w:w="6451" w:type="dxa"/>
            <w:tcBorders/>
            <w:vAlign w:val="center"/>
          </w:tcPr>
          <w:p>
            <w:pPr>
              <w:pStyle w:val="TableContents"/>
              <w:bidi w:val="0"/>
              <w:spacing w:before="0" w:after="0"/>
              <w:ind w:left="0" w:right="0" w:hanging="0"/>
              <w:jc w:val="left"/>
              <w:rPr/>
            </w:pPr>
            <w:r>
              <w:rPr/>
              <w:t>​</w:t>
            </w:r>
          </w:p>
        </w:tc>
      </w:tr>
      <w:tr>
        <w:trPr/>
        <w:tc>
          <w:tcPr>
            <w:tcW w:w="6451"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N/A</w:t>
            </w:r>
          </w:p>
        </w:tc>
      </w:tr>
      <w:tr>
        <w:trPr/>
        <w:tc>
          <w:tcPr>
            <w:tcW w:w="6451"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(Former name, former address and former fiscal year, if changed since last report)</w:t>
            </w:r>
          </w:p>
        </w:tc>
      </w:tr>
    </w:tbl>
    <w:p>
      <w:pPr>
        <w:pStyle w:val="TextBody"/>
        <w:bidi w:val="0"/>
        <w:spacing w:lineRule="auto" w:line="283" w:before="0" w:after="0"/>
        <w:ind w:left="0" w:right="0" w:hanging="0"/>
        <w:jc w:val="center"/>
        <w:rPr/>
      </w:pPr>
      <w:r>
        <w:rPr/>
        <w:t>​</w:t>
      </w:r>
    </w:p>
    <w:p>
      <w:pPr>
        <w:pStyle w:val="TextBody"/>
        <w:bidi w:val="0"/>
        <w:spacing w:lineRule="auto" w:line="283" w:before="0" w:after="24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bidi w:val="0"/>
        <w:spacing w:before="0" w:after="0"/>
        <w:jc w:val="left"/>
        <w:rPr>
          <w:sz w:val="4"/>
          <w:szCs w:val="4"/>
        </w:rPr>
      </w:pPr>
      <w:r>
        <w:rPr>
          <w:sz w:val="4"/>
          <w:szCs w:val="4"/>
        </w:rPr>
      </w:r>
      <w:bookmarkStart w:id="21" w:name="Tc_eJeASyIek063ErDYlsMLqg_1_4"/>
      <w:bookmarkStart w:id="22" w:name="Tc_y70Ii7tm7kqb6m-o7BgW_g_1_2"/>
      <w:bookmarkStart w:id="23" w:name="Tc_1tiRz3f4ZEaz2Irhtw6SxQ_1_0"/>
      <w:bookmarkStart w:id="24" w:name="_9ee89ae9_cb0e_4a1f_81e2_41375375d8db"/>
      <w:bookmarkStart w:id="25" w:name="Tc_eJeASyIek063ErDYlsMLqg_1_4"/>
      <w:bookmarkStart w:id="26" w:name="Tc_y70Ii7tm7kqb6m-o7BgW_g_1_2"/>
      <w:bookmarkStart w:id="27" w:name="Tc_1tiRz3f4ZEaz2Irhtw6SxQ_1_0"/>
      <w:bookmarkStart w:id="28" w:name="_9ee89ae9_cb0e_4a1f_81e2_41375375d8db"/>
      <w:bookmarkEnd w:id="25"/>
      <w:bookmarkEnd w:id="26"/>
      <w:bookmarkEnd w:id="27"/>
      <w:bookmarkEnd w:id="28"/>
    </w:p>
    <w:tbl>
      <w:tblPr>
        <w:tblW w:w="10205" w:type="dxa"/>
        <w:jc w:val="left"/>
        <w:tblInd w:w="0" w:type="dxa"/>
        <w:tblLayout w:type="fixed"/>
        <w:tblCellMar>
          <w:top w:w="0" w:type="dxa"/>
          <w:left w:w="0" w:type="dxa"/>
          <w:bottom w:w="0" w:type="dxa"/>
          <w:right w:w="0" w:type="dxa"/>
        </w:tblCellMar>
      </w:tblPr>
      <w:tblGrid>
        <w:gridCol w:w="4761"/>
        <w:gridCol w:w="346"/>
        <w:gridCol w:w="1229"/>
        <w:gridCol w:w="346"/>
        <w:gridCol w:w="3523"/>
      </w:tblGrid>
      <w:tr>
        <w:trPr/>
        <w:tc>
          <w:tcPr>
            <w:tcW w:w="476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22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523" w:type="dxa"/>
            <w:tcBorders/>
            <w:vAlign w:val="center"/>
          </w:tcPr>
          <w:p>
            <w:pPr>
              <w:pStyle w:val="TableContents"/>
              <w:bidi w:val="0"/>
              <w:spacing w:before="0" w:after="283"/>
              <w:ind w:left="0" w:right="0" w:hanging="0"/>
              <w:jc w:val="left"/>
              <w:rPr>
                <w:sz w:val="4"/>
                <w:szCs w:val="4"/>
              </w:rPr>
            </w:pPr>
            <w:r>
              <w:rPr>
                <w:sz w:val="4"/>
                <w:szCs w:val="4"/>
              </w:rPr>
            </w:r>
          </w:p>
        </w:tc>
      </w:tr>
      <w:tr>
        <w:trPr/>
        <w:tc>
          <w:tcPr>
            <w:tcW w:w="4761" w:type="dxa"/>
            <w:tcBorders>
              <w:bottom w:val="single" w:sz="2" w:space="0" w:color="000000"/>
            </w:tcBorders>
            <w:tcMar>
              <w:bottom w:w="28" w:type="dxa"/>
            </w:tcMar>
            <w:vAlign w:val="center"/>
          </w:tcPr>
          <w:p>
            <w:pPr>
              <w:pStyle w:val="TableContents"/>
              <w:pBdr/>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46" w:type="dxa"/>
            <w:tcBorders/>
            <w:vAlign w:val="center"/>
          </w:tcPr>
          <w:p>
            <w:pPr>
              <w:pStyle w:val="TableContents"/>
              <w:bidi w:val="0"/>
              <w:spacing w:lineRule="auto" w:line="283" w:before="0" w:after="0"/>
              <w:ind w:left="0" w:right="0" w:hanging="0"/>
              <w:jc w:val="center"/>
              <w:rPr/>
            </w:pPr>
            <w:r>
              <w:rPr/>
              <w:t>  ​ ​ ​</w:t>
            </w:r>
          </w:p>
        </w:tc>
        <w:tc>
          <w:tcPr>
            <w:tcW w:w="1229" w:type="dxa"/>
            <w:tcBorders>
              <w:bottom w:val="single" w:sz="2" w:space="0" w:color="000000"/>
            </w:tcBorders>
            <w:tcMar>
              <w:bottom w:w="28" w:type="dxa"/>
            </w:tcMar>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6" w:type="dxa"/>
            <w:tcBorders>
              <w:bottom w:val="single" w:sz="2" w:space="0" w:color="000000"/>
            </w:tcBorders>
            <w:tcMar>
              <w:bottom w:w="28" w:type="dxa"/>
            </w:tcMar>
            <w:vAlign w:val="center"/>
          </w:tcPr>
          <w:p>
            <w:pPr>
              <w:pStyle w:val="TableContents"/>
              <w:bidi w:val="0"/>
              <w:spacing w:lineRule="auto" w:line="283" w:before="0" w:after="0"/>
              <w:ind w:left="0" w:right="0" w:hanging="0"/>
              <w:jc w:val="center"/>
              <w:rPr/>
            </w:pPr>
            <w:r>
              <w:rPr/>
              <w:t>  ​ ​ ​</w:t>
            </w:r>
          </w:p>
        </w:tc>
        <w:tc>
          <w:tcPr>
            <w:tcW w:w="3523" w:type="dxa"/>
            <w:tcBorders>
              <w:bottom w:val="single" w:sz="2" w:space="0" w:color="000000"/>
            </w:tcBorders>
            <w:tcMar>
              <w:bottom w:w="28" w:type="dxa"/>
            </w:tcMar>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4761" w:type="dxa"/>
            <w:tcBorders>
              <w:top w:val="single" w:sz="2" w:space="0" w:color="000000"/>
            </w:tcBorders>
            <w:tcMar>
              <w:top w:w="28" w:type="dxa"/>
            </w:tcMar>
            <w:vAlign w:val="center"/>
          </w:tcPr>
          <w:p>
            <w:pPr>
              <w:pStyle w:val="TableContents"/>
              <w:bidi w:val="0"/>
              <w:spacing w:lineRule="auto" w:line="283" w:before="0" w:after="0"/>
              <w:ind w:left="0" w:right="0" w:hanging="0"/>
              <w:jc w:val="center"/>
              <w:rPr>
                <w:rFonts w:ascii="Times New Roman;Times;serif" w:hAnsi="Times New Roman;Times;serif"/>
                <w:sz w:val="20"/>
              </w:rPr>
            </w:pPr>
            <w:r>
              <w:rPr>
                <w:rFonts w:ascii="Times New Roman;Times;serif" w:hAnsi="Times New Roman;Times;serif"/>
                <w:b/>
                <w:sz w:val="16"/>
              </w:rPr>
              <w:t>Common Stock, $0.01</w:t>
            </w:r>
            <w:r>
              <w:rPr>
                <w:rFonts w:ascii="Times New Roman;Times;serif" w:hAnsi="Times New Roman;Times;serif"/>
                <w:sz w:val="20"/>
              </w:rPr>
              <w:t xml:space="preserve"> </w:t>
            </w:r>
            <w:r>
              <w:rPr>
                <w:rFonts w:ascii="Times New Roman;Times;serif" w:hAnsi="Times New Roman;Times;serif"/>
                <w:b/>
                <w:sz w:val="16"/>
              </w:rPr>
              <w:t>par value per share</w:t>
            </w:r>
          </w:p>
        </w:tc>
        <w:tc>
          <w:tcPr>
            <w:tcW w:w="346" w:type="dxa"/>
            <w:tcBorders/>
            <w:vAlign w:val="center"/>
          </w:tcPr>
          <w:p>
            <w:pPr>
              <w:pStyle w:val="TableContents"/>
              <w:bidi w:val="0"/>
              <w:spacing w:lineRule="auto" w:line="283" w:before="0" w:after="0"/>
              <w:ind w:left="0" w:right="0" w:hanging="0"/>
              <w:jc w:val="left"/>
              <w:rPr/>
            </w:pPr>
            <w:r>
              <w:rPr/>
              <w:t>​</w:t>
            </w:r>
          </w:p>
        </w:tc>
        <w:tc>
          <w:tcPr>
            <w:tcW w:w="1229" w:type="dxa"/>
            <w:tcBorders>
              <w:top w:val="single" w:sz="2" w:space="0" w:color="000000"/>
            </w:tcBorders>
            <w:tcMar>
              <w:top w:w="28" w:type="dxa"/>
            </w:tcMar>
            <w:vAlign w:val="center"/>
          </w:tcPr>
          <w:p>
            <w:pPr>
              <w:pStyle w:val="TableContents"/>
              <w:bidi w:val="0"/>
              <w:spacing w:lineRule="auto" w:line="283" w:before="0" w:after="0"/>
              <w:ind w:left="0" w:right="0" w:hanging="0"/>
              <w:jc w:val="center"/>
              <w:rPr>
                <w:rFonts w:ascii="Times New Roman;Times;serif" w:hAnsi="Times New Roman;Times;serif"/>
                <w:b/>
                <w:sz w:val="16"/>
              </w:rPr>
            </w:pPr>
            <w:r>
              <w:rPr>
                <w:rFonts w:ascii="Times New Roman;Times;serif" w:hAnsi="Times New Roman;Times;serif"/>
                <w:b/>
                <w:sz w:val="16"/>
              </w:rPr>
              <w:t>CTO</w:t>
            </w:r>
          </w:p>
        </w:tc>
        <w:tc>
          <w:tcPr>
            <w:tcW w:w="346" w:type="dxa"/>
            <w:tcBorders/>
            <w:vAlign w:val="center"/>
          </w:tcPr>
          <w:p>
            <w:pPr>
              <w:pStyle w:val="TableContents"/>
              <w:bidi w:val="0"/>
              <w:spacing w:lineRule="auto" w:line="283" w:before="0" w:after="0"/>
              <w:ind w:left="0" w:right="0" w:hanging="0"/>
              <w:jc w:val="left"/>
              <w:rPr/>
            </w:pPr>
            <w:r>
              <w:rPr/>
              <w:t>​</w:t>
            </w:r>
          </w:p>
        </w:tc>
        <w:tc>
          <w:tcPr>
            <w:tcW w:w="3523" w:type="dxa"/>
            <w:tcBorders>
              <w:top w:val="single" w:sz="2" w:space="0" w:color="000000"/>
            </w:tcBorders>
            <w:tcMar>
              <w:top w:w="28" w:type="dxa"/>
            </w:tcMar>
            <w:vAlign w:val="center"/>
          </w:tcPr>
          <w:p>
            <w:pPr>
              <w:pStyle w:val="TableContents"/>
              <w:bidi w:val="0"/>
              <w:spacing w:lineRule="auto" w:line="283" w:before="0" w:after="0"/>
              <w:ind w:left="0" w:right="0" w:hanging="0"/>
              <w:jc w:val="center"/>
              <w:rPr>
                <w:rFonts w:ascii="Times New Roman;Times;serif" w:hAnsi="Times New Roman;Times;serif"/>
                <w:b/>
                <w:sz w:val="16"/>
              </w:rPr>
            </w:pPr>
            <w:r>
              <w:rPr>
                <w:rFonts w:ascii="Times New Roman;Times;serif" w:hAnsi="Times New Roman;Times;serif"/>
                <w:b/>
                <w:sz w:val="16"/>
              </w:rPr>
              <w:t>NYSE</w:t>
            </w:r>
          </w:p>
        </w:tc>
      </w:tr>
      <w:tr>
        <w:trPr/>
        <w:tc>
          <w:tcPr>
            <w:tcW w:w="4761" w:type="dxa"/>
            <w:tcBorders/>
            <w:vAlign w:val="center"/>
          </w:tcPr>
          <w:p>
            <w:pPr>
              <w:pStyle w:val="TableContents"/>
              <w:bidi w:val="0"/>
              <w:spacing w:lineRule="auto" w:line="283" w:before="0" w:after="0"/>
              <w:ind w:left="0" w:right="0" w:hanging="0"/>
              <w:jc w:val="center"/>
              <w:rPr>
                <w:rFonts w:ascii="Times New Roman;Times;serif" w:hAnsi="Times New Roman;Times;serif"/>
                <w:sz w:val="20"/>
              </w:rPr>
            </w:pPr>
            <w:r>
              <w:rPr>
                <w:rFonts w:ascii="Times New Roman;Times;serif" w:hAnsi="Times New Roman;Times;serif"/>
                <w:b/>
                <w:sz w:val="16"/>
              </w:rPr>
              <w:t>6.375% Series A Cumulative Redeemable Preferred Stock, $0.01</w:t>
            </w:r>
            <w:r>
              <w:rPr>
                <w:rFonts w:ascii="Times New Roman;Times;serif" w:hAnsi="Times New Roman;Times;serif"/>
                <w:sz w:val="20"/>
              </w:rPr>
              <w:t xml:space="preserve"> </w:t>
            </w:r>
            <w:r>
              <w:rPr>
                <w:rFonts w:ascii="Times New Roman;Times;serif" w:hAnsi="Times New Roman;Times;serif"/>
                <w:b/>
                <w:sz w:val="16"/>
              </w:rPr>
              <w:t>par value per share</w:t>
            </w:r>
          </w:p>
        </w:tc>
        <w:tc>
          <w:tcPr>
            <w:tcW w:w="346" w:type="dxa"/>
            <w:tcBorders/>
            <w:vAlign w:val="center"/>
          </w:tcPr>
          <w:p>
            <w:pPr>
              <w:pStyle w:val="TableContents"/>
              <w:bidi w:val="0"/>
              <w:spacing w:lineRule="auto" w:line="283" w:before="0" w:after="0"/>
              <w:ind w:left="0" w:right="0" w:hanging="0"/>
              <w:jc w:val="left"/>
              <w:rPr/>
            </w:pPr>
            <w:r>
              <w:rPr/>
              <w:t>​</w:t>
            </w:r>
          </w:p>
        </w:tc>
        <w:tc>
          <w:tcPr>
            <w:tcW w:w="1229" w:type="dxa"/>
            <w:tcBorders/>
            <w:vAlign w:val="center"/>
          </w:tcPr>
          <w:p>
            <w:pPr>
              <w:pStyle w:val="TableContents"/>
              <w:bidi w:val="0"/>
              <w:spacing w:lineRule="auto" w:line="283" w:before="0" w:after="0"/>
              <w:ind w:left="0" w:right="0" w:hanging="0"/>
              <w:jc w:val="center"/>
              <w:rPr/>
            </w:pPr>
            <w:r>
              <w:rPr/>
              <w:t>​</w:t>
            </w:r>
          </w:p>
          <w:p>
            <w:pPr>
              <w:pStyle w:val="TableContents"/>
              <w:bidi w:val="0"/>
              <w:spacing w:lineRule="auto" w:line="283" w:before="0" w:after="0"/>
              <w:ind w:left="0" w:right="0" w:hanging="0"/>
              <w:jc w:val="center"/>
              <w:rPr>
                <w:rFonts w:ascii="Times New Roman;Times;serif" w:hAnsi="Times New Roman;Times;serif"/>
                <w:b/>
                <w:sz w:val="16"/>
              </w:rPr>
            </w:pPr>
            <w:r>
              <w:rPr>
                <w:rFonts w:ascii="Times New Roman;Times;serif" w:hAnsi="Times New Roman;Times;serif"/>
                <w:b/>
                <w:sz w:val="16"/>
              </w:rPr>
              <w:t>CTO/PA</w:t>
            </w:r>
          </w:p>
        </w:tc>
        <w:tc>
          <w:tcPr>
            <w:tcW w:w="346" w:type="dxa"/>
            <w:tcBorders/>
            <w:vAlign w:val="center"/>
          </w:tcPr>
          <w:p>
            <w:pPr>
              <w:pStyle w:val="TableContents"/>
              <w:bidi w:val="0"/>
              <w:spacing w:lineRule="auto" w:line="283" w:before="0" w:after="0"/>
              <w:ind w:left="0" w:right="0" w:hanging="0"/>
              <w:jc w:val="left"/>
              <w:rPr/>
            </w:pPr>
            <w:r>
              <w:rPr/>
              <w:t>​</w:t>
            </w:r>
          </w:p>
        </w:tc>
        <w:tc>
          <w:tcPr>
            <w:tcW w:w="3523" w:type="dxa"/>
            <w:tcBorders/>
            <w:vAlign w:val="center"/>
          </w:tcPr>
          <w:p>
            <w:pPr>
              <w:pStyle w:val="TableContents"/>
              <w:bidi w:val="0"/>
              <w:spacing w:lineRule="auto" w:line="283" w:before="0" w:after="0"/>
              <w:ind w:left="0" w:right="0" w:hanging="0"/>
              <w:jc w:val="center"/>
              <w:rPr/>
            </w:pPr>
            <w:r>
              <w:rPr/>
              <w:t>​</w:t>
            </w:r>
          </w:p>
          <w:p>
            <w:pPr>
              <w:pStyle w:val="TableContents"/>
              <w:bidi w:val="0"/>
              <w:spacing w:lineRule="auto" w:line="283" w:before="0" w:after="0"/>
              <w:ind w:left="0" w:right="0" w:hanging="0"/>
              <w:jc w:val="center"/>
              <w:rPr>
                <w:rFonts w:ascii="Times New Roman;Times;serif" w:hAnsi="Times New Roman;Times;serif"/>
                <w:b/>
                <w:sz w:val="16"/>
              </w:rPr>
            </w:pPr>
            <w:r>
              <w:rPr>
                <w:rFonts w:ascii="Times New Roman;Times;serif" w:hAnsi="Times New Roman;Times;serif"/>
                <w:b/>
                <w:sz w:val="16"/>
              </w:rPr>
              <w:t>NYSE</w:t>
            </w:r>
          </w:p>
        </w:tc>
      </w:tr>
    </w:tbl>
    <w:p>
      <w:pPr>
        <w:pStyle w:val="TextBody"/>
        <w:bidi w:val="0"/>
        <w:spacing w:lineRule="auto" w:line="283" w:before="0" w:after="0"/>
        <w:ind w:left="0" w:right="0" w:firstLine="490"/>
        <w:jc w:val="left"/>
        <w:rPr/>
      </w:pPr>
      <w:r>
        <w:rPr/>
        <w:t>​</w:t>
      </w:r>
    </w:p>
    <w:p>
      <w:pPr>
        <w:pStyle w:val="TextBody"/>
        <w:bidi w:val="0"/>
        <w:spacing w:lineRule="auto" w:line="283" w:before="0" w:after="0"/>
        <w:ind w:left="0" w:right="0" w:firstLine="49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lineRule="auto" w:line="283" w:before="0" w:after="0"/>
        <w:ind w:left="0" w:right="0" w:hanging="0"/>
        <w:jc w:val="left"/>
        <w:rPr/>
      </w:pPr>
      <w:r>
        <w:rPr/>
        <w:t>​</w:t>
      </w:r>
    </w:p>
    <w:p>
      <w:pPr>
        <w:pStyle w:val="TextBody"/>
        <w:bidi w:val="0"/>
        <w:spacing w:lineRule="auto" w:line="283" w:before="0" w:after="0"/>
        <w:ind w:left="0" w:right="0" w:firstLine="49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lineRule="auto" w:line="283" w:before="0" w:after="0"/>
        <w:ind w:left="0" w:right="0" w:hanging="0"/>
        <w:jc w:val="left"/>
        <w:rPr/>
      </w:pPr>
      <w:r>
        <w:rPr/>
        <w:t>​</w:t>
      </w:r>
    </w:p>
    <w:p>
      <w:pPr>
        <w:pStyle w:val="TextBody"/>
        <w:bidi w:val="0"/>
        <w:spacing w:lineRule="auto" w:line="283" w:before="0" w:after="0"/>
        <w:ind w:left="0" w:right="0" w:firstLine="49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3" w:before="0" w:after="0"/>
        <w:ind w:left="0" w:right="0" w:hanging="0"/>
        <w:jc w:val="left"/>
        <w:rPr/>
      </w:pPr>
      <w:r>
        <w:rPr/>
        <w:t>​</w:t>
      </w:r>
    </w:p>
    <w:p>
      <w:pPr>
        <w:pStyle w:val="Normal"/>
        <w:bidi w:val="0"/>
        <w:spacing w:before="0" w:after="0"/>
        <w:jc w:val="left"/>
        <w:rPr>
          <w:sz w:val="4"/>
          <w:szCs w:val="4"/>
        </w:rPr>
      </w:pPr>
      <w:r>
        <w:rPr>
          <w:sz w:val="4"/>
          <w:szCs w:val="4"/>
        </w:rPr>
      </w:r>
      <w:bookmarkStart w:id="29" w:name="Tc_XbRPNWJPYk-NEFzj_3j4Mg_5_3"/>
      <w:bookmarkStart w:id="30" w:name="Tc_HTyWvE6Vl0m0Is2qjxgFag_3_3"/>
      <w:bookmarkStart w:id="31" w:name="Tc_AhO_SpIP9kayLO0yZK_pJg_3_1"/>
      <w:bookmarkStart w:id="32" w:name="Tc_g2S_ptZjKEmhsEXEbpat3Q_3_0"/>
      <w:bookmarkStart w:id="33" w:name="Tc_ILC5KBLROEa5giFQ2lz0VQ_1_4"/>
      <w:bookmarkStart w:id="34" w:name="Tc_uQ41xr7hKEq6lU5pwLkMQg_1_1"/>
      <w:bookmarkStart w:id="35" w:name="Tc__niFOcjXDk-am83LCU5gYQ_1_0"/>
      <w:bookmarkStart w:id="36" w:name="_438bff81_bee6_4cb5_8c90_bddb2def7978"/>
      <w:bookmarkStart w:id="37" w:name="Tc_XbRPNWJPYk-NEFzj_3j4Mg_5_3"/>
      <w:bookmarkStart w:id="38" w:name="Tc_HTyWvE6Vl0m0Is2qjxgFag_3_3"/>
      <w:bookmarkStart w:id="39" w:name="Tc_AhO_SpIP9kayLO0yZK_pJg_3_1"/>
      <w:bookmarkStart w:id="40" w:name="Tc_g2S_ptZjKEmhsEXEbpat3Q_3_0"/>
      <w:bookmarkStart w:id="41" w:name="Tc_ILC5KBLROEa5giFQ2lz0VQ_1_4"/>
      <w:bookmarkStart w:id="42" w:name="Tc_uQ41xr7hKEq6lU5pwLkMQg_1_1"/>
      <w:bookmarkStart w:id="43" w:name="Tc__niFOcjXDk-am83LCU5gYQ_1_0"/>
      <w:bookmarkStart w:id="44" w:name="_438bff81_bee6_4cb5_8c90_bddb2def7978"/>
      <w:bookmarkEnd w:id="37"/>
      <w:bookmarkEnd w:id="38"/>
      <w:bookmarkEnd w:id="39"/>
      <w:bookmarkEnd w:id="40"/>
      <w:bookmarkEnd w:id="41"/>
      <w:bookmarkEnd w:id="42"/>
      <w:bookmarkEnd w:id="43"/>
      <w:bookmarkEnd w:id="44"/>
    </w:p>
    <w:tbl>
      <w:tblPr>
        <w:tblW w:w="4808" w:type="dxa"/>
        <w:jc w:val="left"/>
        <w:tblInd w:w="0" w:type="dxa"/>
        <w:tblLayout w:type="fixed"/>
        <w:tblCellMar>
          <w:top w:w="0" w:type="dxa"/>
          <w:left w:w="0" w:type="dxa"/>
          <w:bottom w:w="0" w:type="dxa"/>
          <w:right w:w="0" w:type="dxa"/>
        </w:tblCellMar>
      </w:tblPr>
      <w:tblGrid>
        <w:gridCol w:w="1771"/>
        <w:gridCol w:w="436"/>
        <w:gridCol w:w="109"/>
        <w:gridCol w:w="2131"/>
        <w:gridCol w:w="361"/>
      </w:tblGrid>
      <w:tr>
        <w:trPr/>
        <w:tc>
          <w:tcPr>
            <w:tcW w:w="1771" w:type="dxa"/>
            <w:tcBorders/>
            <w:vAlign w:val="center"/>
          </w:tcPr>
          <w:p>
            <w:pPr>
              <w:pStyle w:val="TableContents"/>
              <w:bidi w:val="0"/>
              <w:spacing w:lineRule="auto" w:line="283" w:before="0" w:after="0"/>
              <w:ind w:left="0" w:right="0" w:hanging="0"/>
              <w:jc w:val="left"/>
              <w:rPr/>
            </w:pPr>
            <w:r>
              <w:rPr/>
              <w:t>​</w:t>
            </w:r>
          </w:p>
        </w:tc>
        <w:tc>
          <w:tcPr>
            <w:tcW w:w="436" w:type="dxa"/>
            <w:tcBorders/>
            <w:vAlign w:val="center"/>
          </w:tcPr>
          <w:p>
            <w:pPr>
              <w:pStyle w:val="TableContents"/>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2131" w:type="dxa"/>
            <w:tcBorders/>
            <w:vAlign w:val="center"/>
          </w:tcPr>
          <w:p>
            <w:pPr>
              <w:pStyle w:val="TableContents"/>
              <w:bidi w:val="0"/>
              <w:spacing w:lineRule="auto" w:line="283" w:before="0" w:after="0"/>
              <w:ind w:left="0" w:right="0" w:hanging="0"/>
              <w:jc w:val="left"/>
              <w:rPr/>
            </w:pPr>
            <w:r>
              <w:rPr/>
              <w:t>​</w:t>
            </w:r>
          </w:p>
        </w:tc>
        <w:tc>
          <w:tcPr>
            <w:tcW w:w="361" w:type="dxa"/>
            <w:tcBorders/>
            <w:vAlign w:val="center"/>
          </w:tcPr>
          <w:p>
            <w:pPr>
              <w:pStyle w:val="TableContents"/>
              <w:bidi w:val="0"/>
              <w:spacing w:lineRule="auto" w:line="283" w:before="0" w:after="0"/>
              <w:ind w:left="0" w:right="0" w:hanging="0"/>
              <w:jc w:val="left"/>
              <w:rPr/>
            </w:pPr>
            <w:r>
              <w:rPr/>
              <w:t>​</w:t>
            </w:r>
          </w:p>
        </w:tc>
      </w:tr>
      <w:tr>
        <w:trPr/>
        <w:tc>
          <w:tcPr>
            <w:tcW w:w="1771" w:type="dxa"/>
            <w:tcBorders/>
            <w:vAlign w:val="center"/>
          </w:tcPr>
          <w:p>
            <w:pPr>
              <w:pStyle w:val="TableContents"/>
              <w:bidi w:val="0"/>
              <w:spacing w:lineRule="auto" w:line="283"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436" w:type="dxa"/>
            <w:tcBorders/>
            <w:vAlign w:val="center"/>
          </w:tcPr>
          <w:p>
            <w:pPr>
              <w:pStyle w:val="TableContents"/>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2131" w:type="dxa"/>
            <w:tcBorders/>
            <w:vAlign w:val="center"/>
          </w:tcPr>
          <w:p>
            <w:pPr>
              <w:pStyle w:val="TableContents"/>
              <w:bidi w:val="0"/>
              <w:spacing w:lineRule="auto" w:line="283"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lineRule="auto" w:line="283" w:before="0" w:after="0"/>
              <w:ind w:left="0" w:right="0" w:hanging="0"/>
              <w:jc w:val="left"/>
              <w:rPr/>
            </w:pPr>
            <w:r>
              <w:rPr/>
              <w:t>☒</w:t>
            </w:r>
          </w:p>
        </w:tc>
      </w:tr>
      <w:tr>
        <w:trPr/>
        <w:tc>
          <w:tcPr>
            <w:tcW w:w="1771" w:type="dxa"/>
            <w:tcBorders/>
            <w:vAlign w:val="center"/>
          </w:tcPr>
          <w:p>
            <w:pPr>
              <w:pStyle w:val="TableContents"/>
              <w:bidi w:val="0"/>
              <w:spacing w:lineRule="auto" w:line="283" w:before="0" w:after="0"/>
              <w:ind w:left="0" w:right="0" w:hanging="0"/>
              <w:jc w:val="left"/>
              <w:rPr/>
            </w:pPr>
            <w:r>
              <w:rPr/>
              <w:t>​</w:t>
            </w:r>
          </w:p>
        </w:tc>
        <w:tc>
          <w:tcPr>
            <w:tcW w:w="436" w:type="dxa"/>
            <w:tcBorders/>
            <w:vAlign w:val="center"/>
          </w:tcPr>
          <w:p>
            <w:pPr>
              <w:pStyle w:val="TableContents"/>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2131" w:type="dxa"/>
            <w:tcBorders/>
            <w:vAlign w:val="center"/>
          </w:tcPr>
          <w:p>
            <w:pPr>
              <w:pStyle w:val="TableContents"/>
              <w:bidi w:val="0"/>
              <w:spacing w:lineRule="auto" w:line="283" w:before="0" w:after="0"/>
              <w:ind w:left="0" w:right="0" w:hanging="0"/>
              <w:jc w:val="left"/>
              <w:rPr/>
            </w:pPr>
            <w:r>
              <w:rPr/>
              <w:t>​</w:t>
            </w:r>
          </w:p>
        </w:tc>
        <w:tc>
          <w:tcPr>
            <w:tcW w:w="361" w:type="dxa"/>
            <w:tcBorders/>
            <w:vAlign w:val="center"/>
          </w:tcPr>
          <w:p>
            <w:pPr>
              <w:pStyle w:val="TableContents"/>
              <w:bidi w:val="0"/>
              <w:spacing w:lineRule="auto" w:line="283" w:before="0" w:after="0"/>
              <w:ind w:left="0" w:right="0" w:hanging="0"/>
              <w:jc w:val="left"/>
              <w:rPr/>
            </w:pPr>
            <w:r>
              <w:rPr/>
              <w:t>​</w:t>
            </w:r>
          </w:p>
        </w:tc>
      </w:tr>
      <w:tr>
        <w:trPr/>
        <w:tc>
          <w:tcPr>
            <w:tcW w:w="1771" w:type="dxa"/>
            <w:tcBorders/>
            <w:vAlign w:val="center"/>
          </w:tcPr>
          <w:p>
            <w:pPr>
              <w:pStyle w:val="TableContents"/>
              <w:bidi w:val="0"/>
              <w:spacing w:lineRule="auto" w:line="283"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436" w:type="dxa"/>
            <w:tcBorders/>
            <w:vAlign w:val="center"/>
          </w:tcPr>
          <w:p>
            <w:pPr>
              <w:pStyle w:val="TableContents"/>
              <w:bidi w:val="0"/>
              <w:spacing w:lineRule="auto" w:line="283" w:before="0" w:after="0"/>
              <w:ind w:left="0" w:right="0" w:hanging="0"/>
              <w:jc w:val="left"/>
              <w:rPr/>
            </w:pPr>
            <w:r>
              <w:rPr/>
              <w:t>☐  </w:t>
            </w:r>
          </w:p>
        </w:tc>
        <w:tc>
          <w:tcPr>
            <w:tcW w:w="109" w:type="dxa"/>
            <w:tcBorders/>
            <w:vAlign w:val="center"/>
          </w:tcPr>
          <w:p>
            <w:pPr>
              <w:pStyle w:val="TableContents"/>
              <w:bidi w:val="0"/>
              <w:spacing w:lineRule="auto" w:line="283" w:before="0" w:after="0"/>
              <w:ind w:left="0" w:right="0" w:hanging="0"/>
              <w:jc w:val="left"/>
              <w:rPr/>
            </w:pPr>
            <w:r>
              <w:rPr/>
              <w:t>​</w:t>
            </w:r>
          </w:p>
        </w:tc>
        <w:tc>
          <w:tcPr>
            <w:tcW w:w="2131" w:type="dxa"/>
            <w:tcBorders/>
            <w:vAlign w:val="center"/>
          </w:tcPr>
          <w:p>
            <w:pPr>
              <w:pStyle w:val="TableContents"/>
              <w:bidi w:val="0"/>
              <w:spacing w:lineRule="auto" w:line="283"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lineRule="auto" w:line="283" w:before="0" w:after="0"/>
              <w:ind w:left="0" w:right="0" w:hanging="0"/>
              <w:jc w:val="left"/>
              <w:rPr/>
            </w:pPr>
            <w:r>
              <w:rPr/>
              <w:t>☐</w:t>
            </w:r>
          </w:p>
        </w:tc>
      </w:tr>
      <w:tr>
        <w:trPr/>
        <w:tc>
          <w:tcPr>
            <w:tcW w:w="1771" w:type="dxa"/>
            <w:tcBorders/>
            <w:vAlign w:val="center"/>
          </w:tcPr>
          <w:p>
            <w:pPr>
              <w:pStyle w:val="TableContents"/>
              <w:bidi w:val="0"/>
              <w:spacing w:lineRule="auto" w:line="283" w:before="0" w:after="0"/>
              <w:ind w:left="0" w:right="0" w:hanging="0"/>
              <w:jc w:val="left"/>
              <w:rPr/>
            </w:pPr>
            <w:r>
              <w:rPr/>
              <w:t>​</w:t>
            </w:r>
          </w:p>
        </w:tc>
        <w:tc>
          <w:tcPr>
            <w:tcW w:w="436" w:type="dxa"/>
            <w:tcBorders/>
            <w:vAlign w:val="center"/>
          </w:tcPr>
          <w:p>
            <w:pPr>
              <w:pStyle w:val="TableContents"/>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2131" w:type="dxa"/>
            <w:tcBorders/>
            <w:vAlign w:val="center"/>
          </w:tcPr>
          <w:p>
            <w:pPr>
              <w:pStyle w:val="TableContents"/>
              <w:bidi w:val="0"/>
              <w:spacing w:lineRule="auto" w:line="283" w:before="0" w:after="0"/>
              <w:ind w:left="0" w:right="0" w:hanging="0"/>
              <w:jc w:val="left"/>
              <w:rPr/>
            </w:pPr>
            <w:r>
              <w:rPr/>
              <w:t>​</w:t>
            </w:r>
          </w:p>
        </w:tc>
        <w:tc>
          <w:tcPr>
            <w:tcW w:w="361" w:type="dxa"/>
            <w:tcBorders/>
            <w:vAlign w:val="center"/>
          </w:tcPr>
          <w:p>
            <w:pPr>
              <w:pStyle w:val="TableContents"/>
              <w:bidi w:val="0"/>
              <w:spacing w:lineRule="auto" w:line="283" w:before="0" w:after="0"/>
              <w:ind w:left="0" w:right="0" w:hanging="0"/>
              <w:jc w:val="left"/>
              <w:rPr/>
            </w:pPr>
            <w:r>
              <w:rPr/>
              <w:t>​</w:t>
            </w:r>
          </w:p>
        </w:tc>
      </w:tr>
      <w:tr>
        <w:trPr/>
        <w:tc>
          <w:tcPr>
            <w:tcW w:w="1771" w:type="dxa"/>
            <w:tcBorders/>
            <w:vAlign w:val="center"/>
          </w:tcPr>
          <w:p>
            <w:pPr>
              <w:pStyle w:val="TableContents"/>
              <w:bidi w:val="0"/>
              <w:spacing w:lineRule="auto" w:line="283" w:before="0" w:after="0"/>
              <w:ind w:left="0" w:right="0" w:hanging="0"/>
              <w:jc w:val="left"/>
              <w:rPr/>
            </w:pPr>
            <w:r>
              <w:rPr/>
              <w:t>​</w:t>
            </w:r>
          </w:p>
        </w:tc>
        <w:tc>
          <w:tcPr>
            <w:tcW w:w="436" w:type="dxa"/>
            <w:tcBorders/>
            <w:vAlign w:val="center"/>
          </w:tcPr>
          <w:p>
            <w:pPr>
              <w:pStyle w:val="TableContents"/>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2131" w:type="dxa"/>
            <w:tcBorders/>
            <w:vAlign w:val="center"/>
          </w:tcPr>
          <w:p>
            <w:pPr>
              <w:pStyle w:val="TableContents"/>
              <w:bidi w:val="0"/>
              <w:spacing w:lineRule="auto" w:line="283"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lineRule="auto" w:line="283" w:before="0" w:after="0"/>
              <w:ind w:left="0" w:right="0" w:hanging="0"/>
              <w:jc w:val="left"/>
              <w:rPr/>
            </w:pPr>
            <w:r>
              <w:rPr/>
              <w:t>☐</w:t>
            </w:r>
          </w:p>
        </w:tc>
      </w:tr>
    </w:tbl>
    <w:p>
      <w:pPr>
        <w:pStyle w:val="TextBody"/>
        <w:bidi w:val="0"/>
        <w:spacing w:lineRule="auto" w:line="283" w:before="0" w:after="0"/>
        <w:ind w:left="0" w:right="0" w:hanging="0"/>
        <w:jc w:val="left"/>
        <w:rPr/>
      </w:pPr>
      <w:r>
        <w:rPr/>
        <w:t>​</w:t>
      </w:r>
    </w:p>
    <w:p>
      <w:pPr>
        <w:pStyle w:val="TextBody"/>
        <w:bidi w:val="0"/>
        <w:spacing w:lineRule="auto" w:line="283" w:before="0" w:after="0"/>
        <w:ind w:left="0" w:right="0" w:firstLine="49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3" w:before="0" w:after="0"/>
        <w:ind w:left="0" w:right="0" w:hanging="0"/>
        <w:jc w:val="both"/>
        <w:rPr/>
      </w:pPr>
      <w:r>
        <w:rPr/>
        <w:t>​</w:t>
      </w:r>
    </w:p>
    <w:p>
      <w:pPr>
        <w:pStyle w:val="TextBody"/>
        <w:bidi w:val="0"/>
        <w:spacing w:lineRule="auto" w:line="283" w:before="0" w:after="0"/>
        <w:ind w:left="0" w:right="0" w:firstLine="49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lineRule="auto" w:line="283" w:before="0" w:after="0"/>
        <w:ind w:left="0" w:right="0" w:hanging="0"/>
        <w:jc w:val="left"/>
        <w:rPr/>
      </w:pPr>
      <w:r>
        <w:rPr/>
        <w:t>​</w:t>
      </w:r>
    </w:p>
    <w:p>
      <w:pPr>
        <w:pStyle w:val="TextBody"/>
        <w:bidi w:val="0"/>
        <w:spacing w:lineRule="auto" w:line="283" w:before="0" w:after="0"/>
        <w:ind w:left="0" w:right="0" w:firstLine="490"/>
        <w:jc w:val="left"/>
        <w:rPr>
          <w:rFonts w:ascii="Times New Roman;Times;serif" w:hAnsi="Times New Roman;Times;serif"/>
          <w:sz w:val="18"/>
        </w:rPr>
      </w:pPr>
      <w:r>
        <w:rPr>
          <w:rFonts w:ascii="Times New Roman;Times;serif" w:hAnsi="Times New Roman;Times;serif"/>
          <w:sz w:val="18"/>
        </w:rPr>
        <w:t>As of July 21, 2026, there were 37,485,454 shares of the registrant’s common stock, $0.01 par value per share, outstanding.</w:t>
      </w:r>
    </w:p>
    <w:p>
      <w:pPr>
        <w:pStyle w:val="TextBody"/>
        <w:bidi w:val="0"/>
        <w:spacing w:lineRule="auto" w:line="283" w:before="0" w:after="0"/>
        <w:ind w:left="0" w:right="0" w:hanging="0"/>
        <w:jc w:val="center"/>
        <w:rPr/>
      </w:pPr>
      <w:r>
        <w:rPr/>
        <w:t>​</w:t>
      </w:r>
    </w:p>
    <w:p>
      <w:pPr>
        <w:pStyle w:val="TextBody"/>
        <w:pBdr>
          <w:bottom w:val="single" w:sz="8" w:space="1" w:color="000000"/>
        </w:pBdr>
        <w:bidi w:val="0"/>
        <w:spacing w:before="0" w:after="0"/>
        <w:ind w:left="0" w:right="0" w:hanging="0"/>
        <w:jc w:val="center"/>
        <w:rPr>
          <w:bdr w:val="single" w:sz="24" w:space="1" w:color="000000"/>
        </w:rPr>
      </w:pPr>
      <w:r>
        <w:rPr>
          <w:bdr w:val="single" w:sz="24" w:space="1" w:color="000000"/>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45" w:name="Toc"/>
      <w:bookmarkStart w:id="46" w:name="_d31b4abf_86d7_48da_b8c9_13dfcf4d6b01"/>
      <w:bookmarkEnd w:id="45"/>
      <w:bookmarkEnd w:id="46"/>
      <w:r>
        <w:rPr>
          <w:rFonts w:ascii="Times New Roman;Times;serif" w:hAnsi="Times New Roman;Times;serif"/>
          <w:sz w:val="20"/>
        </w:rPr>
        <w:t>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288"/>
        <w:gridCol w:w="346"/>
        <w:gridCol w:w="571"/>
      </w:tblGrid>
      <w:tr>
        <w:trPr/>
        <w:tc>
          <w:tcPr>
            <w:tcW w:w="92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283"/>
              <w:ind w:left="0" w:right="0" w:hanging="0"/>
              <w:jc w:val="left"/>
              <w:rPr>
                <w:sz w:val="4"/>
                <w:szCs w:val="4"/>
              </w:rPr>
            </w:pPr>
            <w:r>
              <w:rPr>
                <w:sz w:val="4"/>
                <w:szCs w:val="4"/>
              </w:rPr>
            </w:r>
          </w:p>
        </w:tc>
      </w:tr>
      <w:tr>
        <w:trPr/>
        <w:tc>
          <w:tcPr>
            <w:tcW w:w="92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2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w:t>
            </w:r>
          </w:p>
        </w:tc>
      </w:tr>
      <w:tr>
        <w:trPr/>
        <w:tc>
          <w:tcPr>
            <w:tcW w:w="9288" w:type="dxa"/>
            <w:tcBorders/>
            <w:vAlign w:val="center"/>
          </w:tcPr>
          <w:p>
            <w:pPr>
              <w:pStyle w:val="TableContents"/>
              <w:bidi w:val="0"/>
              <w:spacing w:before="0" w:after="0"/>
              <w:ind w:left="0" w:right="0" w:hanging="0"/>
              <w:jc w:val="left"/>
              <w:rPr/>
            </w:pPr>
            <w:hyperlink w:anchor="PARTIFINANCIALINFORMATION_609111">
              <w:r>
                <w:rPr>
                  <w:rStyle w:val="InternetLink"/>
                  <w:rFonts w:ascii="Times New Roman;Times;serif" w:hAnsi="Times New Roman;Times;serif"/>
                  <w:b w:val="false"/>
                  <w:i w:val="false"/>
                  <w:caps w:val="false"/>
                  <w:smallCaps w:val="false"/>
                  <w:sz w:val="20"/>
                </w:rPr>
                <w:t>PART I—FINANCIAL INFORMATION</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ITEM1FINANCIALSTATEMENTS_334556">
              <w:r>
                <w:rPr>
                  <w:rStyle w:val="InternetLink"/>
                  <w:rFonts w:ascii="Times New Roman;Times;serif" w:hAnsi="Times New Roman;Times;serif"/>
                  <w:b w:val="false"/>
                  <w:i w:val="false"/>
                  <w:caps w:val="false"/>
                  <w:smallCaps w:val="false"/>
                  <w:sz w:val="20"/>
                </w:rPr>
                <w:t>Item 1.      Financial Statements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CONSOLIDATEDBALANCESHEETS">
              <w:r>
                <w:rPr>
                  <w:rStyle w:val="InternetLink"/>
                  <w:rFonts w:ascii="Times New Roman;Times;serif" w:hAnsi="Times New Roman;Times;serif"/>
                  <w:b w:val="false"/>
                  <w:i w:val="false"/>
                  <w:caps w:val="false"/>
                  <w:smallCaps w:val="false"/>
                  <w:sz w:val="20"/>
                </w:rPr>
                <w:t>Consolidated Balance Sheets – June 30, 2026 (Unaudited) and December 31, 2025</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2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CONSOLIDATEDSTATEMENTSOFOPERATIONS_48896">
              <w:r>
                <w:rPr>
                  <w:rStyle w:val="InternetLink"/>
                  <w:rFonts w:ascii="Times New Roman;Times;serif" w:hAnsi="Times New Roman;Times;serif"/>
                  <w:b w:val="false"/>
                  <w:i w:val="false"/>
                  <w:caps w:val="false"/>
                  <w:smallCaps w:val="false"/>
                  <w:sz w:val="20"/>
                </w:rPr>
                <w:t>Consolidated Statements of Operations – Three and six months ended June 30, 2026 and 2025 (Unaudited)</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2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288" w:type="dxa"/>
            <w:tcBorders/>
            <w:vAlign w:val="center"/>
          </w:tcPr>
          <w:p>
            <w:pPr>
              <w:pStyle w:val="TableContents"/>
              <w:pBdr/>
              <w:bidi w:val="0"/>
              <w:spacing w:before="0" w:after="0"/>
              <w:ind w:left="0" w:right="0" w:hanging="0"/>
              <w:jc w:val="left"/>
              <w:rPr/>
            </w:pPr>
            <w:hyperlink w:anchor="CONSOLIDATEDSTATEMENTSOFCOMPREHENSIVEINC">
              <w:r>
                <w:rPr>
                  <w:rStyle w:val="InternetLink"/>
                  <w:rFonts w:ascii="Times New Roman;Times;serif" w:hAnsi="Times New Roman;Times;serif"/>
                  <w:b w:val="false"/>
                  <w:i w:val="false"/>
                  <w:caps w:val="false"/>
                  <w:smallCaps w:val="false"/>
                  <w:sz w:val="20"/>
                </w:rPr>
                <w:t>Consolidated Statements of Comprehensive Income – Three and six months ended June 30, 2026 and 2025 (Unaudited)</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2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288" w:type="dxa"/>
            <w:tcBorders/>
            <w:vAlign w:val="center"/>
          </w:tcPr>
          <w:p>
            <w:pPr>
              <w:pStyle w:val="TableContents"/>
              <w:pBdr/>
              <w:bidi w:val="0"/>
              <w:spacing w:before="0" w:after="0"/>
              <w:ind w:left="0" w:right="0" w:hanging="0"/>
              <w:jc w:val="left"/>
              <w:rPr/>
            </w:pPr>
            <w:hyperlink w:anchor="CONSOLIDATEDSTATEMENTSOFSHAREHOLDERSEQUI">
              <w:r>
                <w:rPr>
                  <w:rStyle w:val="InternetLink"/>
                  <w:rFonts w:ascii="Times New Roman;Times;serif" w:hAnsi="Times New Roman;Times;serif"/>
                  <w:b w:val="false"/>
                  <w:i w:val="false"/>
                  <w:caps w:val="false"/>
                  <w:smallCaps w:val="false"/>
                  <w:sz w:val="20"/>
                </w:rPr>
                <w:t>Consolidated Statements of Stockholders’ Equity – Three and six months ended June 30, 2026 and 2025 (Unaudited)</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2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CONSOLIDATEDSTATEMENTSOFCASHFLOWS_277552">
              <w:r>
                <w:rPr>
                  <w:rStyle w:val="InternetLink"/>
                  <w:rFonts w:ascii="Times New Roman;Times;serif" w:hAnsi="Times New Roman;Times;serif"/>
                  <w:b w:val="false"/>
                  <w:i w:val="false"/>
                  <w:caps w:val="false"/>
                  <w:smallCaps w:val="false"/>
                  <w:sz w:val="20"/>
                </w:rPr>
                <w:t>Consolidated Statements of Cash Flows – Six months ended June 30, 2026 and 2025 (Unaudited)</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2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NOTE1DESCRIPTIONOFBUSINESSANDPRINCIPLES">
              <w:r>
                <w:rPr>
                  <w:rStyle w:val="InternetLink"/>
                  <w:rFonts w:ascii="Times New Roman;Times;serif" w:hAnsi="Times New Roman;Times;serif"/>
                  <w:b w:val="false"/>
                  <w:i w:val="false"/>
                  <w:caps w:val="false"/>
                  <w:smallCaps w:val="false"/>
                  <w:sz w:val="20"/>
                </w:rPr>
                <w:t>Notes to Consolidated Financial Statements (Unaudited)</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92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ITEM2MANAGEMENTSDISCUSSIONANDANALYSIS_90">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2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ITEM3QUANTITATIVEANDQUALITATIVE_871147">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92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ITEM4CONTROLSANDPROCEDURES_992496">
              <w:r>
                <w:rPr>
                  <w:rStyle w:val="InternetLink"/>
                  <w:rFonts w:ascii="Times New Roman;Times;serif" w:hAnsi="Times New Roman;Times;serif"/>
                  <w:b w:val="false"/>
                  <w:i w:val="false"/>
                  <w:caps w:val="false"/>
                  <w:smallCaps w:val="false"/>
                  <w:sz w:val="20"/>
                </w:rPr>
                <w:t>Item 4.      Controls and Procedures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92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PARTIIOTHERINFORMATION_47745">
              <w:r>
                <w:rPr>
                  <w:rStyle w:val="InternetLink"/>
                  <w:rFonts w:ascii="Times New Roman;Times;serif" w:hAnsi="Times New Roman;Times;serif"/>
                  <w:b w:val="false"/>
                  <w:i w:val="false"/>
                  <w:caps w:val="false"/>
                  <w:smallCaps w:val="false"/>
                  <w:sz w:val="20"/>
                </w:rPr>
                <w:t>PART II—OTHER INFORMATION</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92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ITEM1LEGALPROCEEDINGS_995157">
              <w:r>
                <w:rPr>
                  <w:rStyle w:val="InternetLink"/>
                  <w:rFonts w:ascii="Times New Roman;Times;serif" w:hAnsi="Times New Roman;Times;serif"/>
                  <w:b w:val="false"/>
                  <w:i w:val="false"/>
                  <w:caps w:val="false"/>
                  <w:smallCaps w:val="false"/>
                  <w:sz w:val="20"/>
                </w:rPr>
                <w:t>Item 1.      Legal Proceedings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92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ITEM1ARISKFACTORS_785246">
              <w:r>
                <w:rPr>
                  <w:rStyle w:val="InternetLink"/>
                  <w:rFonts w:ascii="Times New Roman;Times;serif" w:hAnsi="Times New Roman;Times;serif"/>
                  <w:b w:val="false"/>
                  <w:i w:val="false"/>
                  <w:caps w:val="false"/>
                  <w:smallCaps w:val="false"/>
                  <w:sz w:val="20"/>
                </w:rPr>
                <w:t>Item 1A.   Risk Factors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92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ITEM2UNREGISTEREDSALESOFEQUITY_229264">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92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ITEM3DEFAULTSUPONSENIORSECURITIES_987801">
              <w:r>
                <w:rPr>
                  <w:rStyle w:val="InternetLink"/>
                  <w:rFonts w:ascii="Times New Roman;Times;serif" w:hAnsi="Times New Roman;Times;serif"/>
                  <w:b w:val="false"/>
                  <w:i w:val="false"/>
                  <w:caps w:val="false"/>
                  <w:smallCaps w:val="false"/>
                  <w:sz w:val="20"/>
                </w:rPr>
                <w:t>Item 3.      Defaults Upon Senior Securities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92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ITEM4MINESAFETYDISCLOSURES_773804">
              <w:r>
                <w:rPr>
                  <w:rStyle w:val="InternetLink"/>
                  <w:rFonts w:ascii="Times New Roman;Times;serif" w:hAnsi="Times New Roman;Times;serif"/>
                  <w:b w:val="false"/>
                  <w:i w:val="false"/>
                  <w:caps w:val="false"/>
                  <w:smallCaps w:val="false"/>
                  <w:sz w:val="20"/>
                </w:rPr>
                <w:t>Item 4.      Mine Safety Disclosures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92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ITEM5OTHERINFORMATION_783928">
              <w:r>
                <w:rPr>
                  <w:rStyle w:val="InternetLink"/>
                  <w:rFonts w:ascii="Times New Roman;Times;serif" w:hAnsi="Times New Roman;Times;serif"/>
                  <w:b w:val="false"/>
                  <w:i w:val="false"/>
                  <w:caps w:val="false"/>
                  <w:smallCaps w:val="false"/>
                  <w:sz w:val="20"/>
                </w:rPr>
                <w:t>Item 5.      Other Information</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92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ITEM6EXHIBITS_552522">
              <w:r>
                <w:rPr>
                  <w:rStyle w:val="InternetLink"/>
                  <w:rFonts w:ascii="Times New Roman;Times;serif" w:hAnsi="Times New Roman;Times;serif"/>
                  <w:b w:val="false"/>
                  <w:i w:val="false"/>
                  <w:caps w:val="false"/>
                  <w:smallCaps w:val="false"/>
                  <w:sz w:val="20"/>
                </w:rPr>
                <w:t>Item 6.      Exhibits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92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Signatures_930257">
              <w:r>
                <w:rPr>
                  <w:rStyle w:val="InternetLink"/>
                  <w:rFonts w:ascii="Times New Roman;Times;serif" w:hAnsi="Times New Roman;Times;serif"/>
                  <w:b w:val="false"/>
                  <w:i w:val="false"/>
                  <w:caps w:val="false"/>
                  <w:smallCaps w:val="false"/>
                  <w:sz w:val="20"/>
                </w:rPr>
                <w:t>SIGNATURES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7" w:name="PARTIFINANCIALINFORMATION_609111"/>
      <w:bookmarkStart w:id="48" w:name="_588b6a35_5837_48a4_abb2_3990d4aef575"/>
      <w:bookmarkEnd w:id="47"/>
      <w:bookmarkEnd w:id="48"/>
      <w:r>
        <w:rPr>
          <w:rFonts w:ascii="Times New Roman;Times;serif" w:hAnsi="Times New Roman;Times;serif"/>
          <w:b/>
          <w:sz w:val="20"/>
        </w:rPr>
        <w:t>PART I—FINANCIAL INFORMATION</w:t>
      </w:r>
    </w:p>
    <w:p>
      <w:pPr>
        <w:pStyle w:val="TextBody"/>
        <w:bidi w:val="0"/>
        <w:spacing w:before="0" w:after="0"/>
        <w:ind w:left="0" w:right="0" w:hanging="0"/>
        <w:jc w:val="center"/>
        <w:rPr>
          <w:rFonts w:ascii="Times New Roman;Times;serif" w:hAnsi="Times New Roman;Times;serif"/>
          <w:b/>
          <w:sz w:val="20"/>
        </w:rPr>
      </w:pPr>
      <w:bookmarkStart w:id="49" w:name="ITEM1FINANCIALSTATEMENTS_334556"/>
      <w:bookmarkEnd w:id="49"/>
      <w:r>
        <w:rPr>
          <w:rFonts w:ascii="Times New Roman;Times;serif" w:hAnsi="Times New Roman;Times;serif"/>
          <w:b/>
          <w:sz w:val="20"/>
        </w:rPr>
        <w:t>ITEM 1.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bookmarkStart w:id="50" w:name="CONSOLIDATEDBALANCESHEETS"/>
      <w:bookmarkEnd w:id="50"/>
      <w:r>
        <w:rPr>
          <w:rFonts w:ascii="Times New Roman;Times;serif" w:hAnsi="Times New Roman;Times;serif"/>
          <w:sz w:val="20"/>
        </w:rPr>
        <w:t>CTO REALTY GROWTH,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 BALANCE SHEETS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 except share and per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51" w:name="Tc_LqaeXBVJ40-ZQMDAyqP-LA_38_5"/>
      <w:bookmarkStart w:id="52" w:name="Tc_PqdvqsNxrUmq2t4p8F_i-g_38_2"/>
      <w:bookmarkStart w:id="53" w:name="Tc_235Tr2P-AkOwmkn6H8EkuQ_38_0"/>
      <w:bookmarkStart w:id="54" w:name="Tc_Mj_6WTcsnkCiJ10fVaJkrA_37_0"/>
      <w:bookmarkStart w:id="55" w:name="Tc_kVuCuis-50GjI9X9YRPNqQ_36_0"/>
      <w:bookmarkStart w:id="56" w:name="Tc_st62vlTSnkGKX2UbX69MDw_35_0"/>
      <w:bookmarkStart w:id="57" w:name="Tc_H0MOjZx2pkGq4eEgiGOKGw_34_0"/>
      <w:bookmarkStart w:id="58" w:name="Tc_mA8pANy5P06ARjgHMXhsZw_33_0"/>
      <w:bookmarkStart w:id="59" w:name="Tc_vemuZ1YrdEyVzQ4cNkM22A_32_0"/>
      <w:bookmarkStart w:id="60" w:name="Tc_1XVP0glI9UepFAaiPeFX2g_31_0"/>
      <w:bookmarkStart w:id="61" w:name="Tc_B54YojR7VUK0h1T86zBULg_30_0"/>
      <w:bookmarkStart w:id="62" w:name="Tc_dOvxXozsNkqfIrGNMuI8Dg_29_0"/>
      <w:bookmarkStart w:id="63" w:name="Tc_RrRqk2T7EEWDJAu7IVLWZg_28_0"/>
      <w:bookmarkStart w:id="64" w:name="Tc_J5Mwxo0IYkuqO_lXOSKgIA_27_0"/>
      <w:bookmarkStart w:id="65" w:name="Tc_QAfE1OChUE6ZY4Lumrp69g_26_0"/>
      <w:bookmarkStart w:id="66" w:name="Tc_g8GjPNIIHEuHgNRnv0UCUA_25_0"/>
      <w:bookmarkStart w:id="67" w:name="Tc_Z0-Stexq4UC1MomntumYpw_24_0"/>
      <w:bookmarkStart w:id="68" w:name="Tc_H9mJgWFwc0Wd2H5w7aceLA_23_5"/>
      <w:bookmarkStart w:id="69" w:name="Tc_dq1GvXO0z0u5j1HdW3mr8Q_23_2"/>
      <w:bookmarkStart w:id="70" w:name="Tc_W2UnpZA45kGWAUYmh2dMvw_23_0"/>
      <w:bookmarkStart w:id="71" w:name="Tc_iXrAbodNvES5D70sqJ4rrQ_22_0"/>
      <w:bookmarkStart w:id="72" w:name="Tc_DrTS8GuJS0yIaRFBVC0EVg_21_0"/>
      <w:bookmarkStart w:id="73" w:name="Tc_mNER0PL4UUyUCK2S_av6ZQ_20_5"/>
      <w:bookmarkStart w:id="74" w:name="Tc_4-2amp47HkO631HsbL6Cxg_20_2"/>
      <w:bookmarkStart w:id="75" w:name="Tc_u3NNEF4PgUee9J0Mligxvw_20_0"/>
      <w:bookmarkStart w:id="76" w:name="Tc_bZL72pJwGEiu2RXN3XqEug_19_0"/>
      <w:bookmarkStart w:id="77" w:name="Tc_zgON8yxXxEeFVyqemIwiCA_18_0"/>
      <w:bookmarkStart w:id="78" w:name="Tc_gD9bicsu8EuKvEsBPcxNhw_17_0"/>
      <w:bookmarkStart w:id="79" w:name="Tc_cBNIkSv7UUmz5qyyZbs4qQ_16_0"/>
      <w:bookmarkStart w:id="80" w:name="Tc_z6O1I-9jgE-BgXw3aN-bbA_15_0"/>
      <w:bookmarkStart w:id="81" w:name="Tc_7Xa9zkP1Y0Oyeia4VSXgPw_14_0"/>
      <w:bookmarkStart w:id="82" w:name="Tc_oZIk-s_x2kCjDJbgyDJxWQ_13_0"/>
      <w:bookmarkStart w:id="83" w:name="Tc_wJqjAVBhwEe82ZeQoSptDg_12_3"/>
      <w:bookmarkStart w:id="84" w:name="Tc_Ld3UAqUGJkeV4T8G9EFyow_12_0"/>
      <w:bookmarkStart w:id="85" w:name="Tc_q9rHgThSdUq2XXEOIEFE_g_11_0"/>
      <w:bookmarkStart w:id="86" w:name="Tc_jaPa2CDVEkuN_0q4O23V0g_10_0"/>
      <w:bookmarkStart w:id="87" w:name="Tc_fW20sgtzQ0WdpD4V3Fw_-A_9_0"/>
      <w:bookmarkStart w:id="88" w:name="Tc_9K6da06qE0O6nBCZDlooSg_8_0"/>
      <w:bookmarkStart w:id="89" w:name="Tc_BQgoznLOG0601EICQsbdbw_7_0"/>
      <w:bookmarkStart w:id="90" w:name="Tc_i2NIrIuUV0e8icSoVx8OnQ_6_0"/>
      <w:bookmarkStart w:id="91" w:name="Tc_thNOJs43-kKbVVOlN7r-ew_5_5"/>
      <w:bookmarkStart w:id="92" w:name="Tc_DBQioSHLwUKGF6SVsrUiaA_5_2"/>
      <w:bookmarkStart w:id="93" w:name="Tc_d2S6ABzKLUy9GR3iFanyyw_5_0"/>
      <w:bookmarkStart w:id="94" w:name="Tc_tomrAs7xCUKxhKUSf0i5uw_4_0"/>
      <w:bookmarkStart w:id="95" w:name="Tc_eXczev4WA0iU_Gmk6xWYPw_3_0"/>
      <w:bookmarkStart w:id="96" w:name="Tc_IxndWGtB-0aQKtMpbNoy4A_2_5"/>
      <w:bookmarkStart w:id="97" w:name="Tc_oeKiA9uC2EyyC-bjpdlyug_2_2"/>
      <w:bookmarkStart w:id="98" w:name="Tc_6u7r-mlvL0y3seG9nZQirw_1_2"/>
      <w:bookmarkStart w:id="99" w:name="_072f47aa_2fec_4474_90c4_971cb29a3b3c"/>
      <w:bookmarkStart w:id="100" w:name="Tc_LqaeXBVJ40-ZQMDAyqP-LA_38_5"/>
      <w:bookmarkStart w:id="101" w:name="Tc_PqdvqsNxrUmq2t4p8F_i-g_38_2"/>
      <w:bookmarkStart w:id="102" w:name="Tc_235Tr2P-AkOwmkn6H8EkuQ_38_0"/>
      <w:bookmarkStart w:id="103" w:name="Tc_Mj_6WTcsnkCiJ10fVaJkrA_37_0"/>
      <w:bookmarkStart w:id="104" w:name="Tc_kVuCuis-50GjI9X9YRPNqQ_36_0"/>
      <w:bookmarkStart w:id="105" w:name="Tc_st62vlTSnkGKX2UbX69MDw_35_0"/>
      <w:bookmarkStart w:id="106" w:name="Tc_H0MOjZx2pkGq4eEgiGOKGw_34_0"/>
      <w:bookmarkStart w:id="107" w:name="Tc_mA8pANy5P06ARjgHMXhsZw_33_0"/>
      <w:bookmarkStart w:id="108" w:name="Tc_vemuZ1YrdEyVzQ4cNkM22A_32_0"/>
      <w:bookmarkStart w:id="109" w:name="Tc_1XVP0glI9UepFAaiPeFX2g_31_0"/>
      <w:bookmarkStart w:id="110" w:name="Tc_B54YojR7VUK0h1T86zBULg_30_0"/>
      <w:bookmarkStart w:id="111" w:name="Tc_dOvxXozsNkqfIrGNMuI8Dg_29_0"/>
      <w:bookmarkStart w:id="112" w:name="Tc_RrRqk2T7EEWDJAu7IVLWZg_28_0"/>
      <w:bookmarkStart w:id="113" w:name="Tc_J5Mwxo0IYkuqO_lXOSKgIA_27_0"/>
      <w:bookmarkStart w:id="114" w:name="Tc_QAfE1OChUE6ZY4Lumrp69g_26_0"/>
      <w:bookmarkStart w:id="115" w:name="Tc_g8GjPNIIHEuHgNRnv0UCUA_25_0"/>
      <w:bookmarkStart w:id="116" w:name="Tc_Z0-Stexq4UC1MomntumYpw_24_0"/>
      <w:bookmarkStart w:id="117" w:name="Tc_H9mJgWFwc0Wd2H5w7aceLA_23_5"/>
      <w:bookmarkStart w:id="118" w:name="Tc_dq1GvXO0z0u5j1HdW3mr8Q_23_2"/>
      <w:bookmarkStart w:id="119" w:name="Tc_W2UnpZA45kGWAUYmh2dMvw_23_0"/>
      <w:bookmarkStart w:id="120" w:name="Tc_iXrAbodNvES5D70sqJ4rrQ_22_0"/>
      <w:bookmarkStart w:id="121" w:name="Tc_DrTS8GuJS0yIaRFBVC0EVg_21_0"/>
      <w:bookmarkStart w:id="122" w:name="Tc_mNER0PL4UUyUCK2S_av6ZQ_20_5"/>
      <w:bookmarkStart w:id="123" w:name="Tc_4-2amp47HkO631HsbL6Cxg_20_2"/>
      <w:bookmarkStart w:id="124" w:name="Tc_u3NNEF4PgUee9J0Mligxvw_20_0"/>
      <w:bookmarkStart w:id="125" w:name="Tc_bZL72pJwGEiu2RXN3XqEug_19_0"/>
      <w:bookmarkStart w:id="126" w:name="Tc_zgON8yxXxEeFVyqemIwiCA_18_0"/>
      <w:bookmarkStart w:id="127" w:name="Tc_gD9bicsu8EuKvEsBPcxNhw_17_0"/>
      <w:bookmarkStart w:id="128" w:name="Tc_cBNIkSv7UUmz5qyyZbs4qQ_16_0"/>
      <w:bookmarkStart w:id="129" w:name="Tc_z6O1I-9jgE-BgXw3aN-bbA_15_0"/>
      <w:bookmarkStart w:id="130" w:name="Tc_7Xa9zkP1Y0Oyeia4VSXgPw_14_0"/>
      <w:bookmarkStart w:id="131" w:name="Tc_oZIk-s_x2kCjDJbgyDJxWQ_13_0"/>
      <w:bookmarkStart w:id="132" w:name="Tc_wJqjAVBhwEe82ZeQoSptDg_12_3"/>
      <w:bookmarkStart w:id="133" w:name="Tc_Ld3UAqUGJkeV4T8G9EFyow_12_0"/>
      <w:bookmarkStart w:id="134" w:name="Tc_q9rHgThSdUq2XXEOIEFE_g_11_0"/>
      <w:bookmarkStart w:id="135" w:name="Tc_jaPa2CDVEkuN_0q4O23V0g_10_0"/>
      <w:bookmarkStart w:id="136" w:name="Tc_fW20sgtzQ0WdpD4V3Fw_-A_9_0"/>
      <w:bookmarkStart w:id="137" w:name="Tc_9K6da06qE0O6nBCZDlooSg_8_0"/>
      <w:bookmarkStart w:id="138" w:name="Tc_BQgoznLOG0601EICQsbdbw_7_0"/>
      <w:bookmarkStart w:id="139" w:name="Tc_i2NIrIuUV0e8icSoVx8OnQ_6_0"/>
      <w:bookmarkStart w:id="140" w:name="Tc_thNOJs43-kKbVVOlN7r-ew_5_5"/>
      <w:bookmarkStart w:id="141" w:name="Tc_DBQioSHLwUKGF6SVsrUiaA_5_2"/>
      <w:bookmarkStart w:id="142" w:name="Tc_d2S6ABzKLUy9GR3iFanyyw_5_0"/>
      <w:bookmarkStart w:id="143" w:name="Tc_tomrAs7xCUKxhKUSf0i5uw_4_0"/>
      <w:bookmarkStart w:id="144" w:name="Tc_eXczev4WA0iU_Gmk6xWYPw_3_0"/>
      <w:bookmarkStart w:id="145" w:name="Tc_IxndWGtB-0aQKtMpbNoy4A_2_5"/>
      <w:bookmarkStart w:id="146" w:name="Tc_oeKiA9uC2EyyC-bjpdlyug_2_2"/>
      <w:bookmarkStart w:id="147" w:name="Tc_6u7r-mlvL0y3seG9nZQirw_1_2"/>
      <w:bookmarkStart w:id="148" w:name="_072f47aa_2fec_4474_90c4_971cb29a3b3c"/>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tbl>
      <w:tblPr>
        <w:tblW w:w="10205" w:type="dxa"/>
        <w:jc w:val="left"/>
        <w:tblInd w:w="0" w:type="dxa"/>
        <w:tblLayout w:type="fixed"/>
        <w:tblCellMar>
          <w:top w:w="0" w:type="dxa"/>
          <w:left w:w="0" w:type="dxa"/>
          <w:bottom w:w="0" w:type="dxa"/>
          <w:right w:w="0" w:type="dxa"/>
        </w:tblCellMar>
      </w:tblPr>
      <w:tblGrid>
        <w:gridCol w:w="6945"/>
        <w:gridCol w:w="346"/>
        <w:gridCol w:w="217"/>
        <w:gridCol w:w="960"/>
        <w:gridCol w:w="346"/>
        <w:gridCol w:w="234"/>
        <w:gridCol w:w="1157"/>
      </w:tblGrid>
      <w:tr>
        <w:trPr/>
        <w:tc>
          <w:tcPr>
            <w:tcW w:w="69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9710" cy="175260"/>
                      <wp:effectExtent l="0" t="0" r="0" b="0"/>
                      <wp:wrapNone/>
                      <wp:docPr id="1" name="Frame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37795" cy="175260"/>
                      <wp:effectExtent l="0" t="0" r="0" b="0"/>
                      <wp:wrapNone/>
                      <wp:docPr id="2" name="Frame2"/>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09600" cy="175260"/>
                      <wp:effectExtent l="0" t="0" r="0" b="0"/>
                      <wp:wrapNone/>
                      <wp:docPr id="3" name="Frame3"/>
                      <a:graphic xmlns:a="http://schemas.openxmlformats.org/drawingml/2006/main">
                        <a:graphicData uri="http://schemas.microsoft.com/office/word/2010/wordprocessingShape">
                          <wps:wsp>
                            <wps:cNvSpPr txBox="1"/>
                            <wps:spPr>
                              <a:xfrm>
                                <a:off x="0" y="0"/>
                                <a:ext cx="609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48590" cy="175260"/>
                      <wp:effectExtent l="0" t="0" r="0" b="0"/>
                      <wp:wrapNone/>
                      <wp:docPr id="5" name="Frame5"/>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734695" cy="175260"/>
                      <wp:effectExtent l="0" t="0" r="0" b="0"/>
                      <wp:wrapNone/>
                      <wp:docPr id="6" name="Frame6"/>
                      <a:graphic xmlns:a="http://schemas.openxmlformats.org/drawingml/2006/main">
                        <a:graphicData uri="http://schemas.microsoft.com/office/word/2010/wordprocessingShape">
                          <wps:wsp>
                            <wps:cNvSpPr txBox="1"/>
                            <wps:spPr>
                              <a:xfrm>
                                <a:off x="0" y="0"/>
                                <a:ext cx="734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694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br/>
              <w:t>June 30, 2026</w:t>
            </w:r>
          </w:p>
        </w:tc>
        <w:tc>
          <w:tcPr>
            <w:tcW w:w="346" w:type="dxa"/>
            <w:tcBorders/>
            <w:vAlign w:val="center"/>
          </w:tcPr>
          <w:p>
            <w:pPr>
              <w:pStyle w:val="TableContents"/>
              <w:bidi w:val="0"/>
              <w:spacing w:before="0" w:after="0"/>
              <w:ind w:left="0" w:right="0" w:hanging="0"/>
              <w:jc w:val="center"/>
              <w:rPr/>
            </w:pPr>
            <w:r>
              <w:rPr/>
              <w:t>  ​ ​ ​</w:t>
            </w:r>
          </w:p>
        </w:tc>
        <w:tc>
          <w:tcPr>
            <w:tcW w:w="13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694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right"/>
              <w:rPr/>
            </w:pPr>
            <w:r>
              <w:rPr/>
              <w:t>​</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pPr>
            <w:r>
              <w:rPr/>
              <w:t>​</w:t>
            </w:r>
          </w:p>
        </w:tc>
      </w:tr>
      <w:tr>
        <w:trPr/>
        <w:tc>
          <w:tcPr>
            <w:tcW w:w="6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at Cost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298,959</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289,012</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 and Improvements, at Cost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799,569</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766,371</w:t>
            </w:r>
          </w:p>
        </w:tc>
      </w:tr>
      <w:tr>
        <w:trPr/>
        <w:tc>
          <w:tcPr>
            <w:tcW w:w="6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Furnishings and Equipment, at Cost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Process, at Cost</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8,501</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4,091</w:t>
            </w:r>
          </w:p>
        </w:tc>
      </w:tr>
      <w:tr>
        <w:trPr/>
        <w:tc>
          <w:tcPr>
            <w:tcW w:w="6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Real Estate, at Cost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1,107,963</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1,060,397</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Less, Accumulated Depreciation </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(119,530)</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(107,268)</w:t>
            </w:r>
          </w:p>
        </w:tc>
      </w:tr>
      <w:tr>
        <w:trPr/>
        <w:tc>
          <w:tcPr>
            <w:tcW w:w="6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Estate—Net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988,433</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953,129</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Land and Development Costs </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6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Assets—Net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83,791</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84,710</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Alpine Income Property Trust, Inc.</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51,310</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41,324</w:t>
            </w:r>
          </w:p>
        </w:tc>
      </w:tr>
      <w:tr>
        <w:trPr/>
        <w:tc>
          <w:tcPr>
            <w:tcW w:w="6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187,388</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104,804</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8,056</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6,467</w:t>
            </w:r>
          </w:p>
        </w:tc>
      </w:tr>
      <w:tr>
        <w:trPr/>
        <w:tc>
          <w:tcPr>
            <w:tcW w:w="6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35,447</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34,652</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Taxes—Net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2,309</w:t>
            </w:r>
          </w:p>
        </w:tc>
      </w:tr>
      <w:tr>
        <w:trPr/>
        <w:tc>
          <w:tcPr>
            <w:tcW w:w="6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Assets—See Note 10</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49,997</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36,207</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1,405,729</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1,263,902</w:t>
            </w:r>
          </w:p>
        </w:tc>
      </w:tr>
      <w:tr>
        <w:trPr/>
        <w:tc>
          <w:tcPr>
            <w:tcW w:w="694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right"/>
              <w:rPr/>
            </w:pPr>
            <w:r>
              <w:rPr/>
              <w:t>​</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pPr>
            <w:r>
              <w:rPr/>
              <w:t>​</w:t>
            </w:r>
          </w:p>
        </w:tc>
      </w:tr>
      <w:tr>
        <w:trPr/>
        <w:tc>
          <w:tcPr>
            <w:tcW w:w="6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2,245</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1,709</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and Other Liabilities—See Note 16</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24,322</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28,185</w:t>
            </w:r>
          </w:p>
        </w:tc>
      </w:tr>
      <w:tr>
        <w:trPr/>
        <w:tc>
          <w:tcPr>
            <w:tcW w:w="6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Revenue—See Note 17</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25,651</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18,802</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Liabilities—Net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31,572</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31,486</w:t>
            </w:r>
          </w:p>
        </w:tc>
      </w:tr>
      <w:tr>
        <w:trPr/>
        <w:tc>
          <w:tcPr>
            <w:tcW w:w="6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Debt—Net</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658,705</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616,345</w:t>
            </w:r>
          </w:p>
        </w:tc>
      </w:tr>
      <w:tr>
        <w:trPr/>
        <w:tc>
          <w:tcPr>
            <w:tcW w:w="6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742,546</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696,556</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Contingencies—See Note 20</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pPr>
            <w:r>
              <w:rPr/>
              <w:t>​</w:t>
            </w:r>
          </w:p>
        </w:tc>
      </w:tr>
      <w:tr>
        <w:trPr/>
        <w:tc>
          <w:tcPr>
            <w:tcW w:w="6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right"/>
              <w:rPr/>
            </w:pPr>
            <w:r>
              <w:rPr/>
              <w:t>​</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 100,000,000 shares authorized; $0.01 par value per share, 6.375% Series A Cumulative Redeemable Preferred Stock, $25.00 Per Share Liquidation Preference, 4,713,069 shares issued and outstanding at June 30, 2026 and December 31, 2025</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6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 500,000,000 shares authorized; $0.01 par value per share, 37,482,158 shares issued and outstanding at June 30, 2026 and 32,372,291 shares issued and outstanding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481,134</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382,494</w:t>
            </w:r>
          </w:p>
        </w:tc>
      </w:tr>
      <w:tr>
        <w:trPr/>
        <w:tc>
          <w:tcPr>
            <w:tcW w:w="6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175,556</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184,886</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 (Loss)</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6,071</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w:t>
            </w:r>
          </w:p>
        </w:tc>
      </w:tr>
      <w:tr>
        <w:trPr/>
        <w:tc>
          <w:tcPr>
            <w:tcW w:w="6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663,183</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567,346</w:t>
            </w:r>
          </w:p>
        </w:tc>
      </w:tr>
      <w:tr>
        <w:trPr/>
        <w:tc>
          <w:tcPr>
            <w:tcW w:w="6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1,405,729</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1,263,902</w:t>
            </w:r>
          </w:p>
        </w:tc>
      </w:tr>
    </w:tbl>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149" w:name="_cb974368_91d0_43ca_a3f5_9d83792c448f"/>
      <w:bookmarkEnd w:id="149"/>
      <w:r>
        <w:rPr>
          <w:rFonts w:ascii="Times New Roman;Times;serif" w:hAnsi="Times New Roman;Times;serif"/>
          <w:sz w:val="20"/>
        </w:rPr>
        <w:t>CTO REALTY GROWTH, INC.</w:t>
      </w:r>
    </w:p>
    <w:p>
      <w:pPr>
        <w:pStyle w:val="TextBody"/>
        <w:bidi w:val="0"/>
        <w:spacing w:before="0" w:after="0"/>
        <w:ind w:left="0" w:right="0" w:hanging="0"/>
        <w:jc w:val="center"/>
        <w:rPr>
          <w:rFonts w:ascii="Times New Roman;Times;serif" w:hAnsi="Times New Roman;Times;serif"/>
          <w:sz w:val="20"/>
        </w:rPr>
      </w:pPr>
      <w:bookmarkStart w:id="150" w:name="CONSOLIDATEDSTATEMENTSOFOPERATIONS_48896"/>
      <w:bookmarkEnd w:id="150"/>
      <w:r>
        <w:rPr>
          <w:rFonts w:ascii="Times New Roman;Times;serif" w:hAnsi="Times New Roman;Times;serif"/>
          <w:sz w:val="20"/>
        </w:rPr>
        <w:t>CONSOLIDATED STATEMENTS OF OPERATIONS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 except share and per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51" w:name="Tc_3kVencb5aEKb-T7ATVMvbQ_32_0"/>
      <w:bookmarkStart w:id="152" w:name="Tc_j8LkrT5mCUGOZkGjPctfLw_31_0"/>
      <w:bookmarkStart w:id="153" w:name="Tc_Ei-NaaitgEWnz7xkLsbMbA_30_0"/>
      <w:bookmarkStart w:id="154" w:name="Tc_HHAkTvinAUGN3RUc_aVycg_28_11"/>
      <w:bookmarkStart w:id="155" w:name="Tc_3ChiPEsdI0WUiJ6KjdnMjg_28_8"/>
      <w:bookmarkStart w:id="156" w:name="Tc_BKJBEm6jpEy_c9j-BMEuLg_28_5"/>
      <w:bookmarkStart w:id="157" w:name="Tc_ZBuXW04gRkK8V1JX2VNanw_28_2"/>
      <w:bookmarkStart w:id="158" w:name="Tc_odKAZAsFOUio7PERHcAgZw_28_0"/>
      <w:bookmarkStart w:id="159" w:name="Tc_okDGcsoet0m7NIGWBcT8kg_27_0"/>
      <w:bookmarkStart w:id="160" w:name="Tc_5CxuE8WFW0e8A8DTbjhkvg_25_11"/>
      <w:bookmarkStart w:id="161" w:name="Tc_1BRXedkUn0q6hOAbbuxpCg_25_8"/>
      <w:bookmarkStart w:id="162" w:name="Tc_I09-ow2VPE6HSyR6pTKjjA_25_5"/>
      <w:bookmarkStart w:id="163" w:name="Tc_JvjYxfA-qU-jilvHlTPZCA_25_2"/>
      <w:bookmarkStart w:id="164" w:name="Tc_O4irUTmc00aHXRrkns20jw_25_0"/>
      <w:bookmarkStart w:id="165" w:name="Tc_3Ff6f8vuEES026BvL0h6-w_24_0"/>
      <w:bookmarkStart w:id="166" w:name="Tc_jqSGYJSEBkKL7JIxgwWJKA_23_0"/>
      <w:bookmarkStart w:id="167" w:name="Tc_GPGbicr9PEi4bm2qP8C_Ww_22_0"/>
      <w:bookmarkStart w:id="168" w:name="Tc_XetdyrGg6kySFQ51LlEOqg_21_0"/>
      <w:bookmarkStart w:id="169" w:name="Tc_IpobDAywWUe2gaJskDNWRg_20_0"/>
      <w:bookmarkStart w:id="170" w:name="Tc_eZ06oBmOl0KHEKwO_TwsiQ_19_0"/>
      <w:bookmarkStart w:id="171" w:name="Tc_FN19ooxgGkan4hfz8EOjng_18_0"/>
      <w:bookmarkStart w:id="172" w:name="Tc_lRyeZ1OL2EmObpBT_LWNOw_17_0"/>
      <w:bookmarkStart w:id="173" w:name="Tc_eOxdY1SaWEWKBTSAoaiV2A_16_9"/>
      <w:bookmarkStart w:id="174" w:name="Tc_9QEQd6i8EkeXk6-bIOScAg_16_3"/>
      <w:bookmarkStart w:id="175" w:name="Tc_Nyi8-Zp6tUGNu9zBpJoERg_16_0"/>
      <w:bookmarkStart w:id="176" w:name="Tc_Di6hMb2CXkSgHFBYArj98g_15_12"/>
      <w:bookmarkStart w:id="177" w:name="Tc_b7A423hjukSN4GeIaInq1Q_15_6"/>
      <w:bookmarkStart w:id="178" w:name="Tc_HlOZcyVgJEelDE5-3JubUg_15_0"/>
      <w:bookmarkStart w:id="179" w:name="Tc_gRc-gt9K6Eykgri5BVP6BQ_14_0"/>
      <w:bookmarkStart w:id="180" w:name="Tc_6zPvJd4tXka8I-UMk-7ILQ_13_0"/>
      <w:bookmarkStart w:id="181" w:name="Tc_xjGEF-l6ikexmr2a2STX2A_12_12"/>
      <w:bookmarkStart w:id="182" w:name="Tc_j73wI-ZCKESrwgNXaln4bA_12_6"/>
      <w:bookmarkStart w:id="183" w:name="Tc_J0E1mBJdzUmiWbIUDrbRxQ_12_0"/>
      <w:bookmarkStart w:id="184" w:name="Tc_UxP98p79FUauTEzpPq8ZaA_11_0"/>
      <w:bookmarkStart w:id="185" w:name="Tc_v6AK2uSQ5k2tPcTa4rth0w_10_0"/>
      <w:bookmarkStart w:id="186" w:name="Tc_a_be_mZxxUSTJ4hWSwBNNw_9_0"/>
      <w:bookmarkStart w:id="187" w:name="Tc_7LbGMxBHFU6cY9BMehHI1A_8_0"/>
      <w:bookmarkStart w:id="188" w:name="Tc_eEoQgq43TkC4sXvXqze44A_7_0"/>
      <w:bookmarkStart w:id="189" w:name="Tc_W0A8w7KiTECggsSqGMs6vQ_6_0"/>
      <w:bookmarkStart w:id="190" w:name="Tc_TC7YGdGRCkizfqblx-s_TA_4_11"/>
      <w:bookmarkStart w:id="191" w:name="Tc_akDpAM62v0CUZBpB0r3Cng_4_8"/>
      <w:bookmarkStart w:id="192" w:name="Tc_O4rNux56h0-fR4n3zoOrGw_4_5"/>
      <w:bookmarkStart w:id="193" w:name="Tc_4Nx8GesnSE62HJOkoiY6jw_4_2"/>
      <w:bookmarkStart w:id="194" w:name="Tc_4JCEh8uE1U6ZMYkS3HleGw_4_0"/>
      <w:bookmarkStart w:id="195" w:name="Tc_al9ZtWDzJEm4xu_f6u_QmA_3_0"/>
      <w:bookmarkStart w:id="196" w:name="Tc_Uam22ln7-ket2HstuwoRMA_2_11"/>
      <w:bookmarkStart w:id="197" w:name="Tc_bbyrRqBmyUaSTMxLH-BzOQ_2_8"/>
      <w:bookmarkStart w:id="198" w:name="Tc_Wd0exci3pkSA5MBgbyEMjA_2_5"/>
      <w:bookmarkStart w:id="199" w:name="Tc_kw5A5eDxc0arsqNnPJMHIA_2_2"/>
      <w:bookmarkStart w:id="200" w:name="Tc_ivO4DlGNJ0O9e7e-Fvo2vg_1_8"/>
      <w:bookmarkStart w:id="201" w:name="Tc_XUU_IDdd6kqKFJl4eAHQuA_1_2"/>
      <w:bookmarkStart w:id="202" w:name="_3de3f967_67b8_4f52_bf0c_e667a74c2220"/>
      <w:bookmarkStart w:id="203" w:name="_34f2888b_72d2_4b49_a07b_20e582c4c504"/>
      <w:bookmarkStart w:id="204" w:name="Tc_3kVencb5aEKb-T7ATVMvbQ_32_0"/>
      <w:bookmarkStart w:id="205" w:name="Tc_j8LkrT5mCUGOZkGjPctfLw_31_0"/>
      <w:bookmarkStart w:id="206" w:name="Tc_Ei-NaaitgEWnz7xkLsbMbA_30_0"/>
      <w:bookmarkStart w:id="207" w:name="Tc_HHAkTvinAUGN3RUc_aVycg_28_11"/>
      <w:bookmarkStart w:id="208" w:name="Tc_3ChiPEsdI0WUiJ6KjdnMjg_28_8"/>
      <w:bookmarkStart w:id="209" w:name="Tc_BKJBEm6jpEy_c9j-BMEuLg_28_5"/>
      <w:bookmarkStart w:id="210" w:name="Tc_ZBuXW04gRkK8V1JX2VNanw_28_2"/>
      <w:bookmarkStart w:id="211" w:name="Tc_odKAZAsFOUio7PERHcAgZw_28_0"/>
      <w:bookmarkStart w:id="212" w:name="Tc_okDGcsoet0m7NIGWBcT8kg_27_0"/>
      <w:bookmarkStart w:id="213" w:name="Tc_5CxuE8WFW0e8A8DTbjhkvg_25_11"/>
      <w:bookmarkStart w:id="214" w:name="Tc_1BRXedkUn0q6hOAbbuxpCg_25_8"/>
      <w:bookmarkStart w:id="215" w:name="Tc_I09-ow2VPE6HSyR6pTKjjA_25_5"/>
      <w:bookmarkStart w:id="216" w:name="Tc_JvjYxfA-qU-jilvHlTPZCA_25_2"/>
      <w:bookmarkStart w:id="217" w:name="Tc_O4irUTmc00aHXRrkns20jw_25_0"/>
      <w:bookmarkStart w:id="218" w:name="Tc_3Ff6f8vuEES026BvL0h6-w_24_0"/>
      <w:bookmarkStart w:id="219" w:name="Tc_jqSGYJSEBkKL7JIxgwWJKA_23_0"/>
      <w:bookmarkStart w:id="220" w:name="Tc_GPGbicr9PEi4bm2qP8C_Ww_22_0"/>
      <w:bookmarkStart w:id="221" w:name="Tc_XetdyrGg6kySFQ51LlEOqg_21_0"/>
      <w:bookmarkStart w:id="222" w:name="Tc_IpobDAywWUe2gaJskDNWRg_20_0"/>
      <w:bookmarkStart w:id="223" w:name="Tc_eZ06oBmOl0KHEKwO_TwsiQ_19_0"/>
      <w:bookmarkStart w:id="224" w:name="Tc_FN19ooxgGkan4hfz8EOjng_18_0"/>
      <w:bookmarkStart w:id="225" w:name="Tc_lRyeZ1OL2EmObpBT_LWNOw_17_0"/>
      <w:bookmarkStart w:id="226" w:name="Tc_eOxdY1SaWEWKBTSAoaiV2A_16_9"/>
      <w:bookmarkStart w:id="227" w:name="Tc_9QEQd6i8EkeXk6-bIOScAg_16_3"/>
      <w:bookmarkStart w:id="228" w:name="Tc_Nyi8-Zp6tUGNu9zBpJoERg_16_0"/>
      <w:bookmarkStart w:id="229" w:name="Tc_Di6hMb2CXkSgHFBYArj98g_15_12"/>
      <w:bookmarkStart w:id="230" w:name="Tc_b7A423hjukSN4GeIaInq1Q_15_6"/>
      <w:bookmarkStart w:id="231" w:name="Tc_HlOZcyVgJEelDE5-3JubUg_15_0"/>
      <w:bookmarkStart w:id="232" w:name="Tc_gRc-gt9K6Eykgri5BVP6BQ_14_0"/>
      <w:bookmarkStart w:id="233" w:name="Tc_6zPvJd4tXka8I-UMk-7ILQ_13_0"/>
      <w:bookmarkStart w:id="234" w:name="Tc_xjGEF-l6ikexmr2a2STX2A_12_12"/>
      <w:bookmarkStart w:id="235" w:name="Tc_j73wI-ZCKESrwgNXaln4bA_12_6"/>
      <w:bookmarkStart w:id="236" w:name="Tc_J0E1mBJdzUmiWbIUDrbRxQ_12_0"/>
      <w:bookmarkStart w:id="237" w:name="Tc_UxP98p79FUauTEzpPq8ZaA_11_0"/>
      <w:bookmarkStart w:id="238" w:name="Tc_v6AK2uSQ5k2tPcTa4rth0w_10_0"/>
      <w:bookmarkStart w:id="239" w:name="Tc_a_be_mZxxUSTJ4hWSwBNNw_9_0"/>
      <w:bookmarkStart w:id="240" w:name="Tc_7LbGMxBHFU6cY9BMehHI1A_8_0"/>
      <w:bookmarkStart w:id="241" w:name="Tc_eEoQgq43TkC4sXvXqze44A_7_0"/>
      <w:bookmarkStart w:id="242" w:name="Tc_W0A8w7KiTECggsSqGMs6vQ_6_0"/>
      <w:bookmarkStart w:id="243" w:name="Tc_TC7YGdGRCkizfqblx-s_TA_4_11"/>
      <w:bookmarkStart w:id="244" w:name="Tc_akDpAM62v0CUZBpB0r3Cng_4_8"/>
      <w:bookmarkStart w:id="245" w:name="Tc_O4rNux56h0-fR4n3zoOrGw_4_5"/>
      <w:bookmarkStart w:id="246" w:name="Tc_4Nx8GesnSE62HJOkoiY6jw_4_2"/>
      <w:bookmarkStart w:id="247" w:name="Tc_4JCEh8uE1U6ZMYkS3HleGw_4_0"/>
      <w:bookmarkStart w:id="248" w:name="Tc_al9ZtWDzJEm4xu_f6u_QmA_3_0"/>
      <w:bookmarkStart w:id="249" w:name="Tc_Uam22ln7-ket2HstuwoRMA_2_11"/>
      <w:bookmarkStart w:id="250" w:name="Tc_bbyrRqBmyUaSTMxLH-BzOQ_2_8"/>
      <w:bookmarkStart w:id="251" w:name="Tc_Wd0exci3pkSA5MBgbyEMjA_2_5"/>
      <w:bookmarkStart w:id="252" w:name="Tc_kw5A5eDxc0arsqNnPJMHIA_2_2"/>
      <w:bookmarkStart w:id="253" w:name="Tc_ivO4DlGNJ0O9e7e-Fvo2vg_1_8"/>
      <w:bookmarkStart w:id="254" w:name="Tc_XUU_IDdd6kqKFJl4eAHQuA_1_2"/>
      <w:bookmarkStart w:id="255" w:name="_3de3f967_67b8_4f52_bf0c_e667a74c2220"/>
      <w:bookmarkStart w:id="256" w:name="_34f2888b_72d2_4b49_a07b_20e582c4c504"/>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tbl>
      <w:tblPr>
        <w:tblW w:w="10205" w:type="dxa"/>
        <w:jc w:val="left"/>
        <w:tblInd w:w="0" w:type="dxa"/>
        <w:tblLayout w:type="fixed"/>
        <w:tblCellMar>
          <w:top w:w="0" w:type="dxa"/>
          <w:left w:w="0" w:type="dxa"/>
          <w:bottom w:w="0" w:type="dxa"/>
          <w:right w:w="0" w:type="dxa"/>
        </w:tblCellMar>
      </w:tblPr>
      <w:tblGrid>
        <w:gridCol w:w="3442"/>
        <w:gridCol w:w="346"/>
        <w:gridCol w:w="211"/>
        <w:gridCol w:w="1036"/>
        <w:gridCol w:w="346"/>
        <w:gridCol w:w="211"/>
        <w:gridCol w:w="1036"/>
        <w:gridCol w:w="346"/>
        <w:gridCol w:w="211"/>
        <w:gridCol w:w="1036"/>
        <w:gridCol w:w="346"/>
        <w:gridCol w:w="211"/>
        <w:gridCol w:w="1036"/>
        <w:gridCol w:w="391"/>
      </w:tblGrid>
      <w:tr>
        <w:trPr/>
        <w:tc>
          <w:tcPr>
            <w:tcW w:w="34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8" name="Frame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57860" cy="175260"/>
                      <wp:effectExtent l="0" t="0" r="0" b="0"/>
                      <wp:wrapNone/>
                      <wp:docPr id="9" name="Frame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57860" cy="175260"/>
                      <wp:effectExtent l="0" t="0" r="0" b="0"/>
                      <wp:wrapNone/>
                      <wp:docPr id="12" name="Frame1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57860" cy="175260"/>
                      <wp:effectExtent l="0" t="0" r="0" b="0"/>
                      <wp:wrapNone/>
                      <wp:docPr id="15" name="Frame1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57860" cy="175260"/>
                      <wp:effectExtent l="0" t="0" r="0" b="0"/>
                      <wp:wrapNone/>
                      <wp:docPr id="18" name="Frame1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48285" cy="175260"/>
                      <wp:effectExtent l="0" t="0" r="0" b="0"/>
                      <wp:wrapNone/>
                      <wp:docPr id="19" name="Frame19"/>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840" w:type="dxa"/>
            <w:gridSpan w:val="5"/>
            <w:tcBorders>
              <w:bottom w:val="single" w:sz="2" w:space="0" w:color="000000"/>
            </w:tcBorders>
            <w:tcMar>
              <w:bottom w:w="28" w:type="dxa"/>
            </w:tcMar>
            <w:vAlign w:val="center"/>
          </w:tcPr>
          <w:p>
            <w:pPr>
              <w:pStyle w:val="TableContents"/>
              <w:bidi w:val="0"/>
              <w:spacing w:before="0" w:after="0"/>
              <w:ind w:left="0" w:right="0" w:hanging="0"/>
              <w:jc w:val="center"/>
              <w:rPr/>
            </w:pPr>
            <w:r>
              <w:rPr/>
              <w:t>​</w:t>
            </w:r>
            <w:r>
              <w:rPr>
                <w:rFonts w:ascii="Times New Roman;Times;serif" w:hAnsi="Times New Roman;Times;serif"/>
                <w:b/>
                <w:sz w:val="20"/>
              </w:rPr>
              <w:br/>
              <w:t xml:space="preserve">Three Months Ended </w:t>
              <w:br/>
              <w:t>June 30,</w:t>
            </w:r>
          </w:p>
        </w:tc>
        <w:tc>
          <w:tcPr>
            <w:tcW w:w="346" w:type="dxa"/>
            <w:tcBorders/>
            <w:vAlign w:val="center"/>
          </w:tcPr>
          <w:p>
            <w:pPr>
              <w:pStyle w:val="TableContents"/>
              <w:bidi w:val="0"/>
              <w:spacing w:before="0" w:after="0"/>
              <w:ind w:left="0" w:right="0" w:hanging="0"/>
              <w:jc w:val="center"/>
              <w:rPr/>
            </w:pPr>
            <w:r>
              <w:rPr/>
              <w:t>​</w:t>
            </w:r>
          </w:p>
        </w:tc>
        <w:tc>
          <w:tcPr>
            <w:tcW w:w="28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br/>
              <w:t xml:space="preserve">June 30, </w:t>
            </w:r>
          </w:p>
        </w:tc>
        <w:tc>
          <w:tcPr>
            <w:tcW w:w="391" w:type="dxa"/>
            <w:tcBorders/>
            <w:vAlign w:val="center"/>
          </w:tcPr>
          <w:p>
            <w:pPr>
              <w:pStyle w:val="TableContents"/>
              <w:bidi w:val="0"/>
              <w:spacing w:before="0" w:after="0"/>
              <w:ind w:left="0" w:right="0" w:hanging="0"/>
              <w:jc w:val="center"/>
              <w:rPr/>
            </w:pPr>
            <w:r>
              <w:rPr/>
              <w:t>​</w:t>
            </w:r>
          </w:p>
        </w:tc>
      </w:tr>
      <w:tr>
        <w:trPr/>
        <w:tc>
          <w:tcPr>
            <w:tcW w:w="34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91" w:type="dxa"/>
            <w:tcBorders/>
            <w:vAlign w:val="center"/>
          </w:tcPr>
          <w:p>
            <w:pPr>
              <w:pStyle w:val="TableContents"/>
              <w:bidi w:val="0"/>
              <w:spacing w:before="0" w:after="0"/>
              <w:ind w:left="0" w:right="0" w:hanging="0"/>
              <w:jc w:val="center"/>
              <w:rPr/>
            </w:pPr>
            <w:r>
              <w:rPr/>
              <w:t>  ​ ​ ​</w:t>
            </w:r>
          </w:p>
        </w:tc>
      </w:tr>
      <w:tr>
        <w:trPr/>
        <w:tc>
          <w:tcPr>
            <w:tcW w:w="34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65,047</w:t>
            </w:r>
          </w:p>
        </w:tc>
        <w:tc>
          <w:tcPr>
            <w:tcW w:w="391" w:type="dxa"/>
            <w:tcBorders/>
            <w:vAlign w:val="center"/>
          </w:tcPr>
          <w:p>
            <w:pPr>
              <w:pStyle w:val="TableContents"/>
              <w:bidi w:val="0"/>
              <w:spacing w:before="0" w:after="0"/>
              <w:ind w:left="0" w:right="0" w:hanging="0"/>
              <w:jc w:val="left"/>
              <w:rPr/>
            </w:pPr>
            <w:r>
              <w:rPr/>
              <w:t>​</w:t>
            </w:r>
          </w:p>
        </w:tc>
      </w:tr>
      <w:tr>
        <w:trPr/>
        <w:tc>
          <w:tcPr>
            <w:tcW w:w="3442"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Fee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5,977</w:t>
            </w:r>
          </w:p>
        </w:tc>
        <w:tc>
          <w:tcPr>
            <w:tcW w:w="391" w:type="dxa"/>
            <w:tcBorders/>
            <w:vAlign w:val="center"/>
          </w:tcPr>
          <w:p>
            <w:pPr>
              <w:pStyle w:val="TableContents"/>
              <w:bidi w:val="0"/>
              <w:spacing w:before="0" w:after="0"/>
              <w:ind w:left="0" w:right="0" w:hanging="0"/>
              <w:jc w:val="left"/>
              <w:rPr/>
            </w:pPr>
            <w:r>
              <w:rPr/>
              <w:t>​</w:t>
            </w:r>
          </w:p>
        </w:tc>
      </w:tr>
      <w:tr>
        <w:trPr/>
        <w:tc>
          <w:tcPr>
            <w:tcW w:w="34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73,449</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Cost of Revenues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34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(19,069)</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Direct Cost of Revenues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(19,069)</w:t>
            </w:r>
          </w:p>
        </w:tc>
        <w:tc>
          <w:tcPr>
            <w:tcW w:w="391" w:type="dxa"/>
            <w:tcBorders/>
            <w:vAlign w:val="center"/>
          </w:tcPr>
          <w:p>
            <w:pPr>
              <w:pStyle w:val="TableContents"/>
              <w:bidi w:val="0"/>
              <w:spacing w:before="0" w:after="0"/>
              <w:ind w:left="0" w:right="0" w:hanging="0"/>
              <w:jc w:val="left"/>
              <w:rPr/>
            </w:pPr>
            <w:r>
              <w:rPr/>
              <w:t>​</w:t>
            </w:r>
          </w:p>
        </w:tc>
      </w:tr>
      <w:tr>
        <w:trPr/>
        <w:tc>
          <w:tcPr>
            <w:tcW w:w="34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 and Adjustment to CECL Reserve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34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(29,658)</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(32,687)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(29,920)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(57,858)</w:t>
            </w:r>
          </w:p>
        </w:tc>
        <w:tc>
          <w:tcPr>
            <w:tcW w:w="391" w:type="dxa"/>
            <w:tcBorders/>
            <w:vAlign w:val="center"/>
          </w:tcPr>
          <w:p>
            <w:pPr>
              <w:pStyle w:val="TableContents"/>
              <w:bidi w:val="0"/>
              <w:spacing w:before="0" w:after="0"/>
              <w:ind w:left="0" w:right="0" w:hanging="0"/>
              <w:jc w:val="left"/>
              <w:rPr/>
            </w:pPr>
            <w:r>
              <w:rPr/>
              <w:t>​</w:t>
            </w:r>
          </w:p>
        </w:tc>
      </w:tr>
      <w:tr>
        <w:trPr/>
        <w:tc>
          <w:tcPr>
            <w:tcW w:w="34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(20,396)</w:t>
            </w:r>
          </w:p>
        </w:tc>
        <w:tc>
          <w:tcPr>
            <w:tcW w:w="391" w:type="dxa"/>
            <w:tcBorders/>
            <w:vAlign w:val="center"/>
          </w:tcPr>
          <w:p>
            <w:pPr>
              <w:pStyle w:val="TableContents"/>
              <w:bidi w:val="0"/>
              <w:spacing w:before="0" w:after="0"/>
              <w:ind w:left="0" w:right="0" w:hanging="0"/>
              <w:jc w:val="left"/>
              <w:rPr/>
            </w:pPr>
            <w:r>
              <w:rPr/>
              <w:t>​</w:t>
            </w:r>
          </w:p>
        </w:tc>
      </w:tr>
      <w:tr>
        <w:trPr/>
        <w:tc>
          <w:tcPr>
            <w:tcW w:w="34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Gain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(4,805)</w:t>
            </w:r>
          </w:p>
        </w:tc>
        <w:tc>
          <w:tcPr>
            <w:tcW w:w="391" w:type="dxa"/>
            <w:tcBorders/>
            <w:vAlign w:val="center"/>
          </w:tcPr>
          <w:p>
            <w:pPr>
              <w:pStyle w:val="TableContents"/>
              <w:bidi w:val="0"/>
              <w:spacing w:before="0" w:after="0"/>
              <w:ind w:left="0" w:right="0" w:hanging="0"/>
              <w:jc w:val="left"/>
              <w:rPr/>
            </w:pPr>
            <w:r>
              <w:rPr/>
              <w:t>​</w:t>
            </w:r>
          </w:p>
        </w:tc>
      </w:tr>
      <w:tr>
        <w:trPr/>
        <w:tc>
          <w:tcPr>
            <w:tcW w:w="34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(12,995)</w:t>
            </w:r>
          </w:p>
        </w:tc>
        <w:tc>
          <w:tcPr>
            <w:tcW w:w="391" w:type="dxa"/>
            <w:tcBorders/>
            <w:vAlign w:val="center"/>
          </w:tcPr>
          <w:p>
            <w:pPr>
              <w:pStyle w:val="TableContents"/>
              <w:bidi w:val="0"/>
              <w:spacing w:before="0" w:after="0"/>
              <w:ind w:left="0" w:right="0" w:hanging="0"/>
              <w:jc w:val="left"/>
              <w:rPr/>
            </w:pPr>
            <w:r>
              <w:rPr/>
              <w:t>​</w:t>
            </w:r>
          </w:p>
        </w:tc>
      </w:tr>
      <w:tr>
        <w:trPr/>
        <w:tc>
          <w:tcPr>
            <w:tcW w:w="34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(20,912)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391" w:type="dxa"/>
            <w:tcBorders/>
            <w:vAlign w:val="center"/>
          </w:tcPr>
          <w:p>
            <w:pPr>
              <w:pStyle w:val="TableContents"/>
              <w:bidi w:val="0"/>
              <w:spacing w:before="0" w:after="0"/>
              <w:ind w:left="0" w:right="0" w:hanging="0"/>
              <w:jc w:val="left"/>
              <w:rPr/>
            </w:pPr>
            <w:r>
              <w:rPr/>
              <w:t>​</w:t>
            </w:r>
          </w:p>
        </w:tc>
      </w:tr>
      <w:tr>
        <w:trPr/>
        <w:tc>
          <w:tcPr>
            <w:tcW w:w="34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the Company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to Preferred Stockholders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(3,756)</w:t>
            </w:r>
          </w:p>
        </w:tc>
        <w:tc>
          <w:tcPr>
            <w:tcW w:w="391" w:type="dxa"/>
            <w:tcBorders/>
            <w:vAlign w:val="center"/>
          </w:tcPr>
          <w:p>
            <w:pPr>
              <w:pStyle w:val="TableContents"/>
              <w:bidi w:val="0"/>
              <w:spacing w:before="0" w:after="0"/>
              <w:ind w:left="0" w:right="0" w:hanging="0"/>
              <w:jc w:val="left"/>
              <w:rPr/>
            </w:pPr>
            <w:r>
              <w:rPr/>
              <w:t>​</w:t>
            </w:r>
          </w:p>
        </w:tc>
      </w:tr>
      <w:tr>
        <w:trPr/>
        <w:tc>
          <w:tcPr>
            <w:tcW w:w="34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(24,913)</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4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34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 Share Information—See Note 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Net Income (Loss) Attributable to Common Stockholders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(0.78)</w:t>
            </w:r>
          </w:p>
        </w:tc>
        <w:tc>
          <w:tcPr>
            <w:tcW w:w="391" w:type="dxa"/>
            <w:tcBorders/>
            <w:vAlign w:val="center"/>
          </w:tcPr>
          <w:p>
            <w:pPr>
              <w:pStyle w:val="TableContents"/>
              <w:bidi w:val="0"/>
              <w:spacing w:before="0" w:after="0"/>
              <w:ind w:left="0" w:right="0" w:hanging="0"/>
              <w:jc w:val="left"/>
              <w:rPr/>
            </w:pPr>
            <w:r>
              <w:rPr/>
              <w:t>​</w:t>
            </w:r>
          </w:p>
        </w:tc>
      </w:tr>
      <w:tr>
        <w:trPr/>
        <w:tc>
          <w:tcPr>
            <w:tcW w:w="344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34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34,988,612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32,678,771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33,760,706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32,118,982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35,024,642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32,727,831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33,788,343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32,174,574</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4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257" w:name="_7f3da898_318c_4562_86f4_16197a2c4b6c"/>
      <w:bookmarkEnd w:id="257"/>
      <w:r>
        <w:rPr>
          <w:rFonts w:ascii="Times New Roman;Times;serif" w:hAnsi="Times New Roman;Times;serif"/>
          <w:sz w:val="20"/>
        </w:rPr>
        <w:t>CTO REALTY GROWTH, INC.</w:t>
      </w:r>
    </w:p>
    <w:p>
      <w:pPr>
        <w:pStyle w:val="TextBody"/>
        <w:bidi w:val="0"/>
        <w:spacing w:before="0" w:after="0"/>
        <w:ind w:left="0" w:right="0" w:hanging="0"/>
        <w:jc w:val="center"/>
        <w:rPr>
          <w:rFonts w:ascii="Times New Roman;Times;serif" w:hAnsi="Times New Roman;Times;serif"/>
          <w:sz w:val="20"/>
        </w:rPr>
      </w:pPr>
      <w:bookmarkStart w:id="258" w:name="CONSOLIDATEDSTATEMENTSOFCOMPREHENSIVEINC"/>
      <w:bookmarkEnd w:id="258"/>
      <w:r>
        <w:rPr>
          <w:rFonts w:ascii="Times New Roman;Times;serif" w:hAnsi="Times New Roman;Times;serif"/>
          <w:sz w:val="20"/>
        </w:rPr>
        <w:t>CONSOLIDATED STATEMENTS OF COMPREHENSIVE INCOME (LOSS)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59" w:name="Tc_-nYUxzttC0yOD1HkLz_mug_7_11"/>
      <w:bookmarkStart w:id="260" w:name="Tc_pjFWd7dJxUu-1Q6do2_y9A_7_8"/>
      <w:bookmarkStart w:id="261" w:name="Tc_gbB4Mh78FkyseE6AVXrusA_7_5"/>
      <w:bookmarkStart w:id="262" w:name="Tc_-JsjZBwyo0iP004d0QZQ0g_7_2"/>
      <w:bookmarkStart w:id="263" w:name="Tc_Gr8HjHkvS0GtxvEf9xlXvQ_7_0"/>
      <w:bookmarkStart w:id="264" w:name="Tc_siKpLM_-G06FLKmvwz2GYw_6_0"/>
      <w:bookmarkStart w:id="265" w:name="Tc_3s_71keBaUiFOybNkIiqtA_5_0"/>
      <w:bookmarkStart w:id="266" w:name="Tc_hviotS4FlUyMUdeT-0v18g_4_0"/>
      <w:bookmarkStart w:id="267" w:name="Tc_u09jNyArBkSmm8OL7UnqCQ_3_11"/>
      <w:bookmarkStart w:id="268" w:name="Tc_7uMLbDl0BUWj_xE6924jWw_3_8"/>
      <w:bookmarkStart w:id="269" w:name="Tc_Y7Fw8WLQY0-9mZsf1W1P_Q_3_5"/>
      <w:bookmarkStart w:id="270" w:name="Tc_kZEoicEhHE6tZOEDrAfvvg_3_2"/>
      <w:bookmarkStart w:id="271" w:name="Tc_v-J-dQXQK0GsCbh8MXVsZQ_3_0"/>
      <w:bookmarkStart w:id="272" w:name="Tc_G0w3qMHCO0m6H7ztaBgIlA_2_11"/>
      <w:bookmarkStart w:id="273" w:name="Tc_Va-JdbttHEWp34PFnnTfFw_2_8"/>
      <w:bookmarkStart w:id="274" w:name="Tc_IOKqOeOEUE2tuGqtNyvU1Q_2_5"/>
      <w:bookmarkStart w:id="275" w:name="Tc_sigHV_2tH0qJXoANlxx7xA_2_2"/>
      <w:bookmarkStart w:id="276" w:name="Tc_aJ-9JZGYMkmGExzpyTxmwA_1_8"/>
      <w:bookmarkStart w:id="277" w:name="Tc_evLusjD-zU2HhKhO1tCBtg_1_2"/>
      <w:bookmarkStart w:id="278" w:name="_fb6ee026_1109_451a_850f_0bed5a0105de"/>
      <w:bookmarkStart w:id="279" w:name="Tc_-nYUxzttC0yOD1HkLz_mug_7_11"/>
      <w:bookmarkStart w:id="280" w:name="Tc_pjFWd7dJxUu-1Q6do2_y9A_7_8"/>
      <w:bookmarkStart w:id="281" w:name="Tc_gbB4Mh78FkyseE6AVXrusA_7_5"/>
      <w:bookmarkStart w:id="282" w:name="Tc_-JsjZBwyo0iP004d0QZQ0g_7_2"/>
      <w:bookmarkStart w:id="283" w:name="Tc_Gr8HjHkvS0GtxvEf9xlXvQ_7_0"/>
      <w:bookmarkStart w:id="284" w:name="Tc_siKpLM_-G06FLKmvwz2GYw_6_0"/>
      <w:bookmarkStart w:id="285" w:name="Tc_3s_71keBaUiFOybNkIiqtA_5_0"/>
      <w:bookmarkStart w:id="286" w:name="Tc_hviotS4FlUyMUdeT-0v18g_4_0"/>
      <w:bookmarkStart w:id="287" w:name="Tc_u09jNyArBkSmm8OL7UnqCQ_3_11"/>
      <w:bookmarkStart w:id="288" w:name="Tc_7uMLbDl0BUWj_xE6924jWw_3_8"/>
      <w:bookmarkStart w:id="289" w:name="Tc_Y7Fw8WLQY0-9mZsf1W1P_Q_3_5"/>
      <w:bookmarkStart w:id="290" w:name="Tc_kZEoicEhHE6tZOEDrAfvvg_3_2"/>
      <w:bookmarkStart w:id="291" w:name="Tc_v-J-dQXQK0GsCbh8MXVsZQ_3_0"/>
      <w:bookmarkStart w:id="292" w:name="Tc_G0w3qMHCO0m6H7ztaBgIlA_2_11"/>
      <w:bookmarkStart w:id="293" w:name="Tc_Va-JdbttHEWp34PFnnTfFw_2_8"/>
      <w:bookmarkStart w:id="294" w:name="Tc_IOKqOeOEUE2tuGqtNyvU1Q_2_5"/>
      <w:bookmarkStart w:id="295" w:name="Tc_sigHV_2tH0qJXoANlxx7xA_2_2"/>
      <w:bookmarkStart w:id="296" w:name="Tc_aJ-9JZGYMkmGExzpyTxmwA_1_8"/>
      <w:bookmarkStart w:id="297" w:name="Tc_evLusjD-zU2HhKhO1tCBtg_1_2"/>
      <w:bookmarkStart w:id="298" w:name="_fb6ee026_1109_451a_850f_0bed5a0105de"/>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tbl>
      <w:tblPr>
        <w:tblW w:w="9279" w:type="dxa"/>
        <w:jc w:val="left"/>
        <w:tblInd w:w="0" w:type="dxa"/>
        <w:tblLayout w:type="fixed"/>
        <w:tblCellMar>
          <w:top w:w="0" w:type="dxa"/>
          <w:left w:w="0" w:type="dxa"/>
          <w:bottom w:w="0" w:type="dxa"/>
          <w:right w:w="0" w:type="dxa"/>
        </w:tblCellMar>
      </w:tblPr>
      <w:tblGrid>
        <w:gridCol w:w="3901"/>
        <w:gridCol w:w="109"/>
        <w:gridCol w:w="237"/>
        <w:gridCol w:w="726"/>
        <w:gridCol w:w="418"/>
        <w:gridCol w:w="237"/>
        <w:gridCol w:w="871"/>
        <w:gridCol w:w="346"/>
        <w:gridCol w:w="217"/>
        <w:gridCol w:w="665"/>
        <w:gridCol w:w="383"/>
        <w:gridCol w:w="217"/>
        <w:gridCol w:w="798"/>
        <w:gridCol w:w="154"/>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477135" cy="175260"/>
                      <wp:effectExtent l="0" t="0" r="0" b="0"/>
                      <wp:wrapNone/>
                      <wp:docPr id="20" name="Frame20"/>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9215" cy="175260"/>
                      <wp:effectExtent l="0" t="0" r="0" b="0"/>
                      <wp:wrapNone/>
                      <wp:docPr id="21" name="Frame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50495" cy="175260"/>
                      <wp:effectExtent l="0" t="0" r="0" b="0"/>
                      <wp:wrapNone/>
                      <wp:docPr id="22" name="Frame22"/>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61010" cy="175260"/>
                      <wp:effectExtent l="0" t="0" r="0" b="0"/>
                      <wp:wrapNone/>
                      <wp:docPr id="23" name="Frame23"/>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65430" cy="175260"/>
                      <wp:effectExtent l="0" t="0" r="0" b="0"/>
                      <wp:wrapNone/>
                      <wp:docPr id="24" name="Frame24"/>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50495" cy="175260"/>
                      <wp:effectExtent l="0" t="0" r="0" b="0"/>
                      <wp:wrapNone/>
                      <wp:docPr id="25" name="Frame25"/>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53085" cy="175260"/>
                      <wp:effectExtent l="0" t="0" r="0" b="0"/>
                      <wp:wrapNone/>
                      <wp:docPr id="26" name="Frame2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7795" cy="175260"/>
                      <wp:effectExtent l="0" t="0" r="0" b="0"/>
                      <wp:wrapNone/>
                      <wp:docPr id="28" name="Frame28"/>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22275" cy="175260"/>
                      <wp:effectExtent l="0" t="0" r="0" b="0"/>
                      <wp:wrapNone/>
                      <wp:docPr id="29" name="Frame29"/>
                      <a:graphic xmlns:a="http://schemas.openxmlformats.org/drawingml/2006/main">
                        <a:graphicData uri="http://schemas.microsoft.com/office/word/2010/wordprocessingShape">
                          <wps:wsp>
                            <wps:cNvSpPr txBox="1"/>
                            <wps:spPr>
                              <a:xfrm>
                                <a:off x="0" y="0"/>
                                <a:ext cx="422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43205" cy="175260"/>
                      <wp:effectExtent l="0" t="0" r="0" b="0"/>
                      <wp:wrapNone/>
                      <wp:docPr id="30" name="Frame30"/>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7795" cy="175260"/>
                      <wp:effectExtent l="0" t="0" r="0" b="0"/>
                      <wp:wrapNone/>
                      <wp:docPr id="31" name="Frame31"/>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06730" cy="175260"/>
                      <wp:effectExtent l="0" t="0" r="0" b="0"/>
                      <wp:wrapNone/>
                      <wp:docPr id="32" name="Frame32"/>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97790" cy="175260"/>
                      <wp:effectExtent l="0" t="0" r="0" b="0"/>
                      <wp:wrapNone/>
                      <wp:docPr id="33" name="Frame3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4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June 30, </w:t>
            </w:r>
          </w:p>
        </w:tc>
        <w:tc>
          <w:tcPr>
            <w:tcW w:w="346" w:type="dxa"/>
            <w:tcBorders/>
            <w:vAlign w:val="center"/>
          </w:tcPr>
          <w:p>
            <w:pPr>
              <w:pStyle w:val="TableContents"/>
              <w:bidi w:val="0"/>
              <w:spacing w:before="0" w:after="0"/>
              <w:ind w:left="0" w:right="0" w:hanging="0"/>
              <w:jc w:val="center"/>
              <w:rPr/>
            </w:pPr>
            <w:r>
              <w:rPr/>
              <w:t>​</w:t>
            </w:r>
          </w:p>
        </w:tc>
        <w:tc>
          <w:tcPr>
            <w:tcW w:w="22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Six Months Ended June 30, </w:t>
            </w:r>
          </w:p>
        </w:tc>
        <w:tc>
          <w:tcPr>
            <w:tcW w:w="154" w:type="dxa"/>
            <w:tcBorders/>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418" w:type="dxa"/>
            <w:tcBorders/>
            <w:vAlign w:val="center"/>
          </w:tcPr>
          <w:p>
            <w:pPr>
              <w:pStyle w:val="TableContents"/>
              <w:bidi w:val="0"/>
              <w:spacing w:before="0" w:after="0"/>
              <w:ind w:left="0" w:right="0" w:hanging="0"/>
              <w:jc w:val="center"/>
              <w:rPr/>
            </w:pPr>
            <w:r>
              <w:rPr/>
              <w:t>  ​ ​ ​</w:t>
            </w:r>
          </w:p>
        </w:tc>
        <w:tc>
          <w:tcPr>
            <w:tcW w:w="11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center"/>
              <w:rPr/>
            </w:pPr>
            <w:r>
              <w:rPr/>
              <w:t>  ​ ​ ​</w:t>
            </w:r>
          </w:p>
        </w:tc>
        <w:tc>
          <w:tcPr>
            <w:tcW w:w="8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83" w:type="dxa"/>
            <w:tcBorders/>
            <w:vAlign w:val="center"/>
          </w:tcPr>
          <w:p>
            <w:pPr>
              <w:pStyle w:val="TableContents"/>
              <w:bidi w:val="0"/>
              <w:spacing w:before="0" w:after="0"/>
              <w:ind w:left="0" w:right="0" w:hanging="0"/>
              <w:jc w:val="center"/>
              <w:rPr/>
            </w:pPr>
            <w:r>
              <w:rPr/>
              <w:t>  ​ ​ ​</w:t>
            </w:r>
          </w:p>
        </w:tc>
        <w:tc>
          <w:tcPr>
            <w:tcW w:w="10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54"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 Attributable to the Company</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15,112</w:t>
            </w:r>
          </w:p>
        </w:tc>
        <w:tc>
          <w:tcPr>
            <w:tcW w:w="418"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(23,418)</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21,317</w:t>
            </w:r>
          </w:p>
        </w:tc>
        <w:tc>
          <w:tcPr>
            <w:tcW w:w="383"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(21,157)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(Loss):</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418"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65" w:type="dxa"/>
            <w:tcBorders/>
            <w:vAlign w:val="center"/>
          </w:tcPr>
          <w:p>
            <w:pPr>
              <w:pStyle w:val="TableContents"/>
              <w:bidi w:val="0"/>
              <w:spacing w:before="0" w:after="0"/>
              <w:ind w:left="0" w:right="0" w:hanging="0"/>
              <w:jc w:val="right"/>
              <w:rPr/>
            </w:pPr>
            <w:r>
              <w:rPr/>
              <w:t>​</w:t>
            </w:r>
          </w:p>
        </w:tc>
        <w:tc>
          <w:tcPr>
            <w:tcW w:w="383"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Hedging Derivative - 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4,279</w:t>
            </w:r>
          </w:p>
        </w:tc>
        <w:tc>
          <w:tcPr>
            <w:tcW w:w="418"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(3,925)</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6,476</w:t>
            </w:r>
          </w:p>
        </w:tc>
        <w:tc>
          <w:tcPr>
            <w:tcW w:w="383"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(11,196)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Comprehensive Income (Loss)</w:t>
            </w:r>
          </w:p>
        </w:tc>
        <w:tc>
          <w:tcPr>
            <w:tcW w:w="109"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4,279</w:t>
            </w:r>
          </w:p>
        </w:tc>
        <w:tc>
          <w:tcPr>
            <w:tcW w:w="418"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(3,925)</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6,476</w:t>
            </w:r>
          </w:p>
        </w:tc>
        <w:tc>
          <w:tcPr>
            <w:tcW w:w="383"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(11,196)</w:t>
            </w:r>
          </w:p>
        </w:tc>
        <w:tc>
          <w:tcPr>
            <w:tcW w:w="154"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Comprehensive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19,391</w:t>
            </w:r>
          </w:p>
        </w:tc>
        <w:tc>
          <w:tcPr>
            <w:tcW w:w="418"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(27,343)</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27,793</w:t>
            </w:r>
          </w:p>
        </w:tc>
        <w:tc>
          <w:tcPr>
            <w:tcW w:w="383"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(32,353)</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4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299" w:name="_8112bbe2_a8dd_4d51_9d9e_33977e73dbf3"/>
      <w:bookmarkEnd w:id="299"/>
      <w:r>
        <w:rPr>
          <w:rFonts w:ascii="Times New Roman;Times;serif" w:hAnsi="Times New Roman;Times;serif"/>
          <w:sz w:val="20"/>
        </w:rPr>
        <w:t>CTO REALTY GROWTH, INC.</w:t>
      </w:r>
    </w:p>
    <w:p>
      <w:pPr>
        <w:pStyle w:val="TextBody"/>
        <w:bidi w:val="0"/>
        <w:spacing w:before="0" w:after="0"/>
        <w:ind w:left="0" w:right="0" w:hanging="0"/>
        <w:jc w:val="center"/>
        <w:rPr>
          <w:rFonts w:ascii="Times New Roman;Times;serif" w:hAnsi="Times New Roman;Times;serif"/>
          <w:sz w:val="20"/>
        </w:rPr>
      </w:pPr>
      <w:bookmarkStart w:id="300" w:name="CONSOLIDATEDSTATEMENTSOFSHAREHOLDERSEQUI"/>
      <w:bookmarkEnd w:id="300"/>
      <w:r>
        <w:rPr>
          <w:rFonts w:ascii="Times New Roman;Times;serif" w:hAnsi="Times New Roman;Times;serif"/>
          <w:sz w:val="20"/>
        </w:rPr>
        <w:t>CONSOLIDATED STATEMENTS OF STOCKHOLDERS’ EQUITY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 the three months ended June 30, 2026:</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01" w:name="Tc__9bLtDMmfkaDBEyQHd5l4w_10_17"/>
      <w:bookmarkStart w:id="302" w:name="Tc_M4xQhX_eTkCLDqtPBS0zyA_10_14"/>
      <w:bookmarkStart w:id="303" w:name="Tc_rtrvYKL2W0mKNrZ5CeLqaQ_10_11"/>
      <w:bookmarkStart w:id="304" w:name="Tc_EST3OgX22Eeubj1wdVL6Aw_10_8"/>
      <w:bookmarkStart w:id="305" w:name="Tc_GYtW1CKdlkOE2xkXioH4fA_10_5"/>
      <w:bookmarkStart w:id="306" w:name="Tc_RGn1s9a0o0WOuSJJ2-zNBQ_10_2"/>
      <w:bookmarkStart w:id="307" w:name="Tc_XHkwyaq40EO4rOCStdSKGw_10_0"/>
      <w:bookmarkStart w:id="308" w:name="Tc_86IXZrWnWUK13qaBAiU_Iw_9_12"/>
      <w:bookmarkStart w:id="309" w:name="Tc_qW-7KjRqRku5-OI5u-rYbg_9_9"/>
      <w:bookmarkStart w:id="310" w:name="Tc_to1fEuMR2kup_7GmwzeCKg_9_6"/>
      <w:bookmarkStart w:id="311" w:name="Tc_ABNVx7Z5DEOW8QSEucg0KA_9_3"/>
      <w:bookmarkStart w:id="312" w:name="Tc_B17oZPIvsEahI5jWh9r3dA_9_0"/>
      <w:bookmarkStart w:id="313" w:name="Tc_Ir3d7CA1akeZyGkCuP6m1w_8_15"/>
      <w:bookmarkStart w:id="314" w:name="Tc_SpMRsm9K30uesnAsYRnFEw_8_9"/>
      <w:bookmarkStart w:id="315" w:name="Tc_uzX9uJFhykOziPt4fG3Ksw_8_6"/>
      <w:bookmarkStart w:id="316" w:name="Tc_4lRDFyZYoUiIVhf3nAcWlQ_8_3"/>
      <w:bookmarkStart w:id="317" w:name="Tc_EQ73u_OILEGFGK9YIbH44A_8_0"/>
      <w:bookmarkStart w:id="318" w:name="Tc_nuvNfGsqc02iDein6W6A3w_7_15"/>
      <w:bookmarkStart w:id="319" w:name="Tc_EBZN1xAEGkqdyiTZ37CLbw_7_9"/>
      <w:bookmarkStart w:id="320" w:name="Tc_ar_n63JqXkSYhg5jd8en7w_7_6"/>
      <w:bookmarkStart w:id="321" w:name="Tc_LBXHWvlGykiiQsU-cR-X7g_7_3"/>
      <w:bookmarkStart w:id="322" w:name="Tc_WiYdnXM7CU2SuVjpEOAeFw_7_0"/>
      <w:bookmarkStart w:id="323" w:name="Tc_T6eH044ZyEOLZ8wctqqVcQ_6_15"/>
      <w:bookmarkStart w:id="324" w:name="Tc_PKi1UNmwU0W3rBY6ji0onA_6_12"/>
      <w:bookmarkStart w:id="325" w:name="Tc_TMCQGzJFI0mt9ZTNJzg7Sw_6_6"/>
      <w:bookmarkStart w:id="326" w:name="Tc_iBPk1Ghq9kGcvwAHGdjyoA_6_3"/>
      <w:bookmarkStart w:id="327" w:name="Tc_geP2ZicD8Uu46W-GEXjN8w_6_0"/>
      <w:bookmarkStart w:id="328" w:name="Tc_vHcRRwcJi0iZF3ts-nNabg_5_15"/>
      <w:bookmarkStart w:id="329" w:name="Tc_2LZsvBRxCUynYDgFAPfHHw_5_12"/>
      <w:bookmarkStart w:id="330" w:name="Tc_4tvSFG-d706JqNBOiiNTGg_5_3"/>
      <w:bookmarkStart w:id="331" w:name="Tc_C43wPOpoqUCPb4_XNQgnFQ_5_0"/>
      <w:bookmarkStart w:id="332" w:name="Tc_d0JepeuZuESPpaJjgW_GLw_4_15"/>
      <w:bookmarkStart w:id="333" w:name="Tc_ih1rCn99WkCFLg19gY6bWQ_4_12"/>
      <w:bookmarkStart w:id="334" w:name="Tc_1XuPrIT9G0migSzNlmOA4g_4_6"/>
      <w:bookmarkStart w:id="335" w:name="Tc_FXTQkJDO5UK0DNrVrQQM0g_4_3"/>
      <w:bookmarkStart w:id="336" w:name="Tc_LsIcaU9q60mK4nWb5DPfVw_4_0"/>
      <w:bookmarkStart w:id="337" w:name="Tc_tGL-C461h0uleqqCSLPMSw_3_15"/>
      <w:bookmarkStart w:id="338" w:name="Tc_IDX2yTPHwkujauQsieOfew_3_9"/>
      <w:bookmarkStart w:id="339" w:name="Tc_6jAs-4R1E0yrByPeBv9TCw_3_6"/>
      <w:bookmarkStart w:id="340" w:name="Tc_9DBiyH7AuEGBGiKLUmerGA_3_3"/>
      <w:bookmarkStart w:id="341" w:name="Tc_RygdydV9IE2P2GsyiZSH5w_3_0"/>
      <w:bookmarkStart w:id="342" w:name="Tc_IUGIZhy4c0GEqXs-OBQ57Q_2_17"/>
      <w:bookmarkStart w:id="343" w:name="Tc_Z8I1NJ6yi0O7qwL7yzGMmQ_2_14"/>
      <w:bookmarkStart w:id="344" w:name="Tc_dxcd_7yz202zpB1gaQJSbA_2_11"/>
      <w:bookmarkStart w:id="345" w:name="Tc_0JxSkBb_aEql4XJqeUe8-Q_2_8"/>
      <w:bookmarkStart w:id="346" w:name="Tc_8q0QIjQ5o0Ka2xU0Hn8IXA_2_5"/>
      <w:bookmarkStart w:id="347" w:name="Tc_pINqHJbw0ECS5tHHNt34Dw_2_2"/>
      <w:bookmarkStart w:id="348" w:name="Tc_zOs-QdfZvkKcbBj27Zc24w_2_0"/>
      <w:bookmarkStart w:id="349" w:name="Tc_zrK5KPNzT0KJ-_YOaWZkCw_1_17"/>
      <w:bookmarkStart w:id="350" w:name="Tc_8PlAMAxpIUyaw47Nmn5ncA_1_14"/>
      <w:bookmarkStart w:id="351" w:name="Tc_2nyaXlHmyEmhMR7bT05NkQ_1_11"/>
      <w:bookmarkStart w:id="352" w:name="Tc_JM8-YgYEZkiu9wSmKxj2nw_1_8"/>
      <w:bookmarkStart w:id="353" w:name="Tc_nUia8aHaqkuqemG6IO_nSQ_1_5"/>
      <w:bookmarkStart w:id="354" w:name="Tc_CqyK6ZW60UClhu5giT4dLg_1_2"/>
      <w:bookmarkStart w:id="355" w:name="_0437583f_2c2e_4e59_96b6_5cc729cd6740"/>
      <w:bookmarkStart w:id="356" w:name="Tc__9bLtDMmfkaDBEyQHd5l4w_10_17"/>
      <w:bookmarkStart w:id="357" w:name="Tc_M4xQhX_eTkCLDqtPBS0zyA_10_14"/>
      <w:bookmarkStart w:id="358" w:name="Tc_rtrvYKL2W0mKNrZ5CeLqaQ_10_11"/>
      <w:bookmarkStart w:id="359" w:name="Tc_EST3OgX22Eeubj1wdVL6Aw_10_8"/>
      <w:bookmarkStart w:id="360" w:name="Tc_GYtW1CKdlkOE2xkXioH4fA_10_5"/>
      <w:bookmarkStart w:id="361" w:name="Tc_RGn1s9a0o0WOuSJJ2-zNBQ_10_2"/>
      <w:bookmarkStart w:id="362" w:name="Tc_XHkwyaq40EO4rOCStdSKGw_10_0"/>
      <w:bookmarkStart w:id="363" w:name="Tc_86IXZrWnWUK13qaBAiU_Iw_9_12"/>
      <w:bookmarkStart w:id="364" w:name="Tc_qW-7KjRqRku5-OI5u-rYbg_9_9"/>
      <w:bookmarkStart w:id="365" w:name="Tc_to1fEuMR2kup_7GmwzeCKg_9_6"/>
      <w:bookmarkStart w:id="366" w:name="Tc_ABNVx7Z5DEOW8QSEucg0KA_9_3"/>
      <w:bookmarkStart w:id="367" w:name="Tc_B17oZPIvsEahI5jWh9r3dA_9_0"/>
      <w:bookmarkStart w:id="368" w:name="Tc_Ir3d7CA1akeZyGkCuP6m1w_8_15"/>
      <w:bookmarkStart w:id="369" w:name="Tc_SpMRsm9K30uesnAsYRnFEw_8_9"/>
      <w:bookmarkStart w:id="370" w:name="Tc_uzX9uJFhykOziPt4fG3Ksw_8_6"/>
      <w:bookmarkStart w:id="371" w:name="Tc_4lRDFyZYoUiIVhf3nAcWlQ_8_3"/>
      <w:bookmarkStart w:id="372" w:name="Tc_EQ73u_OILEGFGK9YIbH44A_8_0"/>
      <w:bookmarkStart w:id="373" w:name="Tc_nuvNfGsqc02iDein6W6A3w_7_15"/>
      <w:bookmarkStart w:id="374" w:name="Tc_EBZN1xAEGkqdyiTZ37CLbw_7_9"/>
      <w:bookmarkStart w:id="375" w:name="Tc_ar_n63JqXkSYhg5jd8en7w_7_6"/>
      <w:bookmarkStart w:id="376" w:name="Tc_LBXHWvlGykiiQsU-cR-X7g_7_3"/>
      <w:bookmarkStart w:id="377" w:name="Tc_WiYdnXM7CU2SuVjpEOAeFw_7_0"/>
      <w:bookmarkStart w:id="378" w:name="Tc_T6eH044ZyEOLZ8wctqqVcQ_6_15"/>
      <w:bookmarkStart w:id="379" w:name="Tc_PKi1UNmwU0W3rBY6ji0onA_6_12"/>
      <w:bookmarkStart w:id="380" w:name="Tc_TMCQGzJFI0mt9ZTNJzg7Sw_6_6"/>
      <w:bookmarkStart w:id="381" w:name="Tc_iBPk1Ghq9kGcvwAHGdjyoA_6_3"/>
      <w:bookmarkStart w:id="382" w:name="Tc_geP2ZicD8Uu46W-GEXjN8w_6_0"/>
      <w:bookmarkStart w:id="383" w:name="Tc_vHcRRwcJi0iZF3ts-nNabg_5_15"/>
      <w:bookmarkStart w:id="384" w:name="Tc_2LZsvBRxCUynYDgFAPfHHw_5_12"/>
      <w:bookmarkStart w:id="385" w:name="Tc_4tvSFG-d706JqNBOiiNTGg_5_3"/>
      <w:bookmarkStart w:id="386" w:name="Tc_C43wPOpoqUCPb4_XNQgnFQ_5_0"/>
      <w:bookmarkStart w:id="387" w:name="Tc_d0JepeuZuESPpaJjgW_GLw_4_15"/>
      <w:bookmarkStart w:id="388" w:name="Tc_ih1rCn99WkCFLg19gY6bWQ_4_12"/>
      <w:bookmarkStart w:id="389" w:name="Tc_1XuPrIT9G0migSzNlmOA4g_4_6"/>
      <w:bookmarkStart w:id="390" w:name="Tc_FXTQkJDO5UK0DNrVrQQM0g_4_3"/>
      <w:bookmarkStart w:id="391" w:name="Tc_LsIcaU9q60mK4nWb5DPfVw_4_0"/>
      <w:bookmarkStart w:id="392" w:name="Tc_tGL-C461h0uleqqCSLPMSw_3_15"/>
      <w:bookmarkStart w:id="393" w:name="Tc_IDX2yTPHwkujauQsieOfew_3_9"/>
      <w:bookmarkStart w:id="394" w:name="Tc_6jAs-4R1E0yrByPeBv9TCw_3_6"/>
      <w:bookmarkStart w:id="395" w:name="Tc_9DBiyH7AuEGBGiKLUmerGA_3_3"/>
      <w:bookmarkStart w:id="396" w:name="Tc_RygdydV9IE2P2GsyiZSH5w_3_0"/>
      <w:bookmarkStart w:id="397" w:name="Tc_IUGIZhy4c0GEqXs-OBQ57Q_2_17"/>
      <w:bookmarkStart w:id="398" w:name="Tc_Z8I1NJ6yi0O7qwL7yzGMmQ_2_14"/>
      <w:bookmarkStart w:id="399" w:name="Tc_dxcd_7yz202zpB1gaQJSbA_2_11"/>
      <w:bookmarkStart w:id="400" w:name="Tc_0JxSkBb_aEql4XJqeUe8-Q_2_8"/>
      <w:bookmarkStart w:id="401" w:name="Tc_8q0QIjQ5o0Ka2xU0Hn8IXA_2_5"/>
      <w:bookmarkStart w:id="402" w:name="Tc_pINqHJbw0ECS5tHHNt34Dw_2_2"/>
      <w:bookmarkStart w:id="403" w:name="Tc_zOs-QdfZvkKcbBj27Zc24w_2_0"/>
      <w:bookmarkStart w:id="404" w:name="Tc_zrK5KPNzT0KJ-_YOaWZkCw_1_17"/>
      <w:bookmarkStart w:id="405" w:name="Tc_8PlAMAxpIUyaw47Nmn5ncA_1_14"/>
      <w:bookmarkStart w:id="406" w:name="Tc_2nyaXlHmyEmhMR7bT05NkQ_1_11"/>
      <w:bookmarkStart w:id="407" w:name="Tc_JM8-YgYEZkiu9wSmKxj2nw_1_8"/>
      <w:bookmarkStart w:id="408" w:name="Tc_nUia8aHaqkuqemG6IO_nSQ_1_5"/>
      <w:bookmarkStart w:id="409" w:name="Tc_CqyK6ZW60UClhu5giT4dLg_1_2"/>
      <w:bookmarkStart w:id="410" w:name="_0437583f_2c2e_4e59_96b6_5cc729cd6740"/>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tbl>
      <w:tblPr>
        <w:tblW w:w="10205" w:type="dxa"/>
        <w:jc w:val="left"/>
        <w:tblInd w:w="0" w:type="dxa"/>
        <w:tblLayout w:type="fixed"/>
        <w:tblCellMar>
          <w:top w:w="0" w:type="dxa"/>
          <w:left w:w="0" w:type="dxa"/>
          <w:bottom w:w="0" w:type="dxa"/>
          <w:right w:w="0" w:type="dxa"/>
        </w:tblCellMar>
      </w:tblPr>
      <w:tblGrid>
        <w:gridCol w:w="1944"/>
        <w:gridCol w:w="109"/>
        <w:gridCol w:w="347"/>
        <w:gridCol w:w="616"/>
        <w:gridCol w:w="109"/>
        <w:gridCol w:w="330"/>
        <w:gridCol w:w="633"/>
        <w:gridCol w:w="109"/>
        <w:gridCol w:w="286"/>
        <w:gridCol w:w="1015"/>
        <w:gridCol w:w="109"/>
        <w:gridCol w:w="234"/>
        <w:gridCol w:w="842"/>
        <w:gridCol w:w="109"/>
        <w:gridCol w:w="535"/>
        <w:gridCol w:w="1397"/>
        <w:gridCol w:w="109"/>
        <w:gridCol w:w="269"/>
        <w:gridCol w:w="1103"/>
      </w:tblGrid>
      <w:tr>
        <w:trPr/>
        <w:tc>
          <w:tcPr>
            <w:tcW w:w="1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234440" cy="175260"/>
                      <wp:effectExtent l="0" t="0" r="0" b="0"/>
                      <wp:wrapNone/>
                      <wp:docPr id="34" name="Frame34"/>
                      <a:graphic xmlns:a="http://schemas.openxmlformats.org/drawingml/2006/main">
                        <a:graphicData uri="http://schemas.microsoft.com/office/word/2010/wordprocessingShape">
                          <wps:wsp>
                            <wps:cNvSpPr txBox="1"/>
                            <wps:spPr>
                              <a:xfrm>
                                <a:off x="0" y="0"/>
                                <a:ext cx="1234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215" cy="175260"/>
                      <wp:effectExtent l="0" t="0" r="0" b="0"/>
                      <wp:wrapNone/>
                      <wp:docPr id="35" name="Frame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20345" cy="175260"/>
                      <wp:effectExtent l="0" t="0" r="0" b="0"/>
                      <wp:wrapNone/>
                      <wp:docPr id="36" name="Frame36"/>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391160" cy="175260"/>
                      <wp:effectExtent l="0" t="0" r="0" b="0"/>
                      <wp:wrapNone/>
                      <wp:docPr id="37" name="Frame37"/>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9215" cy="175260"/>
                      <wp:effectExtent l="0" t="0" r="0" b="0"/>
                      <wp:wrapNone/>
                      <wp:docPr id="38" name="Frame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9550" cy="175260"/>
                      <wp:effectExtent l="0" t="0" r="0" b="0"/>
                      <wp:wrapNone/>
                      <wp:docPr id="39" name="Frame39"/>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01955" cy="175260"/>
                      <wp:effectExtent l="0" t="0" r="0" b="0"/>
                      <wp:wrapNone/>
                      <wp:docPr id="40" name="Frame40"/>
                      <a:graphic xmlns:a="http://schemas.openxmlformats.org/drawingml/2006/main">
                        <a:graphicData uri="http://schemas.microsoft.com/office/word/2010/wordprocessingShape">
                          <wps:wsp>
                            <wps:cNvSpPr txBox="1"/>
                            <wps:spPr>
                              <a:xfrm>
                                <a:off x="0" y="0"/>
                                <a:ext cx="401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9215" cy="175260"/>
                      <wp:effectExtent l="0" t="0" r="0" b="0"/>
                      <wp:wrapNone/>
                      <wp:docPr id="41" name="Frame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81610" cy="175260"/>
                      <wp:effectExtent l="0" t="0" r="0" b="0"/>
                      <wp:wrapNone/>
                      <wp:docPr id="42" name="Frame4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4525" cy="175260"/>
                      <wp:effectExtent l="0" t="0" r="0" b="0"/>
                      <wp:wrapNone/>
                      <wp:docPr id="43" name="Frame43"/>
                      <a:graphic xmlns:a="http://schemas.openxmlformats.org/drawingml/2006/main">
                        <a:graphicData uri="http://schemas.microsoft.com/office/word/2010/wordprocessingShape">
                          <wps:wsp>
                            <wps:cNvSpPr txBox="1"/>
                            <wps:spPr>
                              <a:xfrm>
                                <a:off x="0" y="0"/>
                                <a:ext cx="644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9215" cy="175260"/>
                      <wp:effectExtent l="0" t="0" r="0" b="0"/>
                      <wp:wrapNone/>
                      <wp:docPr id="44" name="Frame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48590" cy="175260"/>
                      <wp:effectExtent l="0" t="0" r="0" b="0"/>
                      <wp:wrapNone/>
                      <wp:docPr id="45" name="Frame45"/>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34670" cy="175260"/>
                      <wp:effectExtent l="0" t="0" r="0" b="0"/>
                      <wp:wrapNone/>
                      <wp:docPr id="46" name="Frame46"/>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9215" cy="175260"/>
                      <wp:effectExtent l="0" t="0" r="0" b="0"/>
                      <wp:wrapNone/>
                      <wp:docPr id="47" name="Frame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339725" cy="175260"/>
                      <wp:effectExtent l="0" t="0" r="0" b="0"/>
                      <wp:wrapNone/>
                      <wp:docPr id="48" name="Frame48"/>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887095" cy="175260"/>
                      <wp:effectExtent l="0" t="0" r="0" b="0"/>
                      <wp:wrapNone/>
                      <wp:docPr id="49" name="Frame49"/>
                      <a:graphic xmlns:a="http://schemas.openxmlformats.org/drawingml/2006/main">
                        <a:graphicData uri="http://schemas.microsoft.com/office/word/2010/wordprocessingShape">
                          <wps:wsp>
                            <wps:cNvSpPr txBox="1"/>
                            <wps:spPr>
                              <a:xfrm>
                                <a:off x="0" y="0"/>
                                <a:ext cx="887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9215" cy="175260"/>
                      <wp:effectExtent l="0" t="0" r="0" b="0"/>
                      <wp:wrapNone/>
                      <wp:docPr id="50" name="Frame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70815" cy="175260"/>
                      <wp:effectExtent l="0" t="0" r="0" b="0"/>
                      <wp:wrapNone/>
                      <wp:docPr id="51" name="Frame51"/>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700405" cy="175260"/>
                      <wp:effectExtent l="0" t="0" r="0" b="0"/>
                      <wp:wrapNone/>
                      <wp:docPr id="52" name="Frame52"/>
                      <a:graphic xmlns:a="http://schemas.openxmlformats.org/drawingml/2006/main">
                        <a:graphicData uri="http://schemas.microsoft.com/office/word/2010/wordprocessingShape">
                          <wps:wsp>
                            <wps:cNvSpPr txBox="1"/>
                            <wps:spPr>
                              <a:xfrm>
                                <a:off x="0" y="0"/>
                                <a:ext cx="700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Preferred Stock</w:t>
            </w:r>
          </w:p>
        </w:tc>
        <w:tc>
          <w:tcPr>
            <w:tcW w:w="109" w:type="dxa"/>
            <w:tcBorders/>
            <w:vAlign w:val="center"/>
          </w:tcPr>
          <w:p>
            <w:pPr>
              <w:pStyle w:val="TableContents"/>
              <w:bidi w:val="0"/>
              <w:spacing w:before="0" w:after="0"/>
              <w:ind w:left="0" w:right="0" w:hanging="0"/>
              <w:jc w:val="left"/>
              <w:rPr/>
            </w:pPr>
            <w:r>
              <w:rPr/>
              <w:t>​</w:t>
            </w:r>
          </w:p>
        </w:tc>
        <w:tc>
          <w:tcPr>
            <w:tcW w:w="9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Common Stock</w:t>
            </w:r>
          </w:p>
        </w:tc>
        <w:tc>
          <w:tcPr>
            <w:tcW w:w="109" w:type="dxa"/>
            <w:tcBorders/>
            <w:vAlign w:val="center"/>
          </w:tcPr>
          <w:p>
            <w:pPr>
              <w:pStyle w:val="TableContents"/>
              <w:bidi w:val="0"/>
              <w:spacing w:before="0" w:after="0"/>
              <w:ind w:left="0" w:right="0" w:hanging="0"/>
              <w:jc w:val="center"/>
              <w:rPr/>
            </w:pPr>
            <w:r>
              <w:rPr/>
              <w:t>​</w:t>
            </w:r>
          </w:p>
        </w:tc>
        <w:tc>
          <w:tcPr>
            <w:tcW w:w="13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Additional Paid-In Capital </w:t>
            </w:r>
          </w:p>
        </w:tc>
        <w:tc>
          <w:tcPr>
            <w:tcW w:w="109" w:type="dxa"/>
            <w:tcBorders/>
            <w:vAlign w:val="center"/>
          </w:tcPr>
          <w:p>
            <w:pPr>
              <w:pStyle w:val="TableContents"/>
              <w:bidi w:val="0"/>
              <w:spacing w:before="0" w:after="0"/>
              <w:ind w:left="0" w:right="0" w:hanging="0"/>
              <w:jc w:val="center"/>
              <w:rPr/>
            </w:pPr>
            <w:r>
              <w:rPr/>
              <w:t>​</w:t>
            </w:r>
          </w:p>
        </w:tc>
        <w:tc>
          <w:tcPr>
            <w:tcW w:w="10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Retained Earnings</w:t>
            </w:r>
          </w:p>
        </w:tc>
        <w:tc>
          <w:tcPr>
            <w:tcW w:w="109" w:type="dxa"/>
            <w:tcBorders/>
            <w:vAlign w:val="center"/>
          </w:tcPr>
          <w:p>
            <w:pPr>
              <w:pStyle w:val="TableContents"/>
              <w:bidi w:val="0"/>
              <w:spacing w:before="0" w:after="0"/>
              <w:ind w:left="0" w:right="0" w:hanging="0"/>
              <w:jc w:val="center"/>
              <w:rPr/>
            </w:pPr>
            <w:r>
              <w:rPr/>
              <w:t>​</w:t>
            </w:r>
          </w:p>
        </w:tc>
        <w:tc>
          <w:tcPr>
            <w:tcW w:w="1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Accumulated Other Comprehensive Income</w:t>
            </w:r>
          </w:p>
        </w:tc>
        <w:tc>
          <w:tcPr>
            <w:tcW w:w="109" w:type="dxa"/>
            <w:tcBorders/>
            <w:vAlign w:val="center"/>
          </w:tcPr>
          <w:p>
            <w:pPr>
              <w:pStyle w:val="TableContents"/>
              <w:bidi w:val="0"/>
              <w:spacing w:before="0" w:after="0"/>
              <w:ind w:left="0" w:right="0" w:hanging="0"/>
              <w:jc w:val="center"/>
              <w:rPr/>
            </w:pPr>
            <w:r>
              <w:rPr/>
              <w:t>​</w:t>
            </w:r>
          </w:p>
        </w:tc>
        <w:tc>
          <w:tcPr>
            <w:tcW w:w="13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Stockholders' Equity</w:t>
            </w:r>
          </w:p>
        </w:tc>
      </w:tr>
      <w:tr>
        <w:trPr/>
        <w:tc>
          <w:tcPr>
            <w:tcW w:w="194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April 1, 2026</w:t>
            </w:r>
          </w:p>
        </w:tc>
        <w:tc>
          <w:tcPr>
            <w:tcW w:w="109"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w:t>
            </w:r>
          </w:p>
        </w:tc>
        <w:tc>
          <w:tcPr>
            <w:tcW w:w="109"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w:t>
            </w:r>
          </w:p>
        </w:tc>
        <w:tc>
          <w:tcPr>
            <w:tcW w:w="109"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396,749</w:t>
            </w:r>
          </w:p>
        </w:tc>
        <w:tc>
          <w:tcPr>
            <w:tcW w:w="109"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176,442</w:t>
            </w:r>
          </w:p>
        </w:tc>
        <w:tc>
          <w:tcPr>
            <w:tcW w:w="109"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1,792</w:t>
            </w:r>
          </w:p>
        </w:tc>
        <w:tc>
          <w:tcPr>
            <w:tcW w:w="109"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575,363</w:t>
            </w:r>
          </w:p>
        </w:tc>
      </w:tr>
      <w:tr>
        <w:trPr/>
        <w:tc>
          <w:tcPr>
            <w:tcW w:w="194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Attributable to the Company</w:t>
            </w:r>
          </w:p>
        </w:tc>
        <w:tc>
          <w:tcPr>
            <w:tcW w:w="109"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63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1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15,112</w:t>
            </w:r>
          </w:p>
        </w:tc>
        <w:tc>
          <w:tcPr>
            <w:tcW w:w="109"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139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11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15,112</w:t>
            </w:r>
          </w:p>
        </w:tc>
      </w:tr>
      <w:tr>
        <w:trPr/>
        <w:tc>
          <w:tcPr>
            <w:tcW w:w="194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 Issuance to Directors</w:t>
            </w:r>
          </w:p>
        </w:tc>
        <w:tc>
          <w:tcPr>
            <w:tcW w:w="109"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63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w:t>
            </w:r>
          </w:p>
        </w:tc>
        <w:tc>
          <w:tcPr>
            <w:tcW w:w="109"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left"/>
              <w:rPr/>
            </w:pPr>
            <w:r>
              <w:rPr/>
              <w:t>​</w:t>
            </w:r>
          </w:p>
        </w:tc>
        <w:tc>
          <w:tcPr>
            <w:tcW w:w="139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11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w:t>
            </w:r>
          </w:p>
        </w:tc>
      </w:tr>
      <w:tr>
        <w:trPr/>
        <w:tc>
          <w:tcPr>
            <w:tcW w:w="194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 Issuance, Net of Equity Issuance Costs</w:t>
            </w:r>
          </w:p>
        </w:tc>
        <w:tc>
          <w:tcPr>
            <w:tcW w:w="109"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63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83,289</w:t>
            </w:r>
          </w:p>
        </w:tc>
        <w:tc>
          <w:tcPr>
            <w:tcW w:w="109"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139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11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83,331</w:t>
            </w:r>
          </w:p>
        </w:tc>
      </w:tr>
      <w:tr>
        <w:trPr/>
        <w:tc>
          <w:tcPr>
            <w:tcW w:w="194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63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1,027</w:t>
            </w:r>
          </w:p>
        </w:tc>
        <w:tc>
          <w:tcPr>
            <w:tcW w:w="109"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left"/>
              <w:rPr/>
            </w:pPr>
            <w:r>
              <w:rPr/>
              <w:t>​</w:t>
            </w:r>
          </w:p>
        </w:tc>
        <w:tc>
          <w:tcPr>
            <w:tcW w:w="139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11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1,027</w:t>
            </w:r>
          </w:p>
        </w:tc>
      </w:tr>
      <w:tr>
        <w:trPr/>
        <w:tc>
          <w:tcPr>
            <w:tcW w:w="194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Stock Dividends Declared for the Period</w:t>
            </w:r>
          </w:p>
        </w:tc>
        <w:tc>
          <w:tcPr>
            <w:tcW w:w="109"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63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1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(1,878)</w:t>
            </w:r>
          </w:p>
        </w:tc>
        <w:tc>
          <w:tcPr>
            <w:tcW w:w="109"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139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11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(1,878)</w:t>
            </w:r>
          </w:p>
        </w:tc>
      </w:tr>
      <w:tr>
        <w:trPr/>
        <w:tc>
          <w:tcPr>
            <w:tcW w:w="194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Dividends Declared for the Period</w:t>
            </w:r>
          </w:p>
        </w:tc>
        <w:tc>
          <w:tcPr>
            <w:tcW w:w="109"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63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01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4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(14,120)</w:t>
            </w:r>
          </w:p>
        </w:tc>
        <w:tc>
          <w:tcPr>
            <w:tcW w:w="109"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left"/>
              <w:rPr/>
            </w:pPr>
            <w:r>
              <w:rPr/>
              <w:t>​</w:t>
            </w:r>
          </w:p>
        </w:tc>
        <w:tc>
          <w:tcPr>
            <w:tcW w:w="139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11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(14,120)</w:t>
            </w:r>
          </w:p>
        </w:tc>
      </w:tr>
      <w:tr>
        <w:trPr/>
        <w:tc>
          <w:tcPr>
            <w:tcW w:w="194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Other Comprehensive Income </w:t>
            </w:r>
          </w:p>
        </w:tc>
        <w:tc>
          <w:tcPr>
            <w:tcW w:w="109" w:type="dxa"/>
            <w:tcBorders/>
            <w:vAlign w:val="center"/>
          </w:tcPr>
          <w:p>
            <w:pPr>
              <w:pStyle w:val="TableContents"/>
              <w:bidi w:val="0"/>
              <w:spacing w:before="0" w:after="0"/>
              <w:ind w:left="0" w:right="0" w:hanging="0"/>
              <w:jc w:val="left"/>
              <w:rPr/>
            </w:pPr>
            <w:r>
              <w:rPr/>
              <w:t>​</w:t>
            </w:r>
          </w:p>
        </w:tc>
        <w:tc>
          <w:tcPr>
            <w:tcW w:w="3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4,279</w:t>
            </w:r>
          </w:p>
        </w:tc>
        <w:tc>
          <w:tcPr>
            <w:tcW w:w="109"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4,279</w:t>
            </w:r>
          </w:p>
        </w:tc>
      </w:tr>
      <w:tr>
        <w:trPr/>
        <w:tc>
          <w:tcPr>
            <w:tcW w:w="194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June 30, 2026</w:t>
            </w:r>
          </w:p>
        </w:tc>
        <w:tc>
          <w:tcPr>
            <w:tcW w:w="109" w:type="dxa"/>
            <w:tcBorders/>
            <w:shd w:fill="CCEEFF" w:val="clear"/>
            <w:vAlign w:val="center"/>
          </w:tcPr>
          <w:p>
            <w:pPr>
              <w:pStyle w:val="TableContents"/>
              <w:bidi w:val="0"/>
              <w:spacing w:before="0" w:after="0"/>
              <w:ind w:left="0" w:right="0" w:hanging="0"/>
              <w:jc w:val="left"/>
              <w:rPr/>
            </w:pPr>
            <w:r>
              <w:rPr/>
              <w:t>​</w:t>
            </w:r>
          </w:p>
        </w:tc>
        <w:tc>
          <w:tcPr>
            <w:tcW w:w="3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w:t>
            </w:r>
          </w:p>
        </w:tc>
        <w:tc>
          <w:tcPr>
            <w:tcW w:w="109" w:type="dxa"/>
            <w:tcBorders/>
            <w:shd w:fill="CCEEFF" w:val="clear"/>
            <w:vAlign w:val="center"/>
          </w:tcPr>
          <w:p>
            <w:pPr>
              <w:pStyle w:val="TableContents"/>
              <w:bidi w:val="0"/>
              <w:spacing w:before="0" w:after="0"/>
              <w:ind w:left="0" w:right="0" w:hanging="0"/>
              <w:jc w:val="left"/>
              <w:rPr/>
            </w:pPr>
            <w:r>
              <w:rPr/>
              <w:t>​</w:t>
            </w:r>
          </w:p>
        </w:tc>
        <w:tc>
          <w:tcPr>
            <w:tcW w:w="3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375</w:t>
            </w:r>
          </w:p>
        </w:tc>
        <w:tc>
          <w:tcPr>
            <w:tcW w:w="109" w:type="dxa"/>
            <w:tcBorders/>
            <w:shd w:fill="CCEEFF" w:val="clear"/>
            <w:vAlign w:val="center"/>
          </w:tcPr>
          <w:p>
            <w:pPr>
              <w:pStyle w:val="TableContents"/>
              <w:bidi w:val="0"/>
              <w:spacing w:before="0" w:after="0"/>
              <w:ind w:left="0" w:right="0" w:hanging="0"/>
              <w:jc w:val="left"/>
              <w:rPr/>
            </w:pPr>
            <w:r>
              <w:rPr/>
              <w:t>​</w:t>
            </w:r>
          </w:p>
        </w:tc>
        <w:tc>
          <w:tcPr>
            <w:tcW w:w="2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481,134</w:t>
            </w:r>
          </w:p>
        </w:tc>
        <w:tc>
          <w:tcPr>
            <w:tcW w:w="109" w:type="dxa"/>
            <w:tcBorders/>
            <w:shd w:fill="CCEEFF" w:val="clear"/>
            <w:vAlign w:val="center"/>
          </w:tcPr>
          <w:p>
            <w:pPr>
              <w:pStyle w:val="TableContents"/>
              <w:bidi w:val="0"/>
              <w:spacing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175,556</w:t>
            </w:r>
          </w:p>
        </w:tc>
        <w:tc>
          <w:tcPr>
            <w:tcW w:w="109" w:type="dxa"/>
            <w:tcBorders/>
            <w:shd w:fill="CCEEFF" w:val="clear"/>
            <w:vAlign w:val="center"/>
          </w:tcPr>
          <w:p>
            <w:pPr>
              <w:pStyle w:val="TableContents"/>
              <w:bidi w:val="0"/>
              <w:spacing w:before="0" w:after="0"/>
              <w:ind w:left="0" w:right="0" w:hanging="0"/>
              <w:jc w:val="left"/>
              <w:rPr/>
            </w:pPr>
            <w:r>
              <w:rPr/>
              <w:t>​</w:t>
            </w:r>
          </w:p>
        </w:tc>
        <w:tc>
          <w:tcPr>
            <w:tcW w:w="5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6,071</w:t>
            </w:r>
          </w:p>
        </w:tc>
        <w:tc>
          <w:tcPr>
            <w:tcW w:w="109" w:type="dxa"/>
            <w:tcBorders/>
            <w:shd w:fill="CCEEFF" w:val="clear"/>
            <w:vAlign w:val="center"/>
          </w:tcPr>
          <w:p>
            <w:pPr>
              <w:pStyle w:val="TableContents"/>
              <w:bidi w:val="0"/>
              <w:spacing w:before="0" w:after="0"/>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0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663,183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 the three months ended June 30, 2025:</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11" w:name="Tc_6dvlzJtFj0aXY9cK5saFFw_11_17"/>
      <w:bookmarkStart w:id="412" w:name="Tc_UZa0BKmKJU6YcGEofIsFIw_11_14"/>
      <w:bookmarkStart w:id="413" w:name="Tc_ZSwLxWIyIECrTIG4A2TePw_11_11"/>
      <w:bookmarkStart w:id="414" w:name="Tc_RCroVFk2GUCrMPdC6gNwig_11_8"/>
      <w:bookmarkStart w:id="415" w:name="Tc_PEOI5Sv4KUW8cwhX-ZdSjg_11_5"/>
      <w:bookmarkStart w:id="416" w:name="Tc_5DuIfbUzz0qcAUs4le0VAg_11_2"/>
      <w:bookmarkStart w:id="417" w:name="Tc_-jxivGn-dEqVWHUyZmCuWw_11_0"/>
      <w:bookmarkStart w:id="418" w:name="Tc_BPGTXKNZfk2Bt8R4jj0f2w_10_12"/>
      <w:bookmarkStart w:id="419" w:name="Tc_OA9GLIQrNUiqkqQ_NUJ30w_10_9"/>
      <w:bookmarkStart w:id="420" w:name="Tc_O1heUmC8a0CnOkl7VcVsrw_10_6"/>
      <w:bookmarkStart w:id="421" w:name="Tc_JnTEW9EEikmbAWqdYomNUw_10_3"/>
      <w:bookmarkStart w:id="422" w:name="Tc_bPzcjIrme0yidW-wQtPUWg_10_0"/>
      <w:bookmarkStart w:id="423" w:name="Tc_gOmBoTfZo0KGp-Pw2f-PBg_9_15"/>
      <w:bookmarkStart w:id="424" w:name="Tc_oIrYFnD-X0294_2HQg_WZg_9_9"/>
      <w:bookmarkStart w:id="425" w:name="Tc_VSOl0dy1y0yYs7qMkWLjUw_9_6"/>
      <w:bookmarkStart w:id="426" w:name="Tc_FNWwZvjaKkuNT4D9G7ZAkQ_9_3"/>
      <w:bookmarkStart w:id="427" w:name="Tc_U2NXjCEIBU-AuGq2zOYM8Q_9_0"/>
      <w:bookmarkStart w:id="428" w:name="Tc_JmVE0dBS7U60_xSMWydLSQ_8_15"/>
      <w:bookmarkStart w:id="429" w:name="Tc_IXdSyV-uB0u4iXKHtQlO-Q_8_9"/>
      <w:bookmarkStart w:id="430" w:name="Tc_orw_zeVpkUaGfDzeY7c0TA_8_6"/>
      <w:bookmarkStart w:id="431" w:name="Tc_jGe8BffKKEGNXfzsXt4auQ_8_3"/>
      <w:bookmarkStart w:id="432" w:name="Tc_jHEEXuJzXEm42HVIuH0Ksg_8_0"/>
      <w:bookmarkStart w:id="433" w:name="Tc_baVwBP0LoUyAagp47jdwHA_7_15"/>
      <w:bookmarkStart w:id="434" w:name="Tc_5Jr3s8zwOUSBWOtsOH3nlw_7_12"/>
      <w:bookmarkStart w:id="435" w:name="Tc_PmlLTnh4MUObHEzBVnFhzw_7_6"/>
      <w:bookmarkStart w:id="436" w:name="Tc_FXrfYOfW206w8AdB3untIA_7_3"/>
      <w:bookmarkStart w:id="437" w:name="Tc_WD2yIiNwtESM4Q3RQFrpOQ_7_0"/>
      <w:bookmarkStart w:id="438" w:name="Tc_xYBB3LlBGU6UiPR_P-khhw_6_15"/>
      <w:bookmarkStart w:id="439" w:name="Tc_eqmvAqHsdEiCiKvrYlHwUw_6_12"/>
      <w:bookmarkStart w:id="440" w:name="Tc_QYZvvfYAW0K_hgN57rl3Mg_6_3"/>
      <w:bookmarkStart w:id="441" w:name="Tc_n0LzwS4dV0-x1SvawQT2JQ_6_0"/>
      <w:bookmarkStart w:id="442" w:name="Tc_QgY4n_ieCEuJNUcC-HsOLw_5_15"/>
      <w:bookmarkStart w:id="443" w:name="Tc_upj7rUfiN0-k3w0C23X97w_5_12"/>
      <w:bookmarkStart w:id="444" w:name="Tc_SWgYlpTJEEqvvAdAVmHJhQ_5_6"/>
      <w:bookmarkStart w:id="445" w:name="Tc_rTxPgU1PM0ClEeqHZF4dcQ_5_3"/>
      <w:bookmarkStart w:id="446" w:name="Tc_PC7s1rlK_0iMY5ryPDmPgA_5_0"/>
      <w:bookmarkStart w:id="447" w:name="Tc_btniQztqbkO6YSK2qMifOg_4_15"/>
      <w:bookmarkStart w:id="448" w:name="Tc_ui7AWDFSyU6c19Xv5t0S2A_4_12"/>
      <w:bookmarkStart w:id="449" w:name="Tc_qQSO_QcTNkWl9II0yMdATQ_4_6"/>
      <w:bookmarkStart w:id="450" w:name="Tc_rO_BLiO--kSvDDIBpbsdHA_4_3"/>
      <w:bookmarkStart w:id="451" w:name="Tc_rDpLNmK2QEqwh4ELv0EbLw_4_0"/>
      <w:bookmarkStart w:id="452" w:name="Tc__EsKFD_WO0qyKF9YHAtYJQ_3_15"/>
      <w:bookmarkStart w:id="453" w:name="Tc_htLnk-eClUOGXhUr369wLg_3_9"/>
      <w:bookmarkStart w:id="454" w:name="Tc_O6ZeTnkvRU2_F8YmqBInyA_3_6"/>
      <w:bookmarkStart w:id="455" w:name="Tc_rBuejKACB0GfAEOFmkSEfQ_3_3"/>
      <w:bookmarkStart w:id="456" w:name="Tc_WlT7IoA4hEG6EXnTVKLGAg_3_0"/>
      <w:bookmarkStart w:id="457" w:name="Tc_pZGWeWNUlkKGq9NVzkW8Zg_2_17"/>
      <w:bookmarkStart w:id="458" w:name="Tc_aYGN-1qV7kaLVXMQwPBqtA_2_14"/>
      <w:bookmarkStart w:id="459" w:name="Tc_opMgq9G_QEapYUtWZcNcUA_2_11"/>
      <w:bookmarkStart w:id="460" w:name="Tc_dARKRHTAfEqe3mSgbUz_iw_2_8"/>
      <w:bookmarkStart w:id="461" w:name="Tc_tJIJyaVyWkC7UjSjnFe2aQ_2_5"/>
      <w:bookmarkStart w:id="462" w:name="Tc_muITGCFuHUuA653dpejv3w_2_2"/>
      <w:bookmarkStart w:id="463" w:name="Tc_mwc3IDqoBU-dF63oZICENQ_2_0"/>
      <w:bookmarkStart w:id="464" w:name="Tc_L88za71dUUumhOMqgHlMDw_1_17"/>
      <w:bookmarkStart w:id="465" w:name="Tc_toE0EHvm-0OXNtn1yilOrg_1_14"/>
      <w:bookmarkStart w:id="466" w:name="Tc_u9kHHo-bYECeh6IEc7ERWQ_1_11"/>
      <w:bookmarkStart w:id="467" w:name="Tc_vT8rZnmE6UmtZTMFdIek2w_1_8"/>
      <w:bookmarkStart w:id="468" w:name="Tc_7-dfH9YqO0Cg4Lp6ftYlmA_1_5"/>
      <w:bookmarkStart w:id="469" w:name="Tc_hpnPEZ0gh0KXWwNAyAhOBA_1_2"/>
      <w:bookmarkStart w:id="470" w:name="_5549a9b2_8f93_4f29_855e_f90d2a76c351"/>
      <w:bookmarkStart w:id="471" w:name="Tc_6dvlzJtFj0aXY9cK5saFFw_11_17"/>
      <w:bookmarkStart w:id="472" w:name="Tc_UZa0BKmKJU6YcGEofIsFIw_11_14"/>
      <w:bookmarkStart w:id="473" w:name="Tc_ZSwLxWIyIECrTIG4A2TePw_11_11"/>
      <w:bookmarkStart w:id="474" w:name="Tc_RCroVFk2GUCrMPdC6gNwig_11_8"/>
      <w:bookmarkStart w:id="475" w:name="Tc_PEOI5Sv4KUW8cwhX-ZdSjg_11_5"/>
      <w:bookmarkStart w:id="476" w:name="Tc_5DuIfbUzz0qcAUs4le0VAg_11_2"/>
      <w:bookmarkStart w:id="477" w:name="Tc_-jxivGn-dEqVWHUyZmCuWw_11_0"/>
      <w:bookmarkStart w:id="478" w:name="Tc_BPGTXKNZfk2Bt8R4jj0f2w_10_12"/>
      <w:bookmarkStart w:id="479" w:name="Tc_OA9GLIQrNUiqkqQ_NUJ30w_10_9"/>
      <w:bookmarkStart w:id="480" w:name="Tc_O1heUmC8a0CnOkl7VcVsrw_10_6"/>
      <w:bookmarkStart w:id="481" w:name="Tc_JnTEW9EEikmbAWqdYomNUw_10_3"/>
      <w:bookmarkStart w:id="482" w:name="Tc_bPzcjIrme0yidW-wQtPUWg_10_0"/>
      <w:bookmarkStart w:id="483" w:name="Tc_gOmBoTfZo0KGp-Pw2f-PBg_9_15"/>
      <w:bookmarkStart w:id="484" w:name="Tc_oIrYFnD-X0294_2HQg_WZg_9_9"/>
      <w:bookmarkStart w:id="485" w:name="Tc_VSOl0dy1y0yYs7qMkWLjUw_9_6"/>
      <w:bookmarkStart w:id="486" w:name="Tc_FNWwZvjaKkuNT4D9G7ZAkQ_9_3"/>
      <w:bookmarkStart w:id="487" w:name="Tc_U2NXjCEIBU-AuGq2zOYM8Q_9_0"/>
      <w:bookmarkStart w:id="488" w:name="Tc_JmVE0dBS7U60_xSMWydLSQ_8_15"/>
      <w:bookmarkStart w:id="489" w:name="Tc_IXdSyV-uB0u4iXKHtQlO-Q_8_9"/>
      <w:bookmarkStart w:id="490" w:name="Tc_orw_zeVpkUaGfDzeY7c0TA_8_6"/>
      <w:bookmarkStart w:id="491" w:name="Tc_jGe8BffKKEGNXfzsXt4auQ_8_3"/>
      <w:bookmarkStart w:id="492" w:name="Tc_jHEEXuJzXEm42HVIuH0Ksg_8_0"/>
      <w:bookmarkStart w:id="493" w:name="Tc_baVwBP0LoUyAagp47jdwHA_7_15"/>
      <w:bookmarkStart w:id="494" w:name="Tc_5Jr3s8zwOUSBWOtsOH3nlw_7_12"/>
      <w:bookmarkStart w:id="495" w:name="Tc_PmlLTnh4MUObHEzBVnFhzw_7_6"/>
      <w:bookmarkStart w:id="496" w:name="Tc_FXrfYOfW206w8AdB3untIA_7_3"/>
      <w:bookmarkStart w:id="497" w:name="Tc_WD2yIiNwtESM4Q3RQFrpOQ_7_0"/>
      <w:bookmarkStart w:id="498" w:name="Tc_xYBB3LlBGU6UiPR_P-khhw_6_15"/>
      <w:bookmarkStart w:id="499" w:name="Tc_eqmvAqHsdEiCiKvrYlHwUw_6_12"/>
      <w:bookmarkStart w:id="500" w:name="Tc_QYZvvfYAW0K_hgN57rl3Mg_6_3"/>
      <w:bookmarkStart w:id="501" w:name="Tc_n0LzwS4dV0-x1SvawQT2JQ_6_0"/>
      <w:bookmarkStart w:id="502" w:name="Tc_QgY4n_ieCEuJNUcC-HsOLw_5_15"/>
      <w:bookmarkStart w:id="503" w:name="Tc_upj7rUfiN0-k3w0C23X97w_5_12"/>
      <w:bookmarkStart w:id="504" w:name="Tc_SWgYlpTJEEqvvAdAVmHJhQ_5_6"/>
      <w:bookmarkStart w:id="505" w:name="Tc_rTxPgU1PM0ClEeqHZF4dcQ_5_3"/>
      <w:bookmarkStart w:id="506" w:name="Tc_PC7s1rlK_0iMY5ryPDmPgA_5_0"/>
      <w:bookmarkStart w:id="507" w:name="Tc_btniQztqbkO6YSK2qMifOg_4_15"/>
      <w:bookmarkStart w:id="508" w:name="Tc_ui7AWDFSyU6c19Xv5t0S2A_4_12"/>
      <w:bookmarkStart w:id="509" w:name="Tc_qQSO_QcTNkWl9II0yMdATQ_4_6"/>
      <w:bookmarkStart w:id="510" w:name="Tc_rO_BLiO--kSvDDIBpbsdHA_4_3"/>
      <w:bookmarkStart w:id="511" w:name="Tc_rDpLNmK2QEqwh4ELv0EbLw_4_0"/>
      <w:bookmarkStart w:id="512" w:name="Tc__EsKFD_WO0qyKF9YHAtYJQ_3_15"/>
      <w:bookmarkStart w:id="513" w:name="Tc_htLnk-eClUOGXhUr369wLg_3_9"/>
      <w:bookmarkStart w:id="514" w:name="Tc_O6ZeTnkvRU2_F8YmqBInyA_3_6"/>
      <w:bookmarkStart w:id="515" w:name="Tc_rBuejKACB0GfAEOFmkSEfQ_3_3"/>
      <w:bookmarkStart w:id="516" w:name="Tc_WlT7IoA4hEG6EXnTVKLGAg_3_0"/>
      <w:bookmarkStart w:id="517" w:name="Tc_pZGWeWNUlkKGq9NVzkW8Zg_2_17"/>
      <w:bookmarkStart w:id="518" w:name="Tc_aYGN-1qV7kaLVXMQwPBqtA_2_14"/>
      <w:bookmarkStart w:id="519" w:name="Tc_opMgq9G_QEapYUtWZcNcUA_2_11"/>
      <w:bookmarkStart w:id="520" w:name="Tc_dARKRHTAfEqe3mSgbUz_iw_2_8"/>
      <w:bookmarkStart w:id="521" w:name="Tc_tJIJyaVyWkC7UjSjnFe2aQ_2_5"/>
      <w:bookmarkStart w:id="522" w:name="Tc_muITGCFuHUuA653dpejv3w_2_2"/>
      <w:bookmarkStart w:id="523" w:name="Tc_mwc3IDqoBU-dF63oZICENQ_2_0"/>
      <w:bookmarkStart w:id="524" w:name="Tc_L88za71dUUumhOMqgHlMDw_1_17"/>
      <w:bookmarkStart w:id="525" w:name="Tc_toE0EHvm-0OXNtn1yilOrg_1_14"/>
      <w:bookmarkStart w:id="526" w:name="Tc_u9kHHo-bYECeh6IEc7ERWQ_1_11"/>
      <w:bookmarkStart w:id="527" w:name="Tc_vT8rZnmE6UmtZTMFdIek2w_1_8"/>
      <w:bookmarkStart w:id="528" w:name="Tc_7-dfH9YqO0Cg4Lp6ftYlmA_1_5"/>
      <w:bookmarkStart w:id="529" w:name="Tc_hpnPEZ0gh0KXWwNAyAhOBA_1_2"/>
      <w:bookmarkStart w:id="530" w:name="_5549a9b2_8f93_4f29_855e_f90d2a76c351"/>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tbl>
      <w:tblPr>
        <w:tblW w:w="10205" w:type="dxa"/>
        <w:jc w:val="left"/>
        <w:tblInd w:w="0" w:type="dxa"/>
        <w:tblLayout w:type="fixed"/>
        <w:tblCellMar>
          <w:top w:w="0" w:type="dxa"/>
          <w:left w:w="0" w:type="dxa"/>
          <w:bottom w:w="0" w:type="dxa"/>
          <w:right w:w="0" w:type="dxa"/>
        </w:tblCellMar>
      </w:tblPr>
      <w:tblGrid>
        <w:gridCol w:w="1901"/>
        <w:gridCol w:w="109"/>
        <w:gridCol w:w="344"/>
        <w:gridCol w:w="610"/>
        <w:gridCol w:w="109"/>
        <w:gridCol w:w="327"/>
        <w:gridCol w:w="628"/>
        <w:gridCol w:w="109"/>
        <w:gridCol w:w="281"/>
        <w:gridCol w:w="998"/>
        <w:gridCol w:w="109"/>
        <w:gridCol w:w="232"/>
        <w:gridCol w:w="832"/>
        <w:gridCol w:w="109"/>
        <w:gridCol w:w="519"/>
        <w:gridCol w:w="1517"/>
        <w:gridCol w:w="109"/>
        <w:gridCol w:w="267"/>
        <w:gridCol w:w="1095"/>
      </w:tblGrid>
      <w:tr>
        <w:trPr/>
        <w:tc>
          <w:tcPr>
            <w:tcW w:w="1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207135" cy="175260"/>
                      <wp:effectExtent l="0" t="0" r="0" b="0"/>
                      <wp:wrapNone/>
                      <wp:docPr id="53" name="Frame53"/>
                      <a:graphic xmlns:a="http://schemas.openxmlformats.org/drawingml/2006/main">
                        <a:graphicData uri="http://schemas.microsoft.com/office/word/2010/wordprocessingShape">
                          <wps:wsp>
                            <wps:cNvSpPr txBox="1"/>
                            <wps:spPr>
                              <a:xfrm>
                                <a:off x="0" y="0"/>
                                <a:ext cx="1207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9215" cy="175260"/>
                      <wp:effectExtent l="0" t="0" r="0" b="0"/>
                      <wp:wrapNone/>
                      <wp:docPr id="54" name="Frame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8440" cy="175260"/>
                      <wp:effectExtent l="0" t="0" r="0" b="0"/>
                      <wp:wrapNone/>
                      <wp:docPr id="55" name="Frame55"/>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387350" cy="175260"/>
                      <wp:effectExtent l="0" t="0" r="0" b="0"/>
                      <wp:wrapNone/>
                      <wp:docPr id="56" name="Frame56"/>
                      <a:graphic xmlns:a="http://schemas.openxmlformats.org/drawingml/2006/main">
                        <a:graphicData uri="http://schemas.microsoft.com/office/word/2010/wordprocessingShape">
                          <wps:wsp>
                            <wps:cNvSpPr txBox="1"/>
                            <wps:spPr>
                              <a:xfrm>
                                <a:off x="0" y="0"/>
                                <a:ext cx="387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9215" cy="175260"/>
                      <wp:effectExtent l="0" t="0" r="0" b="0"/>
                      <wp:wrapNone/>
                      <wp:docPr id="57" name="Frame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645" cy="175260"/>
                      <wp:effectExtent l="0" t="0" r="0" b="0"/>
                      <wp:wrapNone/>
                      <wp:docPr id="58" name="Frame58"/>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398780" cy="175260"/>
                      <wp:effectExtent l="0" t="0" r="0" b="0"/>
                      <wp:wrapNone/>
                      <wp:docPr id="59" name="Frame59"/>
                      <a:graphic xmlns:a="http://schemas.openxmlformats.org/drawingml/2006/main">
                        <a:graphicData uri="http://schemas.microsoft.com/office/word/2010/wordprocessingShape">
                          <wps:wsp>
                            <wps:cNvSpPr txBox="1"/>
                            <wps:spPr>
                              <a:xfrm>
                                <a:off x="0" y="0"/>
                                <a:ext cx="398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75260"/>
                      <wp:effectExtent l="0" t="0" r="0" b="0"/>
                      <wp:wrapNone/>
                      <wp:docPr id="60" name="Frame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78435" cy="175260"/>
                      <wp:effectExtent l="0" t="0" r="0" b="0"/>
                      <wp:wrapNone/>
                      <wp:docPr id="61" name="Frame61"/>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33730" cy="175260"/>
                      <wp:effectExtent l="0" t="0" r="0" b="0"/>
                      <wp:wrapNone/>
                      <wp:docPr id="62" name="Frame62"/>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215" cy="175260"/>
                      <wp:effectExtent l="0" t="0" r="0" b="0"/>
                      <wp:wrapNone/>
                      <wp:docPr id="63" name="Frame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47320" cy="175260"/>
                      <wp:effectExtent l="0" t="0" r="0" b="0"/>
                      <wp:wrapNone/>
                      <wp:docPr id="64" name="Frame64"/>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28320" cy="175260"/>
                      <wp:effectExtent l="0" t="0" r="0" b="0"/>
                      <wp:wrapNone/>
                      <wp:docPr id="65" name="Frame65"/>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66" name="Frame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329565" cy="175260"/>
                      <wp:effectExtent l="0" t="0" r="0" b="0"/>
                      <wp:wrapNone/>
                      <wp:docPr id="67" name="Frame67"/>
                      <a:graphic xmlns:a="http://schemas.openxmlformats.org/drawingml/2006/main">
                        <a:graphicData uri="http://schemas.microsoft.com/office/word/2010/wordprocessingShape">
                          <wps:wsp>
                            <wps:cNvSpPr txBox="1"/>
                            <wps:spPr>
                              <a:xfrm>
                                <a:off x="0" y="0"/>
                                <a:ext cx="329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963295" cy="175260"/>
                      <wp:effectExtent l="0" t="0" r="0" b="0"/>
                      <wp:wrapNone/>
                      <wp:docPr id="68" name="Frame68"/>
                      <a:graphic xmlns:a="http://schemas.openxmlformats.org/drawingml/2006/main">
                        <a:graphicData uri="http://schemas.microsoft.com/office/word/2010/wordprocessingShape">
                          <wps:wsp>
                            <wps:cNvSpPr txBox="1"/>
                            <wps:spPr>
                              <a:xfrm>
                                <a:off x="0" y="0"/>
                                <a:ext cx="963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69" name="Frame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69545" cy="175260"/>
                      <wp:effectExtent l="0" t="0" r="0" b="0"/>
                      <wp:wrapNone/>
                      <wp:docPr id="70" name="Frame70"/>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95325" cy="175260"/>
                      <wp:effectExtent l="0" t="0" r="0" b="0"/>
                      <wp:wrapNone/>
                      <wp:docPr id="71" name="Frame71"/>
                      <a:graphic xmlns:a="http://schemas.openxmlformats.org/drawingml/2006/main">
                        <a:graphicData uri="http://schemas.microsoft.com/office/word/2010/wordprocessingShape">
                          <wps:wsp>
                            <wps:cNvSpPr txBox="1"/>
                            <wps:spPr>
                              <a:xfrm>
                                <a:off x="0" y="0"/>
                                <a:ext cx="695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Preferred Stock</w:t>
            </w:r>
          </w:p>
        </w:tc>
        <w:tc>
          <w:tcPr>
            <w:tcW w:w="109" w:type="dxa"/>
            <w:tcBorders/>
            <w:vAlign w:val="center"/>
          </w:tcPr>
          <w:p>
            <w:pPr>
              <w:pStyle w:val="TableContents"/>
              <w:bidi w:val="0"/>
              <w:spacing w:before="0" w:after="0"/>
              <w:ind w:left="0" w:right="0" w:hanging="0"/>
              <w:jc w:val="left"/>
              <w:rPr/>
            </w:pPr>
            <w:r>
              <w:rPr/>
              <w:t>​</w:t>
            </w:r>
          </w:p>
        </w:tc>
        <w:tc>
          <w:tcPr>
            <w:tcW w:w="9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Common Stock</w:t>
            </w:r>
          </w:p>
        </w:tc>
        <w:tc>
          <w:tcPr>
            <w:tcW w:w="109" w:type="dxa"/>
            <w:tcBorders/>
            <w:vAlign w:val="center"/>
          </w:tcPr>
          <w:p>
            <w:pPr>
              <w:pStyle w:val="TableContents"/>
              <w:bidi w:val="0"/>
              <w:spacing w:before="0" w:after="0"/>
              <w:ind w:left="0" w:right="0" w:hanging="0"/>
              <w:jc w:val="center"/>
              <w:rPr/>
            </w:pPr>
            <w:r>
              <w:rPr/>
              <w:t>​</w:t>
            </w:r>
          </w:p>
        </w:tc>
        <w:tc>
          <w:tcPr>
            <w:tcW w:w="12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Additional Paid-In Capital </w:t>
            </w:r>
          </w:p>
        </w:tc>
        <w:tc>
          <w:tcPr>
            <w:tcW w:w="109" w:type="dxa"/>
            <w:tcBorders/>
            <w:vAlign w:val="center"/>
          </w:tcPr>
          <w:p>
            <w:pPr>
              <w:pStyle w:val="TableContents"/>
              <w:bidi w:val="0"/>
              <w:spacing w:before="0" w:after="0"/>
              <w:ind w:left="0" w:right="0" w:hanging="0"/>
              <w:jc w:val="center"/>
              <w:rPr/>
            </w:pPr>
            <w:r>
              <w:rPr/>
              <w:t>​</w:t>
            </w:r>
          </w:p>
        </w:tc>
        <w:tc>
          <w:tcPr>
            <w:tcW w:w="10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Retained Earnings</w:t>
            </w:r>
          </w:p>
        </w:tc>
        <w:tc>
          <w:tcPr>
            <w:tcW w:w="109" w:type="dxa"/>
            <w:tcBorders/>
            <w:vAlign w:val="center"/>
          </w:tcPr>
          <w:p>
            <w:pPr>
              <w:pStyle w:val="TableContents"/>
              <w:bidi w:val="0"/>
              <w:spacing w:before="0" w:after="0"/>
              <w:ind w:left="0" w:right="0" w:hanging="0"/>
              <w:jc w:val="center"/>
              <w:rPr/>
            </w:pPr>
            <w:r>
              <w:rPr/>
              <w:t>​</w:t>
            </w:r>
          </w:p>
        </w:tc>
        <w:tc>
          <w:tcPr>
            <w:tcW w:w="2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Accumulated Other Comprehensive Income (Loss)</w:t>
            </w:r>
          </w:p>
        </w:tc>
        <w:tc>
          <w:tcPr>
            <w:tcW w:w="109" w:type="dxa"/>
            <w:tcBorders/>
            <w:vAlign w:val="center"/>
          </w:tcPr>
          <w:p>
            <w:pPr>
              <w:pStyle w:val="TableContents"/>
              <w:bidi w:val="0"/>
              <w:spacing w:before="0" w:after="0"/>
              <w:ind w:left="0" w:right="0" w:hanging="0"/>
              <w:jc w:val="center"/>
              <w:rPr/>
            </w:pPr>
            <w:r>
              <w:rPr/>
              <w:t>​</w:t>
            </w:r>
          </w:p>
        </w:tc>
        <w:tc>
          <w:tcPr>
            <w:tcW w:w="13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Stockholders' Equity</w:t>
            </w:r>
          </w:p>
        </w:tc>
      </w:tr>
      <w:tr>
        <w:trPr/>
        <w:tc>
          <w:tcPr>
            <w:tcW w:w="1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April 1, 2025</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318</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368,000</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220,272</w:t>
            </w:r>
          </w:p>
        </w:tc>
        <w:tc>
          <w:tcPr>
            <w:tcW w:w="109" w:type="dxa"/>
            <w:tcBorders/>
            <w:shd w:fill="CCEEFF" w:val="clear"/>
            <w:vAlign w:val="center"/>
          </w:tcPr>
          <w:p>
            <w:pPr>
              <w:pStyle w:val="TableContents"/>
              <w:bidi w:val="0"/>
              <w:spacing w:before="0" w:after="0"/>
              <w:ind w:left="0" w:right="0" w:hanging="0"/>
              <w:jc w:val="left"/>
              <w:rPr/>
            </w:pPr>
            <w:r>
              <w:rPr/>
              <w:t>​</w:t>
            </w:r>
          </w:p>
        </w:tc>
        <w:tc>
          <w:tcPr>
            <w:tcW w:w="51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5,246</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593,883</w:t>
            </w:r>
          </w:p>
        </w:tc>
      </w:tr>
      <w:tr>
        <w:trPr/>
        <w:tc>
          <w:tcPr>
            <w:tcW w:w="1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 Attributable to the Company</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(23,418)</w:t>
            </w:r>
          </w:p>
        </w:tc>
        <w:tc>
          <w:tcPr>
            <w:tcW w:w="109" w:type="dxa"/>
            <w:tcBorders/>
            <w:vAlign w:val="center"/>
          </w:tcPr>
          <w:p>
            <w:pPr>
              <w:pStyle w:val="TableContents"/>
              <w:bidi w:val="0"/>
              <w:spacing w:before="0" w:after="0"/>
              <w:ind w:left="0" w:right="0" w:hanging="0"/>
              <w:jc w:val="left"/>
              <w:rPr/>
            </w:pPr>
            <w:r>
              <w:rPr/>
              <w:t>​</w:t>
            </w:r>
          </w:p>
        </w:tc>
        <w:tc>
          <w:tcPr>
            <w:tcW w:w="519" w:type="dxa"/>
            <w:tcBorders/>
            <w:vAlign w:val="center"/>
          </w:tcPr>
          <w:p>
            <w:pPr>
              <w:pStyle w:val="TableContents"/>
              <w:bidi w:val="0"/>
              <w:spacing w:before="0" w:after="0"/>
              <w:ind w:left="0" w:right="0" w:hanging="0"/>
              <w:jc w:val="left"/>
              <w:rPr/>
            </w:pPr>
            <w:r>
              <w:rPr/>
              <w:t>​</w:t>
            </w:r>
          </w:p>
        </w:tc>
        <w:tc>
          <w:tcPr>
            <w:tcW w:w="151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(23,418)</w:t>
            </w:r>
          </w:p>
        </w:tc>
      </w:tr>
      <w:tr>
        <w:trPr/>
        <w:tc>
          <w:tcPr>
            <w:tcW w:w="1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 Repurchase</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19" w:type="dxa"/>
            <w:tcBorders/>
            <w:shd w:fill="CCEEFF" w:val="clear"/>
            <w:vAlign w:val="center"/>
          </w:tcPr>
          <w:p>
            <w:pPr>
              <w:pStyle w:val="TableContents"/>
              <w:bidi w:val="0"/>
              <w:spacing w:before="0" w:after="0"/>
              <w:ind w:left="0" w:right="0" w:hanging="0"/>
              <w:jc w:val="left"/>
              <w:rPr/>
            </w:pPr>
            <w:r>
              <w:rPr/>
              <w:t>​</w:t>
            </w:r>
          </w:p>
        </w:tc>
        <w:tc>
          <w:tcPr>
            <w:tcW w:w="151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10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w:t>
            </w:r>
          </w:p>
        </w:tc>
      </w:tr>
      <w:tr>
        <w:trPr/>
        <w:tc>
          <w:tcPr>
            <w:tcW w:w="1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 Issuance to Directors</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19" w:type="dxa"/>
            <w:tcBorders/>
            <w:vAlign w:val="center"/>
          </w:tcPr>
          <w:p>
            <w:pPr>
              <w:pStyle w:val="TableContents"/>
              <w:bidi w:val="0"/>
              <w:spacing w:before="0" w:after="0"/>
              <w:ind w:left="0" w:right="0" w:hanging="0"/>
              <w:jc w:val="left"/>
              <w:rPr/>
            </w:pPr>
            <w:r>
              <w:rPr/>
              <w:t>​</w:t>
            </w:r>
          </w:p>
        </w:tc>
        <w:tc>
          <w:tcPr>
            <w:tcW w:w="151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w:t>
            </w:r>
          </w:p>
        </w:tc>
      </w:tr>
      <w:tr>
        <w:trPr/>
        <w:tc>
          <w:tcPr>
            <w:tcW w:w="1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 Issuance, Settlement of 2025 Notes</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21,037</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19" w:type="dxa"/>
            <w:tcBorders/>
            <w:shd w:fill="CCEEFF" w:val="clear"/>
            <w:vAlign w:val="center"/>
          </w:tcPr>
          <w:p>
            <w:pPr>
              <w:pStyle w:val="TableContents"/>
              <w:bidi w:val="0"/>
              <w:spacing w:before="0" w:after="0"/>
              <w:ind w:left="0" w:right="0" w:hanging="0"/>
              <w:jc w:val="left"/>
              <w:rPr/>
            </w:pPr>
            <w:r>
              <w:rPr/>
              <w:t>​</w:t>
            </w:r>
          </w:p>
        </w:tc>
        <w:tc>
          <w:tcPr>
            <w:tcW w:w="151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10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21,048</w:t>
            </w:r>
          </w:p>
        </w:tc>
      </w:tr>
      <w:tr>
        <w:trPr/>
        <w:tc>
          <w:tcPr>
            <w:tcW w:w="1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914</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19" w:type="dxa"/>
            <w:tcBorders/>
            <w:vAlign w:val="center"/>
          </w:tcPr>
          <w:p>
            <w:pPr>
              <w:pStyle w:val="TableContents"/>
              <w:bidi w:val="0"/>
              <w:spacing w:before="0" w:after="0"/>
              <w:ind w:left="0" w:right="0" w:hanging="0"/>
              <w:jc w:val="left"/>
              <w:rPr/>
            </w:pPr>
            <w:r>
              <w:rPr/>
              <w:t>​</w:t>
            </w:r>
          </w:p>
        </w:tc>
        <w:tc>
          <w:tcPr>
            <w:tcW w:w="151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914</w:t>
            </w:r>
          </w:p>
        </w:tc>
      </w:tr>
      <w:tr>
        <w:trPr/>
        <w:tc>
          <w:tcPr>
            <w:tcW w:w="1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Stock Dividends Declared for the Period</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9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(1,878)</w:t>
            </w:r>
          </w:p>
        </w:tc>
        <w:tc>
          <w:tcPr>
            <w:tcW w:w="109" w:type="dxa"/>
            <w:tcBorders/>
            <w:shd w:fill="CCEEFF" w:val="clear"/>
            <w:vAlign w:val="center"/>
          </w:tcPr>
          <w:p>
            <w:pPr>
              <w:pStyle w:val="TableContents"/>
              <w:bidi w:val="0"/>
              <w:spacing w:before="0" w:after="0"/>
              <w:ind w:left="0" w:right="0" w:hanging="0"/>
              <w:jc w:val="left"/>
              <w:rPr/>
            </w:pPr>
            <w:r>
              <w:rPr/>
              <w:t>​</w:t>
            </w:r>
          </w:p>
        </w:tc>
        <w:tc>
          <w:tcPr>
            <w:tcW w:w="519" w:type="dxa"/>
            <w:tcBorders/>
            <w:shd w:fill="CCEEFF" w:val="clear"/>
            <w:vAlign w:val="center"/>
          </w:tcPr>
          <w:p>
            <w:pPr>
              <w:pStyle w:val="TableContents"/>
              <w:bidi w:val="0"/>
              <w:spacing w:before="0" w:after="0"/>
              <w:ind w:left="0" w:right="0" w:hanging="0"/>
              <w:jc w:val="left"/>
              <w:rPr/>
            </w:pPr>
            <w:r>
              <w:rPr/>
              <w:t>​</w:t>
            </w:r>
          </w:p>
        </w:tc>
        <w:tc>
          <w:tcPr>
            <w:tcW w:w="151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10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(1,878)</w:t>
            </w:r>
          </w:p>
        </w:tc>
      </w:tr>
      <w:tr>
        <w:trPr/>
        <w:tc>
          <w:tcPr>
            <w:tcW w:w="1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Dividends Declared for the Period</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(12,614)</w:t>
            </w:r>
          </w:p>
        </w:tc>
        <w:tc>
          <w:tcPr>
            <w:tcW w:w="109" w:type="dxa"/>
            <w:tcBorders/>
            <w:vAlign w:val="center"/>
          </w:tcPr>
          <w:p>
            <w:pPr>
              <w:pStyle w:val="TableContents"/>
              <w:bidi w:val="0"/>
              <w:spacing w:before="0" w:after="0"/>
              <w:ind w:left="0" w:right="0" w:hanging="0"/>
              <w:jc w:val="left"/>
              <w:rPr/>
            </w:pPr>
            <w:r>
              <w:rPr/>
              <w:t>​</w:t>
            </w:r>
          </w:p>
        </w:tc>
        <w:tc>
          <w:tcPr>
            <w:tcW w:w="519" w:type="dxa"/>
            <w:tcBorders/>
            <w:vAlign w:val="center"/>
          </w:tcPr>
          <w:p>
            <w:pPr>
              <w:pStyle w:val="TableContents"/>
              <w:bidi w:val="0"/>
              <w:spacing w:before="0" w:after="0"/>
              <w:ind w:left="0" w:right="0" w:hanging="0"/>
              <w:jc w:val="left"/>
              <w:rPr/>
            </w:pPr>
            <w:r>
              <w:rPr/>
              <w:t>​</w:t>
            </w:r>
          </w:p>
        </w:tc>
        <w:tc>
          <w:tcPr>
            <w:tcW w:w="151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(12,614)</w:t>
            </w:r>
          </w:p>
        </w:tc>
      </w:tr>
      <w:tr>
        <w:trPr/>
        <w:tc>
          <w:tcPr>
            <w:tcW w:w="1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Other Comprehensive Loss </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5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(3,925)</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(3,925)</w:t>
            </w:r>
          </w:p>
        </w:tc>
      </w:tr>
      <w:tr>
        <w:trPr/>
        <w:tc>
          <w:tcPr>
            <w:tcW w:w="1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June 30, 2025</w:t>
            </w:r>
          </w:p>
        </w:tc>
        <w:tc>
          <w:tcPr>
            <w:tcW w:w="109" w:type="dxa"/>
            <w:tcBorders/>
            <w:vAlign w:val="center"/>
          </w:tcPr>
          <w:p>
            <w:pPr>
              <w:pStyle w:val="TableContents"/>
              <w:bidi w:val="0"/>
              <w:spacing w:before="0" w:after="0"/>
              <w:ind w:left="0" w:right="0" w:hanging="0"/>
              <w:jc w:val="left"/>
              <w:rPr/>
            </w:pPr>
            <w:r>
              <w:rPr/>
              <w:t>​</w:t>
            </w:r>
          </w:p>
        </w:tc>
        <w:tc>
          <w:tcPr>
            <w:tcW w:w="3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w:t>
            </w:r>
          </w:p>
        </w:tc>
        <w:tc>
          <w:tcPr>
            <w:tcW w:w="109" w:type="dxa"/>
            <w:tcBorders/>
            <w:vAlign w:val="center"/>
          </w:tcPr>
          <w:p>
            <w:pPr>
              <w:pStyle w:val="TableContents"/>
              <w:bidi w:val="0"/>
              <w:spacing w:before="0" w:after="0"/>
              <w:ind w:left="0" w:right="0" w:hanging="0"/>
              <w:jc w:val="left"/>
              <w:rPr/>
            </w:pPr>
            <w:r>
              <w:rPr/>
              <w:t>​</w:t>
            </w:r>
          </w:p>
        </w:tc>
        <w:tc>
          <w:tcPr>
            <w:tcW w:w="3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w:t>
            </w:r>
          </w:p>
        </w:tc>
        <w:tc>
          <w:tcPr>
            <w:tcW w:w="109" w:type="dxa"/>
            <w:tcBorders/>
            <w:vAlign w:val="center"/>
          </w:tcPr>
          <w:p>
            <w:pPr>
              <w:pStyle w:val="TableContents"/>
              <w:bidi w:val="0"/>
              <w:spacing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390,003</w:t>
            </w:r>
          </w:p>
        </w:tc>
        <w:tc>
          <w:tcPr>
            <w:tcW w:w="109"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182,362</w:t>
            </w:r>
          </w:p>
        </w:tc>
        <w:tc>
          <w:tcPr>
            <w:tcW w:w="109" w:type="dxa"/>
            <w:tcBorders/>
            <w:vAlign w:val="center"/>
          </w:tcPr>
          <w:p>
            <w:pPr>
              <w:pStyle w:val="TableContents"/>
              <w:bidi w:val="0"/>
              <w:spacing w:before="0" w:after="0"/>
              <w:ind w:left="0" w:right="0" w:hanging="0"/>
              <w:jc w:val="left"/>
              <w:rPr/>
            </w:pPr>
            <w:r>
              <w:rPr/>
              <w:t>​</w:t>
            </w:r>
          </w:p>
        </w:tc>
        <w:tc>
          <w:tcPr>
            <w:tcW w:w="5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1,321</w:t>
            </w:r>
          </w:p>
        </w:tc>
        <w:tc>
          <w:tcPr>
            <w:tcW w:w="109" w:type="dxa"/>
            <w:tcBorders/>
            <w:vAlign w:val="center"/>
          </w:tcPr>
          <w:p>
            <w:pPr>
              <w:pStyle w:val="TableContents"/>
              <w:bidi w:val="0"/>
              <w:spacing w:before="0" w:after="0"/>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574,062</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CTO REALTY GROWTH,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 STATEMENTS OF STOCKHOLDERS’ EQUITY (Continued)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 the six months ended June 30, 2026:</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31" w:name="Tc_azSSPYOpJkKXFyBCfJRlhg_11_17"/>
      <w:bookmarkStart w:id="532" w:name="Tc_1_LcCfnF0EC0DYte681fUg_11_14"/>
      <w:bookmarkStart w:id="533" w:name="Tc_6WTn8c4f60OVNtVTP-HpKg_11_11"/>
      <w:bookmarkStart w:id="534" w:name="Tc_Izl7ebF780OiSyIu5-D51g_11_8"/>
      <w:bookmarkStart w:id="535" w:name="Tc_yk3FfFp-ZEiodXaTUKyT_g_11_5"/>
      <w:bookmarkStart w:id="536" w:name="Tc_4m65aSbIwEuQdqCP2D3P6w_11_2"/>
      <w:bookmarkStart w:id="537" w:name="Tc_Q9eCAQOC4kuppCvyZOU2wQ_11_0"/>
      <w:bookmarkStart w:id="538" w:name="Tc_IOCahr8wBUiEw6L9InBdtA_10_12"/>
      <w:bookmarkStart w:id="539" w:name="Tc_KIzo3ZAJ_USt8LgwBhQxwA_10_9"/>
      <w:bookmarkStart w:id="540" w:name="Tc_FK_EDiCa0kOY0YodiPEx4w_10_6"/>
      <w:bookmarkStart w:id="541" w:name="Tc_1a8_5NoawUOSb--PGw1-XA_10_3"/>
      <w:bookmarkStart w:id="542" w:name="Tc_qv2zLl1hlE6U8SW0xDcd_A_10_0"/>
      <w:bookmarkStart w:id="543" w:name="Tc_-1zVzeHR706t95wLp_vehw_9_15"/>
      <w:bookmarkStart w:id="544" w:name="Tc_jQ478htuQUyuctxn-AGLvg_9_9"/>
      <w:bookmarkStart w:id="545" w:name="Tc_pfqMGKRLGEOjlu3S5SSf4w_9_6"/>
      <w:bookmarkStart w:id="546" w:name="Tc_yCClFHxpr0eEvbpWIiLtBQ_9_3"/>
      <w:bookmarkStart w:id="547" w:name="Tc_H4AA98H7skCIPLhsDzNNJg_9_0"/>
      <w:bookmarkStart w:id="548" w:name="Tc_3SvSCf6dlUaEWucf9CpnaA_8_15"/>
      <w:bookmarkStart w:id="549" w:name="Tc_0uBZjbeMjkml3mYQxQXq3A_8_9"/>
      <w:bookmarkStart w:id="550" w:name="Tc_or3SvbqFWUeXlwamy_EDTQ_8_6"/>
      <w:bookmarkStart w:id="551" w:name="Tc_xs9Te5bAwEiHvlCy1dkNcg_8_3"/>
      <w:bookmarkStart w:id="552" w:name="Tc_HT-npQw_80a8Y7asodV67g_8_0"/>
      <w:bookmarkStart w:id="553" w:name="Tc_VAyq6Q8eLU-nvm9v2ahqew_7_15"/>
      <w:bookmarkStart w:id="554" w:name="Tc_1Z1UXhvsjkCQ4yhs5kTSzA_7_12"/>
      <w:bookmarkStart w:id="555" w:name="Tc_5FD6gPa1yUSGiZERSXxtpw_7_6"/>
      <w:bookmarkStart w:id="556" w:name="Tc_I3Oqd9ykokGkY1MEfSFMKg_7_3"/>
      <w:bookmarkStart w:id="557" w:name="Tc_5_VZqV6kvEa-sO9C-rmWtg_7_0"/>
      <w:bookmarkStart w:id="558" w:name="Tc_c5alvlHi_kGFCq5_wFmWMg_6_15"/>
      <w:bookmarkStart w:id="559" w:name="Tc_zEQaByijqEyh8YCk2hhVqg_6_12"/>
      <w:bookmarkStart w:id="560" w:name="Tc_WbgKctMuoU-fK6ZTHM2pPw_6_3"/>
      <w:bookmarkStart w:id="561" w:name="Tc_28VnXCiXmUS_ez1HbZqCgA_6_0"/>
      <w:bookmarkStart w:id="562" w:name="Tc__cuEId5p20icFGt-Dy5ZuQ_5_15"/>
      <w:bookmarkStart w:id="563" w:name="Tc_6X3ld8UkokORtJRG-8C_gw_5_12"/>
      <w:bookmarkStart w:id="564" w:name="Tc_0QN90ZsfeEqQGLUnh1NS5A_5_6"/>
      <w:bookmarkStart w:id="565" w:name="Tc_KyS4aNgpt06Ov7G0CwrG_A_5_3"/>
      <w:bookmarkStart w:id="566" w:name="Tc_bic-FALEnEKYFuCIU6xUww_5_0"/>
      <w:bookmarkStart w:id="567" w:name="Tc_vYz1hJrJoEe3PH7F3Hd7Ig_4_15"/>
      <w:bookmarkStart w:id="568" w:name="Tc_Likpfrn1tkC-1y6MybnTkw_4_12"/>
      <w:bookmarkStart w:id="569" w:name="Tc_Z54suuIrHky02SSvoeHdMw_4_3"/>
      <w:bookmarkStart w:id="570" w:name="Tc_BplPx9YfoEKXfTYyVkRaQw_4_0"/>
      <w:bookmarkStart w:id="571" w:name="Tc_g_sh2W_cU0S2j2cdmksvNg_3_15"/>
      <w:bookmarkStart w:id="572" w:name="Tc_G78wxM-peEunIbN1Aol5wg_3_9"/>
      <w:bookmarkStart w:id="573" w:name="Tc_fLinyU3P9UCnnrIybOFW1w_3_6"/>
      <w:bookmarkStart w:id="574" w:name="Tc_ShP1fJ6pgU2eGsgBYPszsQ_3_3"/>
      <w:bookmarkStart w:id="575" w:name="Tc_w7H_ZiKsHUyzlqSbeFtAHQ_3_0"/>
      <w:bookmarkStart w:id="576" w:name="Tc_9RWM3_LpdkabTlnQDqsH7g_2_17"/>
      <w:bookmarkStart w:id="577" w:name="Tc_gz-bnHhoIEKdm9o-aHiRNw_2_14"/>
      <w:bookmarkStart w:id="578" w:name="Tc_q0YLRn8gmUy9zUAPEGlHzw_2_11"/>
      <w:bookmarkStart w:id="579" w:name="Tc_s8gYfCGjTECnwsohbnIgvQ_2_8"/>
      <w:bookmarkStart w:id="580" w:name="Tc_v4TiPVzaD0GOjVkAe_ou1w_2_5"/>
      <w:bookmarkStart w:id="581" w:name="Tc_Oed_Wm-QkUyOPFUFrMEgyw_2_2"/>
      <w:bookmarkStart w:id="582" w:name="Tc_jD4Z3BbPpUSAe-21UTvLEA_2_0"/>
      <w:bookmarkStart w:id="583" w:name="Tc_fdFS3h5cHEW_ceWc8zUcLg_1_17"/>
      <w:bookmarkStart w:id="584" w:name="Tc_Qdvbz5ndKUK2xOHuqELAIg_1_14"/>
      <w:bookmarkStart w:id="585" w:name="Tc_mV0_pmcsHEWXfbWlBa-AyA_1_11"/>
      <w:bookmarkStart w:id="586" w:name="Tc_4ujnZi2hnEu2iMk1us4Xrw_1_8"/>
      <w:bookmarkStart w:id="587" w:name="Tc_hscuRHoGpkKIAbj5Pa4sdg_1_5"/>
      <w:bookmarkStart w:id="588" w:name="Tc_RiRNeigs3Ua-e1T6k4HTSQ_1_2"/>
      <w:bookmarkStart w:id="589" w:name="_feb552f4_1487_46c7_800f_62a3fc63e09c"/>
      <w:bookmarkStart w:id="590" w:name="Tc_azSSPYOpJkKXFyBCfJRlhg_11_17"/>
      <w:bookmarkStart w:id="591" w:name="Tc_1_LcCfnF0EC0DYte681fUg_11_14"/>
      <w:bookmarkStart w:id="592" w:name="Tc_6WTn8c4f60OVNtVTP-HpKg_11_11"/>
      <w:bookmarkStart w:id="593" w:name="Tc_Izl7ebF780OiSyIu5-D51g_11_8"/>
      <w:bookmarkStart w:id="594" w:name="Tc_yk3FfFp-ZEiodXaTUKyT_g_11_5"/>
      <w:bookmarkStart w:id="595" w:name="Tc_4m65aSbIwEuQdqCP2D3P6w_11_2"/>
      <w:bookmarkStart w:id="596" w:name="Tc_Q9eCAQOC4kuppCvyZOU2wQ_11_0"/>
      <w:bookmarkStart w:id="597" w:name="Tc_IOCahr8wBUiEw6L9InBdtA_10_12"/>
      <w:bookmarkStart w:id="598" w:name="Tc_KIzo3ZAJ_USt8LgwBhQxwA_10_9"/>
      <w:bookmarkStart w:id="599" w:name="Tc_FK_EDiCa0kOY0YodiPEx4w_10_6"/>
      <w:bookmarkStart w:id="600" w:name="Tc_1a8_5NoawUOSb--PGw1-XA_10_3"/>
      <w:bookmarkStart w:id="601" w:name="Tc_qv2zLl1hlE6U8SW0xDcd_A_10_0"/>
      <w:bookmarkStart w:id="602" w:name="Tc_-1zVzeHR706t95wLp_vehw_9_15"/>
      <w:bookmarkStart w:id="603" w:name="Tc_jQ478htuQUyuctxn-AGLvg_9_9"/>
      <w:bookmarkStart w:id="604" w:name="Tc_pfqMGKRLGEOjlu3S5SSf4w_9_6"/>
      <w:bookmarkStart w:id="605" w:name="Tc_yCClFHxpr0eEvbpWIiLtBQ_9_3"/>
      <w:bookmarkStart w:id="606" w:name="Tc_H4AA98H7skCIPLhsDzNNJg_9_0"/>
      <w:bookmarkStart w:id="607" w:name="Tc_3SvSCf6dlUaEWucf9CpnaA_8_15"/>
      <w:bookmarkStart w:id="608" w:name="Tc_0uBZjbeMjkml3mYQxQXq3A_8_9"/>
      <w:bookmarkStart w:id="609" w:name="Tc_or3SvbqFWUeXlwamy_EDTQ_8_6"/>
      <w:bookmarkStart w:id="610" w:name="Tc_xs9Te5bAwEiHvlCy1dkNcg_8_3"/>
      <w:bookmarkStart w:id="611" w:name="Tc_HT-npQw_80a8Y7asodV67g_8_0"/>
      <w:bookmarkStart w:id="612" w:name="Tc_VAyq6Q8eLU-nvm9v2ahqew_7_15"/>
      <w:bookmarkStart w:id="613" w:name="Tc_1Z1UXhvsjkCQ4yhs5kTSzA_7_12"/>
      <w:bookmarkStart w:id="614" w:name="Tc_5FD6gPa1yUSGiZERSXxtpw_7_6"/>
      <w:bookmarkStart w:id="615" w:name="Tc_I3Oqd9ykokGkY1MEfSFMKg_7_3"/>
      <w:bookmarkStart w:id="616" w:name="Tc_5_VZqV6kvEa-sO9C-rmWtg_7_0"/>
      <w:bookmarkStart w:id="617" w:name="Tc_c5alvlHi_kGFCq5_wFmWMg_6_15"/>
      <w:bookmarkStart w:id="618" w:name="Tc_zEQaByijqEyh8YCk2hhVqg_6_12"/>
      <w:bookmarkStart w:id="619" w:name="Tc_WbgKctMuoU-fK6ZTHM2pPw_6_3"/>
      <w:bookmarkStart w:id="620" w:name="Tc_28VnXCiXmUS_ez1HbZqCgA_6_0"/>
      <w:bookmarkStart w:id="621" w:name="Tc__cuEId5p20icFGt-Dy5ZuQ_5_15"/>
      <w:bookmarkStart w:id="622" w:name="Tc_6X3ld8UkokORtJRG-8C_gw_5_12"/>
      <w:bookmarkStart w:id="623" w:name="Tc_0QN90ZsfeEqQGLUnh1NS5A_5_6"/>
      <w:bookmarkStart w:id="624" w:name="Tc_KyS4aNgpt06Ov7G0CwrG_A_5_3"/>
      <w:bookmarkStart w:id="625" w:name="Tc_bic-FALEnEKYFuCIU6xUww_5_0"/>
      <w:bookmarkStart w:id="626" w:name="Tc_vYz1hJrJoEe3PH7F3Hd7Ig_4_15"/>
      <w:bookmarkStart w:id="627" w:name="Tc_Likpfrn1tkC-1y6MybnTkw_4_12"/>
      <w:bookmarkStart w:id="628" w:name="Tc_Z54suuIrHky02SSvoeHdMw_4_3"/>
      <w:bookmarkStart w:id="629" w:name="Tc_BplPx9YfoEKXfTYyVkRaQw_4_0"/>
      <w:bookmarkStart w:id="630" w:name="Tc_g_sh2W_cU0S2j2cdmksvNg_3_15"/>
      <w:bookmarkStart w:id="631" w:name="Tc_G78wxM-peEunIbN1Aol5wg_3_9"/>
      <w:bookmarkStart w:id="632" w:name="Tc_fLinyU3P9UCnnrIybOFW1w_3_6"/>
      <w:bookmarkStart w:id="633" w:name="Tc_ShP1fJ6pgU2eGsgBYPszsQ_3_3"/>
      <w:bookmarkStart w:id="634" w:name="Tc_w7H_ZiKsHUyzlqSbeFtAHQ_3_0"/>
      <w:bookmarkStart w:id="635" w:name="Tc_9RWM3_LpdkabTlnQDqsH7g_2_17"/>
      <w:bookmarkStart w:id="636" w:name="Tc_gz-bnHhoIEKdm9o-aHiRNw_2_14"/>
      <w:bookmarkStart w:id="637" w:name="Tc_q0YLRn8gmUy9zUAPEGlHzw_2_11"/>
      <w:bookmarkStart w:id="638" w:name="Tc_s8gYfCGjTECnwsohbnIgvQ_2_8"/>
      <w:bookmarkStart w:id="639" w:name="Tc_v4TiPVzaD0GOjVkAe_ou1w_2_5"/>
      <w:bookmarkStart w:id="640" w:name="Tc_Oed_Wm-QkUyOPFUFrMEgyw_2_2"/>
      <w:bookmarkStart w:id="641" w:name="Tc_jD4Z3BbPpUSAe-21UTvLEA_2_0"/>
      <w:bookmarkStart w:id="642" w:name="Tc_fdFS3h5cHEW_ceWc8zUcLg_1_17"/>
      <w:bookmarkStart w:id="643" w:name="Tc_Qdvbz5ndKUK2xOHuqELAIg_1_14"/>
      <w:bookmarkStart w:id="644" w:name="Tc_mV0_pmcsHEWXfbWlBa-AyA_1_11"/>
      <w:bookmarkStart w:id="645" w:name="Tc_4ujnZi2hnEu2iMk1us4Xrw_1_8"/>
      <w:bookmarkStart w:id="646" w:name="Tc_hscuRHoGpkKIAbj5Pa4sdg_1_5"/>
      <w:bookmarkStart w:id="647" w:name="Tc_RiRNeigs3Ua-e1T6k4HTSQ_1_2"/>
      <w:bookmarkStart w:id="648" w:name="_feb552f4_1487_46c7_800f_62a3fc63e09c"/>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tbl>
      <w:tblPr>
        <w:tblW w:w="10205" w:type="dxa"/>
        <w:jc w:val="left"/>
        <w:tblInd w:w="0" w:type="dxa"/>
        <w:tblLayout w:type="fixed"/>
        <w:tblCellMar>
          <w:top w:w="0" w:type="dxa"/>
          <w:left w:w="0" w:type="dxa"/>
          <w:bottom w:w="0" w:type="dxa"/>
          <w:right w:w="0" w:type="dxa"/>
        </w:tblCellMar>
      </w:tblPr>
      <w:tblGrid>
        <w:gridCol w:w="1901"/>
        <w:gridCol w:w="109"/>
        <w:gridCol w:w="344"/>
        <w:gridCol w:w="610"/>
        <w:gridCol w:w="109"/>
        <w:gridCol w:w="327"/>
        <w:gridCol w:w="628"/>
        <w:gridCol w:w="109"/>
        <w:gridCol w:w="281"/>
        <w:gridCol w:w="998"/>
        <w:gridCol w:w="109"/>
        <w:gridCol w:w="232"/>
        <w:gridCol w:w="832"/>
        <w:gridCol w:w="109"/>
        <w:gridCol w:w="564"/>
        <w:gridCol w:w="1472"/>
        <w:gridCol w:w="109"/>
        <w:gridCol w:w="267"/>
        <w:gridCol w:w="1095"/>
      </w:tblGrid>
      <w:tr>
        <w:trPr/>
        <w:tc>
          <w:tcPr>
            <w:tcW w:w="1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207135" cy="175260"/>
                      <wp:effectExtent l="0" t="0" r="0" b="0"/>
                      <wp:wrapNone/>
                      <wp:docPr id="72" name="Frame72"/>
                      <a:graphic xmlns:a="http://schemas.openxmlformats.org/drawingml/2006/main">
                        <a:graphicData uri="http://schemas.microsoft.com/office/word/2010/wordprocessingShape">
                          <wps:wsp>
                            <wps:cNvSpPr txBox="1"/>
                            <wps:spPr>
                              <a:xfrm>
                                <a:off x="0" y="0"/>
                                <a:ext cx="1207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9215" cy="175260"/>
                      <wp:effectExtent l="0" t="0" r="0" b="0"/>
                      <wp:wrapNone/>
                      <wp:docPr id="73" name="Frame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8440" cy="175260"/>
                      <wp:effectExtent l="0" t="0" r="0" b="0"/>
                      <wp:wrapNone/>
                      <wp:docPr id="74" name="Frame74"/>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387350" cy="175260"/>
                      <wp:effectExtent l="0" t="0" r="0" b="0"/>
                      <wp:wrapNone/>
                      <wp:docPr id="75" name="Frame75"/>
                      <a:graphic xmlns:a="http://schemas.openxmlformats.org/drawingml/2006/main">
                        <a:graphicData uri="http://schemas.microsoft.com/office/word/2010/wordprocessingShape">
                          <wps:wsp>
                            <wps:cNvSpPr txBox="1"/>
                            <wps:spPr>
                              <a:xfrm>
                                <a:off x="0" y="0"/>
                                <a:ext cx="387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9215" cy="175260"/>
                      <wp:effectExtent l="0" t="0" r="0" b="0"/>
                      <wp:wrapNone/>
                      <wp:docPr id="76" name="Frame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645" cy="175260"/>
                      <wp:effectExtent l="0" t="0" r="0" b="0"/>
                      <wp:wrapNone/>
                      <wp:docPr id="77" name="Frame77"/>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98780" cy="175260"/>
                      <wp:effectExtent l="0" t="0" r="0" b="0"/>
                      <wp:wrapNone/>
                      <wp:docPr id="78" name="Frame78"/>
                      <a:graphic xmlns:a="http://schemas.openxmlformats.org/drawingml/2006/main">
                        <a:graphicData uri="http://schemas.microsoft.com/office/word/2010/wordprocessingShape">
                          <wps:wsp>
                            <wps:cNvSpPr txBox="1"/>
                            <wps:spPr>
                              <a:xfrm>
                                <a:off x="0" y="0"/>
                                <a:ext cx="398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9215" cy="175260"/>
                      <wp:effectExtent l="0" t="0" r="0" b="0"/>
                      <wp:wrapNone/>
                      <wp:docPr id="79" name="Frame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78435" cy="175260"/>
                      <wp:effectExtent l="0" t="0" r="0" b="0"/>
                      <wp:wrapNone/>
                      <wp:docPr id="80" name="Frame80"/>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33730" cy="175260"/>
                      <wp:effectExtent l="0" t="0" r="0" b="0"/>
                      <wp:wrapNone/>
                      <wp:docPr id="81" name="Frame81"/>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9215" cy="175260"/>
                      <wp:effectExtent l="0" t="0" r="0" b="0"/>
                      <wp:wrapNone/>
                      <wp:docPr id="82" name="Frame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47320" cy="175260"/>
                      <wp:effectExtent l="0" t="0" r="0" b="0"/>
                      <wp:wrapNone/>
                      <wp:docPr id="83" name="Frame83"/>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28320" cy="175260"/>
                      <wp:effectExtent l="0" t="0" r="0" b="0"/>
                      <wp:wrapNone/>
                      <wp:docPr id="84" name="Frame84"/>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85" name="Frame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358140" cy="175260"/>
                      <wp:effectExtent l="0" t="0" r="0" b="0"/>
                      <wp:wrapNone/>
                      <wp:docPr id="86" name="Frame86"/>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934720" cy="175260"/>
                      <wp:effectExtent l="0" t="0" r="0" b="0"/>
                      <wp:wrapNone/>
                      <wp:docPr id="87" name="Frame87"/>
                      <a:graphic xmlns:a="http://schemas.openxmlformats.org/drawingml/2006/main">
                        <a:graphicData uri="http://schemas.microsoft.com/office/word/2010/wordprocessingShape">
                          <wps:wsp>
                            <wps:cNvSpPr txBox="1"/>
                            <wps:spPr>
                              <a:xfrm>
                                <a:off x="0" y="0"/>
                                <a:ext cx="934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8"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69545" cy="175260"/>
                      <wp:effectExtent l="0" t="0" r="0" b="0"/>
                      <wp:wrapNone/>
                      <wp:docPr id="89" name="Frame89"/>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5325" cy="175260"/>
                      <wp:effectExtent l="0" t="0" r="0" b="0"/>
                      <wp:wrapNone/>
                      <wp:docPr id="90" name="Frame90"/>
                      <a:graphic xmlns:a="http://schemas.openxmlformats.org/drawingml/2006/main">
                        <a:graphicData uri="http://schemas.microsoft.com/office/word/2010/wordprocessingShape">
                          <wps:wsp>
                            <wps:cNvSpPr txBox="1"/>
                            <wps:spPr>
                              <a:xfrm>
                                <a:off x="0" y="0"/>
                                <a:ext cx="695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Preferred Stock</w:t>
            </w:r>
          </w:p>
        </w:tc>
        <w:tc>
          <w:tcPr>
            <w:tcW w:w="109" w:type="dxa"/>
            <w:tcBorders/>
            <w:vAlign w:val="center"/>
          </w:tcPr>
          <w:p>
            <w:pPr>
              <w:pStyle w:val="TableContents"/>
              <w:bidi w:val="0"/>
              <w:spacing w:before="0" w:after="0"/>
              <w:ind w:left="0" w:right="0" w:hanging="0"/>
              <w:jc w:val="left"/>
              <w:rPr/>
            </w:pPr>
            <w:r>
              <w:rPr/>
              <w:t>​</w:t>
            </w:r>
          </w:p>
        </w:tc>
        <w:tc>
          <w:tcPr>
            <w:tcW w:w="9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Common Stock</w:t>
            </w:r>
          </w:p>
        </w:tc>
        <w:tc>
          <w:tcPr>
            <w:tcW w:w="109" w:type="dxa"/>
            <w:tcBorders/>
            <w:vAlign w:val="center"/>
          </w:tcPr>
          <w:p>
            <w:pPr>
              <w:pStyle w:val="TableContents"/>
              <w:bidi w:val="0"/>
              <w:spacing w:before="0" w:after="0"/>
              <w:ind w:left="0" w:right="0" w:hanging="0"/>
              <w:jc w:val="center"/>
              <w:rPr/>
            </w:pPr>
            <w:r>
              <w:rPr/>
              <w:t>​</w:t>
            </w:r>
          </w:p>
        </w:tc>
        <w:tc>
          <w:tcPr>
            <w:tcW w:w="12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Additional Paid-In Capital </w:t>
            </w:r>
          </w:p>
        </w:tc>
        <w:tc>
          <w:tcPr>
            <w:tcW w:w="109" w:type="dxa"/>
            <w:tcBorders/>
            <w:vAlign w:val="center"/>
          </w:tcPr>
          <w:p>
            <w:pPr>
              <w:pStyle w:val="TableContents"/>
              <w:bidi w:val="0"/>
              <w:spacing w:before="0" w:after="0"/>
              <w:ind w:left="0" w:right="0" w:hanging="0"/>
              <w:jc w:val="center"/>
              <w:rPr/>
            </w:pPr>
            <w:r>
              <w:rPr/>
              <w:t>​</w:t>
            </w:r>
          </w:p>
        </w:tc>
        <w:tc>
          <w:tcPr>
            <w:tcW w:w="10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Retained Earnings</w:t>
            </w:r>
          </w:p>
        </w:tc>
        <w:tc>
          <w:tcPr>
            <w:tcW w:w="109" w:type="dxa"/>
            <w:tcBorders/>
            <w:vAlign w:val="center"/>
          </w:tcPr>
          <w:p>
            <w:pPr>
              <w:pStyle w:val="TableContents"/>
              <w:bidi w:val="0"/>
              <w:spacing w:before="0" w:after="0"/>
              <w:ind w:left="0" w:right="0" w:hanging="0"/>
              <w:jc w:val="center"/>
              <w:rPr/>
            </w:pPr>
            <w:r>
              <w:rPr/>
              <w:t>​</w:t>
            </w:r>
          </w:p>
        </w:tc>
        <w:tc>
          <w:tcPr>
            <w:tcW w:w="2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Accumulated Other Comprehensive Income (Loss)</w:t>
            </w:r>
          </w:p>
        </w:tc>
        <w:tc>
          <w:tcPr>
            <w:tcW w:w="109" w:type="dxa"/>
            <w:tcBorders/>
            <w:vAlign w:val="center"/>
          </w:tcPr>
          <w:p>
            <w:pPr>
              <w:pStyle w:val="TableContents"/>
              <w:bidi w:val="0"/>
              <w:spacing w:before="0" w:after="0"/>
              <w:ind w:left="0" w:right="0" w:hanging="0"/>
              <w:jc w:val="center"/>
              <w:rPr/>
            </w:pPr>
            <w:r>
              <w:rPr/>
              <w:t>​</w:t>
            </w:r>
          </w:p>
        </w:tc>
        <w:tc>
          <w:tcPr>
            <w:tcW w:w="13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Stockholders' Equity</w:t>
            </w:r>
          </w:p>
        </w:tc>
      </w:tr>
      <w:tr>
        <w:trPr/>
        <w:tc>
          <w:tcPr>
            <w:tcW w:w="1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January 1, 2026</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324</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382,494</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184,886</w:t>
            </w:r>
          </w:p>
        </w:tc>
        <w:tc>
          <w:tcPr>
            <w:tcW w:w="109" w:type="dxa"/>
            <w:tcBorders/>
            <w:shd w:fill="CCEEFF" w:val="clear"/>
            <w:vAlign w:val="center"/>
          </w:tcPr>
          <w:p>
            <w:pPr>
              <w:pStyle w:val="TableContents"/>
              <w:bidi w:val="0"/>
              <w:spacing w:before="0" w:after="0"/>
              <w:ind w:left="0" w:right="0" w:hanging="0"/>
              <w:jc w:val="left"/>
              <w:rPr/>
            </w:pPr>
            <w:r>
              <w:rPr/>
              <w:t>​</w:t>
            </w:r>
          </w:p>
        </w:tc>
        <w:tc>
          <w:tcPr>
            <w:tcW w:w="56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4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(405)</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567,346</w:t>
            </w:r>
          </w:p>
        </w:tc>
      </w:tr>
      <w:tr>
        <w:trPr/>
        <w:tc>
          <w:tcPr>
            <w:tcW w:w="1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Attributable to the Company</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21,317</w:t>
            </w:r>
          </w:p>
        </w:tc>
        <w:tc>
          <w:tcPr>
            <w:tcW w:w="109"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w:t>
            </w:r>
          </w:p>
        </w:tc>
        <w:tc>
          <w:tcPr>
            <w:tcW w:w="14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21,317</w:t>
            </w:r>
          </w:p>
        </w:tc>
      </w:tr>
      <w:tr>
        <w:trPr/>
        <w:tc>
          <w:tcPr>
            <w:tcW w:w="1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Vested Restricted Stock and Performance Shares</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(1,251)</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64" w:type="dxa"/>
            <w:tcBorders/>
            <w:shd w:fill="CCEEFF" w:val="clear"/>
            <w:vAlign w:val="center"/>
          </w:tcPr>
          <w:p>
            <w:pPr>
              <w:pStyle w:val="TableContents"/>
              <w:bidi w:val="0"/>
              <w:spacing w:before="0" w:after="0"/>
              <w:ind w:left="0" w:right="0" w:hanging="0"/>
              <w:jc w:val="left"/>
              <w:rPr/>
            </w:pPr>
            <w:r>
              <w:rPr/>
              <w:t>​</w:t>
            </w:r>
          </w:p>
        </w:tc>
        <w:tc>
          <w:tcPr>
            <w:tcW w:w="14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10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(1,249)</w:t>
            </w:r>
          </w:p>
        </w:tc>
      </w:tr>
      <w:tr>
        <w:trPr/>
        <w:tc>
          <w:tcPr>
            <w:tcW w:w="1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 Issuance to Directors</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w:t>
            </w:r>
          </w:p>
        </w:tc>
        <w:tc>
          <w:tcPr>
            <w:tcW w:w="14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w:t>
            </w:r>
          </w:p>
        </w:tc>
      </w:tr>
      <w:tr>
        <w:trPr/>
        <w:tc>
          <w:tcPr>
            <w:tcW w:w="1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 Issuance, Net of Equity Issuance Costs</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97,409</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64" w:type="dxa"/>
            <w:tcBorders/>
            <w:shd w:fill="CCEEFF" w:val="clear"/>
            <w:vAlign w:val="center"/>
          </w:tcPr>
          <w:p>
            <w:pPr>
              <w:pStyle w:val="TableContents"/>
              <w:bidi w:val="0"/>
              <w:spacing w:before="0" w:after="0"/>
              <w:ind w:left="0" w:right="0" w:hanging="0"/>
              <w:jc w:val="left"/>
              <w:rPr/>
            </w:pPr>
            <w:r>
              <w:rPr/>
              <w:t>​</w:t>
            </w:r>
          </w:p>
        </w:tc>
        <w:tc>
          <w:tcPr>
            <w:tcW w:w="14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10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97,458</w:t>
            </w:r>
          </w:p>
        </w:tc>
      </w:tr>
      <w:tr>
        <w:trPr/>
        <w:tc>
          <w:tcPr>
            <w:tcW w:w="1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2,032</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w:t>
            </w:r>
          </w:p>
        </w:tc>
        <w:tc>
          <w:tcPr>
            <w:tcW w:w="14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2,032</w:t>
            </w:r>
          </w:p>
        </w:tc>
      </w:tr>
      <w:tr>
        <w:trPr/>
        <w:tc>
          <w:tcPr>
            <w:tcW w:w="1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Stock Dividends Declared for the Period</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9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(3,756)</w:t>
            </w:r>
          </w:p>
        </w:tc>
        <w:tc>
          <w:tcPr>
            <w:tcW w:w="109" w:type="dxa"/>
            <w:tcBorders/>
            <w:shd w:fill="CCEEFF" w:val="clear"/>
            <w:vAlign w:val="center"/>
          </w:tcPr>
          <w:p>
            <w:pPr>
              <w:pStyle w:val="TableContents"/>
              <w:bidi w:val="0"/>
              <w:spacing w:before="0" w:after="0"/>
              <w:ind w:left="0" w:right="0" w:hanging="0"/>
              <w:jc w:val="left"/>
              <w:rPr/>
            </w:pPr>
            <w:r>
              <w:rPr/>
              <w:t>​</w:t>
            </w:r>
          </w:p>
        </w:tc>
        <w:tc>
          <w:tcPr>
            <w:tcW w:w="564" w:type="dxa"/>
            <w:tcBorders/>
            <w:shd w:fill="CCEEFF" w:val="clear"/>
            <w:vAlign w:val="center"/>
          </w:tcPr>
          <w:p>
            <w:pPr>
              <w:pStyle w:val="TableContents"/>
              <w:bidi w:val="0"/>
              <w:spacing w:before="0" w:after="0"/>
              <w:ind w:left="0" w:right="0" w:hanging="0"/>
              <w:jc w:val="left"/>
              <w:rPr/>
            </w:pPr>
            <w:r>
              <w:rPr/>
              <w:t>​</w:t>
            </w:r>
          </w:p>
        </w:tc>
        <w:tc>
          <w:tcPr>
            <w:tcW w:w="14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10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(3,756)</w:t>
            </w:r>
          </w:p>
        </w:tc>
      </w:tr>
      <w:tr>
        <w:trPr/>
        <w:tc>
          <w:tcPr>
            <w:tcW w:w="1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Dividends Declared for the Period</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(26,891)</w:t>
            </w:r>
          </w:p>
        </w:tc>
        <w:tc>
          <w:tcPr>
            <w:tcW w:w="109"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w:t>
            </w:r>
          </w:p>
        </w:tc>
        <w:tc>
          <w:tcPr>
            <w:tcW w:w="14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(26,891)</w:t>
            </w:r>
          </w:p>
        </w:tc>
      </w:tr>
      <w:tr>
        <w:trPr/>
        <w:tc>
          <w:tcPr>
            <w:tcW w:w="1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6,476</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6,476</w:t>
            </w:r>
          </w:p>
        </w:tc>
      </w:tr>
      <w:tr>
        <w:trPr/>
        <w:tc>
          <w:tcPr>
            <w:tcW w:w="1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June 30, 2026</w:t>
            </w:r>
          </w:p>
        </w:tc>
        <w:tc>
          <w:tcPr>
            <w:tcW w:w="109" w:type="dxa"/>
            <w:tcBorders/>
            <w:vAlign w:val="center"/>
          </w:tcPr>
          <w:p>
            <w:pPr>
              <w:pStyle w:val="TableContents"/>
              <w:bidi w:val="0"/>
              <w:spacing w:before="0" w:after="0"/>
              <w:ind w:left="0" w:right="0" w:hanging="0"/>
              <w:jc w:val="left"/>
              <w:rPr/>
            </w:pPr>
            <w:r>
              <w:rPr/>
              <w:t>​</w:t>
            </w:r>
          </w:p>
        </w:tc>
        <w:tc>
          <w:tcPr>
            <w:tcW w:w="3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w:t>
            </w:r>
          </w:p>
        </w:tc>
        <w:tc>
          <w:tcPr>
            <w:tcW w:w="109" w:type="dxa"/>
            <w:tcBorders/>
            <w:vAlign w:val="center"/>
          </w:tcPr>
          <w:p>
            <w:pPr>
              <w:pStyle w:val="TableContents"/>
              <w:bidi w:val="0"/>
              <w:spacing w:before="0" w:after="0"/>
              <w:ind w:left="0" w:right="0" w:hanging="0"/>
              <w:jc w:val="left"/>
              <w:rPr/>
            </w:pPr>
            <w:r>
              <w:rPr/>
              <w:t>​</w:t>
            </w:r>
          </w:p>
        </w:tc>
        <w:tc>
          <w:tcPr>
            <w:tcW w:w="3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375</w:t>
            </w:r>
          </w:p>
        </w:tc>
        <w:tc>
          <w:tcPr>
            <w:tcW w:w="109" w:type="dxa"/>
            <w:tcBorders/>
            <w:vAlign w:val="center"/>
          </w:tcPr>
          <w:p>
            <w:pPr>
              <w:pStyle w:val="TableContents"/>
              <w:bidi w:val="0"/>
              <w:spacing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481,134</w:t>
            </w:r>
          </w:p>
        </w:tc>
        <w:tc>
          <w:tcPr>
            <w:tcW w:w="109"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175,556</w:t>
            </w:r>
          </w:p>
        </w:tc>
        <w:tc>
          <w:tcPr>
            <w:tcW w:w="109" w:type="dxa"/>
            <w:tcBorders/>
            <w:vAlign w:val="center"/>
          </w:tcPr>
          <w:p>
            <w:pPr>
              <w:pStyle w:val="TableContents"/>
              <w:bidi w:val="0"/>
              <w:spacing w:before="0" w:after="0"/>
              <w:ind w:left="0" w:right="0" w:hanging="0"/>
              <w:jc w:val="left"/>
              <w:rPr/>
            </w:pPr>
            <w:r>
              <w:rPr/>
              <w:t>​</w:t>
            </w:r>
          </w:p>
        </w:tc>
        <w:tc>
          <w:tcPr>
            <w:tcW w:w="56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4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6,071</w:t>
            </w:r>
          </w:p>
        </w:tc>
        <w:tc>
          <w:tcPr>
            <w:tcW w:w="109" w:type="dxa"/>
            <w:tcBorders/>
            <w:vAlign w:val="center"/>
          </w:tcPr>
          <w:p>
            <w:pPr>
              <w:pStyle w:val="TableContents"/>
              <w:bidi w:val="0"/>
              <w:spacing w:before="0" w:after="0"/>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663,183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 the six months ended June 30, 2025:</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49" w:name="Tc_nQJGa_ZKzkmE6l8y_eVokQ_13_17"/>
      <w:bookmarkStart w:id="650" w:name="Tc_6dxOV5BGtkGDMI6ANuYFfw_13_14"/>
      <w:bookmarkStart w:id="651" w:name="Tc_hu3sjMilEU-GwgW0vmwt_w_13_11"/>
      <w:bookmarkStart w:id="652" w:name="Tc_kKGa9M86YkqYx_0VeVYzQw_13_8"/>
      <w:bookmarkStart w:id="653" w:name="Tc_gkeN5fPhC0WRoNGVAxUtkw_13_5"/>
      <w:bookmarkStart w:id="654" w:name="Tc_TTfo-ZYc20Ke39VSvJK4NQ_13_2"/>
      <w:bookmarkStart w:id="655" w:name="Tc_PKAmP6o-oUCukFTQXGSlAQ_13_0"/>
      <w:bookmarkStart w:id="656" w:name="Tc_nFxy5YcHp0ClXu7Er36BNA_12_12"/>
      <w:bookmarkStart w:id="657" w:name="Tc_vPJzPOhPikyXTVF_oFIHug_12_9"/>
      <w:bookmarkStart w:id="658" w:name="Tc_s3vUaHebLkCLS4MpiOkvNg_12_6"/>
      <w:bookmarkStart w:id="659" w:name="Tc_5Y9WkZ1a6kyYB9--MQgK1w_12_3"/>
      <w:bookmarkStart w:id="660" w:name="Tc_URzgonqF_kuC27NTy-AKhA_12_0"/>
      <w:bookmarkStart w:id="661" w:name="Tc_Sfc9H3JeD0OlwYJl_rD5AQ_11_15"/>
      <w:bookmarkStart w:id="662" w:name="Tc_Ydr1TTUVREGFEKEyqlcTJw_11_9"/>
      <w:bookmarkStart w:id="663" w:name="Tc_ckOfP6NLJkmZCU5tLNHM9g_11_6"/>
      <w:bookmarkStart w:id="664" w:name="Tc_YLZgH5qTQk-XE01VoFgUVA_11_3"/>
      <w:bookmarkStart w:id="665" w:name="Tc_Z62sFkapy0CHKU0RVuv3MQ_11_0"/>
      <w:bookmarkStart w:id="666" w:name="Tc_dauzlcfltUmyBhtVKqvBrw_10_15"/>
      <w:bookmarkStart w:id="667" w:name="Tc_dPxTgoBB5Em5CbMz5ePmJg_10_9"/>
      <w:bookmarkStart w:id="668" w:name="Tc_dAUKvTVmjUO86VtxFzVhcg_10_6"/>
      <w:bookmarkStart w:id="669" w:name="Tc_rU2_B8a5uUmN6Hh7lISTUA_10_3"/>
      <w:bookmarkStart w:id="670" w:name="Tc_8S0k-a9ulEK-adi57du3PA_10_0"/>
      <w:bookmarkStart w:id="671" w:name="Tc_Dz70d5_NBEGEkbCAp0iKKg_9_15"/>
      <w:bookmarkStart w:id="672" w:name="Tc_emBLzJmFU0aJ10kjH9P05g_9_12"/>
      <w:bookmarkStart w:id="673" w:name="Tc_ty8KwJZOU0C9a8DRLA1Vow_9_6"/>
      <w:bookmarkStart w:id="674" w:name="Tc_GvGnRbkvEkCLnS-ZX-qAYA_9_3"/>
      <w:bookmarkStart w:id="675" w:name="Tc_9Q9rKUSrGkKGq9M6xDAweA_9_0"/>
      <w:bookmarkStart w:id="676" w:name="Tc_eFQT1Uc-kEKpsFAVh219zA_8_15"/>
      <w:bookmarkStart w:id="677" w:name="Tc_etWAW7P1EEa7zA9u61COVA_8_3"/>
      <w:bookmarkStart w:id="678" w:name="Tc_EBcgRobdf0agVGbdwqVyuw_8_0"/>
      <w:bookmarkStart w:id="679" w:name="Tc_EXnw0psBY0Kh0o2xBvrRqA_7_15"/>
      <w:bookmarkStart w:id="680" w:name="Tc_V_dMHHN9e0mRbeu65Ix5Ug_7_6"/>
      <w:bookmarkStart w:id="681" w:name="Tc_bJaZLnkc9E2lGcI254o3eg_7_3"/>
      <w:bookmarkStart w:id="682" w:name="Tc_jOs8LMQ1mUO5SjSUGmjLUQ_7_0"/>
      <w:bookmarkStart w:id="683" w:name="Tc_KGJiKuPpQ06lFUmL9tuGUg_6_15"/>
      <w:bookmarkStart w:id="684" w:name="Tc_uFUcleqfQ0yUz_Xe0yhEXw_6_12"/>
      <w:bookmarkStart w:id="685" w:name="Tc_oiiYfQnyak2SG9jpOpQSxg_6_6"/>
      <w:bookmarkStart w:id="686" w:name="Tc_QZ7i61JlLkWlBW2gggQUfw_6_3"/>
      <w:bookmarkStart w:id="687" w:name="Tc_XvsEErjRqUW6OnOloPg0rw_6_0"/>
      <w:bookmarkStart w:id="688" w:name="Tc_7f0s_20-X0WBrvgUI_dn1Q_5_15"/>
      <w:bookmarkStart w:id="689" w:name="Tc_ZfXmyzPEvkKPfagB8-pyBw_5_12"/>
      <w:bookmarkStart w:id="690" w:name="Tc_oHsEEoREiUuJxC7E0ItKKg_5_3"/>
      <w:bookmarkStart w:id="691" w:name="Tc_ziM5IXGufkytqJvVDg9eEw_5_0"/>
      <w:bookmarkStart w:id="692" w:name="Tc_F6Plv9o4T0-uQ5F9P74ukQ_4_15"/>
      <w:bookmarkStart w:id="693" w:name="Tc_Is-TWhpUQUSF8HxeUT5fGA_4_12"/>
      <w:bookmarkStart w:id="694" w:name="Tc_nnihh9RfTU676WaC-CvQTQ_4_6"/>
      <w:bookmarkStart w:id="695" w:name="Tc_hBKDf8Gx8UyYEz2ugc6_pg_4_3"/>
      <w:bookmarkStart w:id="696" w:name="Tc_V_H1Vvx0YkiySwVGdKT3-Q_4_0"/>
      <w:bookmarkStart w:id="697" w:name="Tc_Hpj_1-BlfUuk0nyvk387Vg_3_15"/>
      <w:bookmarkStart w:id="698" w:name="Tc_dEORKsZi9Umna0_1iC3WNQ_3_9"/>
      <w:bookmarkStart w:id="699" w:name="Tc_LJ0klSWTyEav0nH7PKxK-Q_3_6"/>
      <w:bookmarkStart w:id="700" w:name="Tc_e2sPLnmDWkKzUqnuGH2urQ_3_3"/>
      <w:bookmarkStart w:id="701" w:name="Tc_caTfPxgdf0aXq4T1eDHHEA_3_0"/>
      <w:bookmarkStart w:id="702" w:name="Tc_xGVDKss1YUaImPVjx43DWA_2_17"/>
      <w:bookmarkStart w:id="703" w:name="Tc_CiCmg6RCik-QccZPA2E5Bw_2_14"/>
      <w:bookmarkStart w:id="704" w:name="Tc_pESpXhGGaECanjzOWKrLkw_2_11"/>
      <w:bookmarkStart w:id="705" w:name="Tc_Tj3uVIclY0GiPQX-d0BRLQ_2_8"/>
      <w:bookmarkStart w:id="706" w:name="Tc_seN_oJRYC0at6hbb2FwzOw_2_5"/>
      <w:bookmarkStart w:id="707" w:name="Tc_YMx1D6t-WkWLDQud6QJSeQ_2_2"/>
      <w:bookmarkStart w:id="708" w:name="Tc_h4eXWPEwEEiIng3t0fdhug_2_0"/>
      <w:bookmarkStart w:id="709" w:name="Tc_Ym0Hzq6kZ06JdtsANrOXmw_1_17"/>
      <w:bookmarkStart w:id="710" w:name="Tc_DLpQKzLpRUen30qK4qLbGw_1_14"/>
      <w:bookmarkStart w:id="711" w:name="Tc_Q7GloYkTBE2s3M1UOU4P-g_1_11"/>
      <w:bookmarkStart w:id="712" w:name="Tc_UKOZRbH8vU26iDn-QWyM5w_1_8"/>
      <w:bookmarkStart w:id="713" w:name="Tc_Rqc1tBh45kqTG4nENt-WzA_1_5"/>
      <w:bookmarkStart w:id="714" w:name="Tc_cCFsokhT2UysLR4AmBnOKQ_1_2"/>
      <w:bookmarkStart w:id="715" w:name="_be92aa18_079a_4c6f_b3c3_3bc0567f1f65"/>
      <w:bookmarkStart w:id="716" w:name="Tc_nQJGa_ZKzkmE6l8y_eVokQ_13_17"/>
      <w:bookmarkStart w:id="717" w:name="Tc_6dxOV5BGtkGDMI6ANuYFfw_13_14"/>
      <w:bookmarkStart w:id="718" w:name="Tc_hu3sjMilEU-GwgW0vmwt_w_13_11"/>
      <w:bookmarkStart w:id="719" w:name="Tc_kKGa9M86YkqYx_0VeVYzQw_13_8"/>
      <w:bookmarkStart w:id="720" w:name="Tc_gkeN5fPhC0WRoNGVAxUtkw_13_5"/>
      <w:bookmarkStart w:id="721" w:name="Tc_TTfo-ZYc20Ke39VSvJK4NQ_13_2"/>
      <w:bookmarkStart w:id="722" w:name="Tc_PKAmP6o-oUCukFTQXGSlAQ_13_0"/>
      <w:bookmarkStart w:id="723" w:name="Tc_nFxy5YcHp0ClXu7Er36BNA_12_12"/>
      <w:bookmarkStart w:id="724" w:name="Tc_vPJzPOhPikyXTVF_oFIHug_12_9"/>
      <w:bookmarkStart w:id="725" w:name="Tc_s3vUaHebLkCLS4MpiOkvNg_12_6"/>
      <w:bookmarkStart w:id="726" w:name="Tc_5Y9WkZ1a6kyYB9--MQgK1w_12_3"/>
      <w:bookmarkStart w:id="727" w:name="Tc_URzgonqF_kuC27NTy-AKhA_12_0"/>
      <w:bookmarkStart w:id="728" w:name="Tc_Sfc9H3JeD0OlwYJl_rD5AQ_11_15"/>
      <w:bookmarkStart w:id="729" w:name="Tc_Ydr1TTUVREGFEKEyqlcTJw_11_9"/>
      <w:bookmarkStart w:id="730" w:name="Tc_ckOfP6NLJkmZCU5tLNHM9g_11_6"/>
      <w:bookmarkStart w:id="731" w:name="Tc_YLZgH5qTQk-XE01VoFgUVA_11_3"/>
      <w:bookmarkStart w:id="732" w:name="Tc_Z62sFkapy0CHKU0RVuv3MQ_11_0"/>
      <w:bookmarkStart w:id="733" w:name="Tc_dauzlcfltUmyBhtVKqvBrw_10_15"/>
      <w:bookmarkStart w:id="734" w:name="Tc_dPxTgoBB5Em5CbMz5ePmJg_10_9"/>
      <w:bookmarkStart w:id="735" w:name="Tc_dAUKvTVmjUO86VtxFzVhcg_10_6"/>
      <w:bookmarkStart w:id="736" w:name="Tc_rU2_B8a5uUmN6Hh7lISTUA_10_3"/>
      <w:bookmarkStart w:id="737" w:name="Tc_8S0k-a9ulEK-adi57du3PA_10_0"/>
      <w:bookmarkStart w:id="738" w:name="Tc_Dz70d5_NBEGEkbCAp0iKKg_9_15"/>
      <w:bookmarkStart w:id="739" w:name="Tc_emBLzJmFU0aJ10kjH9P05g_9_12"/>
      <w:bookmarkStart w:id="740" w:name="Tc_ty8KwJZOU0C9a8DRLA1Vow_9_6"/>
      <w:bookmarkStart w:id="741" w:name="Tc_GvGnRbkvEkCLnS-ZX-qAYA_9_3"/>
      <w:bookmarkStart w:id="742" w:name="Tc_9Q9rKUSrGkKGq9M6xDAweA_9_0"/>
      <w:bookmarkStart w:id="743" w:name="Tc_eFQT1Uc-kEKpsFAVh219zA_8_15"/>
      <w:bookmarkStart w:id="744" w:name="Tc_etWAW7P1EEa7zA9u61COVA_8_3"/>
      <w:bookmarkStart w:id="745" w:name="Tc_EBcgRobdf0agVGbdwqVyuw_8_0"/>
      <w:bookmarkStart w:id="746" w:name="Tc_EXnw0psBY0Kh0o2xBvrRqA_7_15"/>
      <w:bookmarkStart w:id="747" w:name="Tc_V_dMHHN9e0mRbeu65Ix5Ug_7_6"/>
      <w:bookmarkStart w:id="748" w:name="Tc_bJaZLnkc9E2lGcI254o3eg_7_3"/>
      <w:bookmarkStart w:id="749" w:name="Tc_jOs8LMQ1mUO5SjSUGmjLUQ_7_0"/>
      <w:bookmarkStart w:id="750" w:name="Tc_KGJiKuPpQ06lFUmL9tuGUg_6_15"/>
      <w:bookmarkStart w:id="751" w:name="Tc_uFUcleqfQ0yUz_Xe0yhEXw_6_12"/>
      <w:bookmarkStart w:id="752" w:name="Tc_oiiYfQnyak2SG9jpOpQSxg_6_6"/>
      <w:bookmarkStart w:id="753" w:name="Tc_QZ7i61JlLkWlBW2gggQUfw_6_3"/>
      <w:bookmarkStart w:id="754" w:name="Tc_XvsEErjRqUW6OnOloPg0rw_6_0"/>
      <w:bookmarkStart w:id="755" w:name="Tc_7f0s_20-X0WBrvgUI_dn1Q_5_15"/>
      <w:bookmarkStart w:id="756" w:name="Tc_ZfXmyzPEvkKPfagB8-pyBw_5_12"/>
      <w:bookmarkStart w:id="757" w:name="Tc_oHsEEoREiUuJxC7E0ItKKg_5_3"/>
      <w:bookmarkStart w:id="758" w:name="Tc_ziM5IXGufkytqJvVDg9eEw_5_0"/>
      <w:bookmarkStart w:id="759" w:name="Tc_F6Plv9o4T0-uQ5F9P74ukQ_4_15"/>
      <w:bookmarkStart w:id="760" w:name="Tc_Is-TWhpUQUSF8HxeUT5fGA_4_12"/>
      <w:bookmarkStart w:id="761" w:name="Tc_nnihh9RfTU676WaC-CvQTQ_4_6"/>
      <w:bookmarkStart w:id="762" w:name="Tc_hBKDf8Gx8UyYEz2ugc6_pg_4_3"/>
      <w:bookmarkStart w:id="763" w:name="Tc_V_H1Vvx0YkiySwVGdKT3-Q_4_0"/>
      <w:bookmarkStart w:id="764" w:name="Tc_Hpj_1-BlfUuk0nyvk387Vg_3_15"/>
      <w:bookmarkStart w:id="765" w:name="Tc_dEORKsZi9Umna0_1iC3WNQ_3_9"/>
      <w:bookmarkStart w:id="766" w:name="Tc_LJ0klSWTyEav0nH7PKxK-Q_3_6"/>
      <w:bookmarkStart w:id="767" w:name="Tc_e2sPLnmDWkKzUqnuGH2urQ_3_3"/>
      <w:bookmarkStart w:id="768" w:name="Tc_caTfPxgdf0aXq4T1eDHHEA_3_0"/>
      <w:bookmarkStart w:id="769" w:name="Tc_xGVDKss1YUaImPVjx43DWA_2_17"/>
      <w:bookmarkStart w:id="770" w:name="Tc_CiCmg6RCik-QccZPA2E5Bw_2_14"/>
      <w:bookmarkStart w:id="771" w:name="Tc_pESpXhGGaECanjzOWKrLkw_2_11"/>
      <w:bookmarkStart w:id="772" w:name="Tc_Tj3uVIclY0GiPQX-d0BRLQ_2_8"/>
      <w:bookmarkStart w:id="773" w:name="Tc_seN_oJRYC0at6hbb2FwzOw_2_5"/>
      <w:bookmarkStart w:id="774" w:name="Tc_YMx1D6t-WkWLDQud6QJSeQ_2_2"/>
      <w:bookmarkStart w:id="775" w:name="Tc_h4eXWPEwEEiIng3t0fdhug_2_0"/>
      <w:bookmarkStart w:id="776" w:name="Tc_Ym0Hzq6kZ06JdtsANrOXmw_1_17"/>
      <w:bookmarkStart w:id="777" w:name="Tc_DLpQKzLpRUen30qK4qLbGw_1_14"/>
      <w:bookmarkStart w:id="778" w:name="Tc_Q7GloYkTBE2s3M1UOU4P-g_1_11"/>
      <w:bookmarkStart w:id="779" w:name="Tc_UKOZRbH8vU26iDn-QWyM5w_1_8"/>
      <w:bookmarkStart w:id="780" w:name="Tc_Rqc1tBh45kqTG4nENt-WzA_1_5"/>
      <w:bookmarkStart w:id="781" w:name="Tc_cCFsokhT2UysLR4AmBnOKQ_1_2"/>
      <w:bookmarkStart w:id="782" w:name="_be92aa18_079a_4c6f_b3c3_3bc0567f1f6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p>
    <w:tbl>
      <w:tblPr>
        <w:tblW w:w="10205" w:type="dxa"/>
        <w:jc w:val="left"/>
        <w:tblInd w:w="0" w:type="dxa"/>
        <w:tblLayout w:type="fixed"/>
        <w:tblCellMar>
          <w:top w:w="0" w:type="dxa"/>
          <w:left w:w="0" w:type="dxa"/>
          <w:bottom w:w="0" w:type="dxa"/>
          <w:right w:w="0" w:type="dxa"/>
        </w:tblCellMar>
      </w:tblPr>
      <w:tblGrid>
        <w:gridCol w:w="1901"/>
        <w:gridCol w:w="109"/>
        <w:gridCol w:w="344"/>
        <w:gridCol w:w="610"/>
        <w:gridCol w:w="109"/>
        <w:gridCol w:w="327"/>
        <w:gridCol w:w="628"/>
        <w:gridCol w:w="109"/>
        <w:gridCol w:w="281"/>
        <w:gridCol w:w="998"/>
        <w:gridCol w:w="109"/>
        <w:gridCol w:w="232"/>
        <w:gridCol w:w="832"/>
        <w:gridCol w:w="109"/>
        <w:gridCol w:w="464"/>
        <w:gridCol w:w="1572"/>
        <w:gridCol w:w="109"/>
        <w:gridCol w:w="267"/>
        <w:gridCol w:w="1095"/>
      </w:tblGrid>
      <w:tr>
        <w:trPr/>
        <w:tc>
          <w:tcPr>
            <w:tcW w:w="1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207135" cy="175260"/>
                      <wp:effectExtent l="0" t="0" r="0" b="0"/>
                      <wp:wrapNone/>
                      <wp:docPr id="91" name="Frame91"/>
                      <a:graphic xmlns:a="http://schemas.openxmlformats.org/drawingml/2006/main">
                        <a:graphicData uri="http://schemas.microsoft.com/office/word/2010/wordprocessingShape">
                          <wps:wsp>
                            <wps:cNvSpPr txBox="1"/>
                            <wps:spPr>
                              <a:xfrm>
                                <a:off x="0" y="0"/>
                                <a:ext cx="1207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92" name="Frame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8440" cy="175260"/>
                      <wp:effectExtent l="0" t="0" r="0" b="0"/>
                      <wp:wrapNone/>
                      <wp:docPr id="93" name="Frame93"/>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387350" cy="175260"/>
                      <wp:effectExtent l="0" t="0" r="0" b="0"/>
                      <wp:wrapNone/>
                      <wp:docPr id="94" name="Frame94"/>
                      <a:graphic xmlns:a="http://schemas.openxmlformats.org/drawingml/2006/main">
                        <a:graphicData uri="http://schemas.microsoft.com/office/word/2010/wordprocessingShape">
                          <wps:wsp>
                            <wps:cNvSpPr txBox="1"/>
                            <wps:spPr>
                              <a:xfrm>
                                <a:off x="0" y="0"/>
                                <a:ext cx="387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9215" cy="175260"/>
                      <wp:effectExtent l="0" t="0" r="0" b="0"/>
                      <wp:wrapNone/>
                      <wp:docPr id="95" name="Frame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645" cy="175260"/>
                      <wp:effectExtent l="0" t="0" r="0" b="0"/>
                      <wp:wrapNone/>
                      <wp:docPr id="96" name="Frame96"/>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398780" cy="175260"/>
                      <wp:effectExtent l="0" t="0" r="0" b="0"/>
                      <wp:wrapNone/>
                      <wp:docPr id="97" name="Frame97"/>
                      <a:graphic xmlns:a="http://schemas.openxmlformats.org/drawingml/2006/main">
                        <a:graphicData uri="http://schemas.microsoft.com/office/word/2010/wordprocessingShape">
                          <wps:wsp>
                            <wps:cNvSpPr txBox="1"/>
                            <wps:spPr>
                              <a:xfrm>
                                <a:off x="0" y="0"/>
                                <a:ext cx="398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9215" cy="175260"/>
                      <wp:effectExtent l="0" t="0" r="0" b="0"/>
                      <wp:wrapNone/>
                      <wp:docPr id="98" name="Frame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78435" cy="175260"/>
                      <wp:effectExtent l="0" t="0" r="0" b="0"/>
                      <wp:wrapNone/>
                      <wp:docPr id="99" name="Frame99"/>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33730" cy="175260"/>
                      <wp:effectExtent l="0" t="0" r="0" b="0"/>
                      <wp:wrapNone/>
                      <wp:docPr id="100" name="Frame100"/>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9215" cy="175260"/>
                      <wp:effectExtent l="0" t="0" r="0" b="0"/>
                      <wp:wrapNone/>
                      <wp:docPr id="101" name="Frame1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47320" cy="175260"/>
                      <wp:effectExtent l="0" t="0" r="0" b="0"/>
                      <wp:wrapNone/>
                      <wp:docPr id="102" name="Frame102"/>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28320" cy="175260"/>
                      <wp:effectExtent l="0" t="0" r="0" b="0"/>
                      <wp:wrapNone/>
                      <wp:docPr id="103" name="Frame103"/>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9215" cy="175260"/>
                      <wp:effectExtent l="0" t="0" r="0" b="0"/>
                      <wp:wrapNone/>
                      <wp:docPr id="104" name="Frame1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94640" cy="175260"/>
                      <wp:effectExtent l="0" t="0" r="0" b="0"/>
                      <wp:wrapNone/>
                      <wp:docPr id="105" name="Frame105"/>
                      <a:graphic xmlns:a="http://schemas.openxmlformats.org/drawingml/2006/main">
                        <a:graphicData uri="http://schemas.microsoft.com/office/word/2010/wordprocessingShape">
                          <wps:wsp>
                            <wps:cNvSpPr txBox="1"/>
                            <wps:spPr>
                              <a:xfrm>
                                <a:off x="0" y="0"/>
                                <a:ext cx="294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998220" cy="175260"/>
                      <wp:effectExtent l="0" t="0" r="0" b="0"/>
                      <wp:wrapNone/>
                      <wp:docPr id="106" name="Frame106"/>
                      <a:graphic xmlns:a="http://schemas.openxmlformats.org/drawingml/2006/main">
                        <a:graphicData uri="http://schemas.microsoft.com/office/word/2010/wordprocessingShape">
                          <wps:wsp>
                            <wps:cNvSpPr txBox="1"/>
                            <wps:spPr>
                              <a:xfrm>
                                <a:off x="0" y="0"/>
                                <a:ext cx="998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9215" cy="175260"/>
                      <wp:effectExtent l="0" t="0" r="0" b="0"/>
                      <wp:wrapNone/>
                      <wp:docPr id="107" name="Frame1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69545" cy="175260"/>
                      <wp:effectExtent l="0" t="0" r="0" b="0"/>
                      <wp:wrapNone/>
                      <wp:docPr id="108" name="Frame108"/>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95325" cy="175260"/>
                      <wp:effectExtent l="0" t="0" r="0" b="0"/>
                      <wp:wrapNone/>
                      <wp:docPr id="109" name="Frame109"/>
                      <a:graphic xmlns:a="http://schemas.openxmlformats.org/drawingml/2006/main">
                        <a:graphicData uri="http://schemas.microsoft.com/office/word/2010/wordprocessingShape">
                          <wps:wsp>
                            <wps:cNvSpPr txBox="1"/>
                            <wps:spPr>
                              <a:xfrm>
                                <a:off x="0" y="0"/>
                                <a:ext cx="695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Preferred Stock</w:t>
            </w:r>
          </w:p>
        </w:tc>
        <w:tc>
          <w:tcPr>
            <w:tcW w:w="109" w:type="dxa"/>
            <w:tcBorders/>
            <w:vAlign w:val="center"/>
          </w:tcPr>
          <w:p>
            <w:pPr>
              <w:pStyle w:val="TableContents"/>
              <w:bidi w:val="0"/>
              <w:spacing w:before="0" w:after="0"/>
              <w:ind w:left="0" w:right="0" w:hanging="0"/>
              <w:jc w:val="left"/>
              <w:rPr/>
            </w:pPr>
            <w:r>
              <w:rPr/>
              <w:t>​</w:t>
            </w:r>
          </w:p>
        </w:tc>
        <w:tc>
          <w:tcPr>
            <w:tcW w:w="9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Common Stock</w:t>
            </w:r>
          </w:p>
        </w:tc>
        <w:tc>
          <w:tcPr>
            <w:tcW w:w="109" w:type="dxa"/>
            <w:tcBorders/>
            <w:vAlign w:val="center"/>
          </w:tcPr>
          <w:p>
            <w:pPr>
              <w:pStyle w:val="TableContents"/>
              <w:bidi w:val="0"/>
              <w:spacing w:before="0" w:after="0"/>
              <w:ind w:left="0" w:right="0" w:hanging="0"/>
              <w:jc w:val="center"/>
              <w:rPr/>
            </w:pPr>
            <w:r>
              <w:rPr/>
              <w:t>​</w:t>
            </w:r>
          </w:p>
        </w:tc>
        <w:tc>
          <w:tcPr>
            <w:tcW w:w="12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Additional Paid-In Capital </w:t>
            </w:r>
          </w:p>
        </w:tc>
        <w:tc>
          <w:tcPr>
            <w:tcW w:w="109" w:type="dxa"/>
            <w:tcBorders/>
            <w:vAlign w:val="center"/>
          </w:tcPr>
          <w:p>
            <w:pPr>
              <w:pStyle w:val="TableContents"/>
              <w:bidi w:val="0"/>
              <w:spacing w:before="0" w:after="0"/>
              <w:ind w:left="0" w:right="0" w:hanging="0"/>
              <w:jc w:val="center"/>
              <w:rPr/>
            </w:pPr>
            <w:r>
              <w:rPr/>
              <w:t>​</w:t>
            </w:r>
          </w:p>
        </w:tc>
        <w:tc>
          <w:tcPr>
            <w:tcW w:w="10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Retained Earnings</w:t>
            </w:r>
          </w:p>
        </w:tc>
        <w:tc>
          <w:tcPr>
            <w:tcW w:w="109" w:type="dxa"/>
            <w:tcBorders/>
            <w:vAlign w:val="center"/>
          </w:tcPr>
          <w:p>
            <w:pPr>
              <w:pStyle w:val="TableContents"/>
              <w:bidi w:val="0"/>
              <w:spacing w:before="0" w:after="0"/>
              <w:ind w:left="0" w:right="0" w:hanging="0"/>
              <w:jc w:val="center"/>
              <w:rPr/>
            </w:pPr>
            <w:r>
              <w:rPr/>
              <w:t>​</w:t>
            </w:r>
          </w:p>
        </w:tc>
        <w:tc>
          <w:tcPr>
            <w:tcW w:w="2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Accumulated Other Comprehensive Income (Loss)</w:t>
            </w:r>
          </w:p>
        </w:tc>
        <w:tc>
          <w:tcPr>
            <w:tcW w:w="109" w:type="dxa"/>
            <w:tcBorders/>
            <w:vAlign w:val="center"/>
          </w:tcPr>
          <w:p>
            <w:pPr>
              <w:pStyle w:val="TableContents"/>
              <w:bidi w:val="0"/>
              <w:spacing w:before="0" w:after="0"/>
              <w:ind w:left="0" w:right="0" w:hanging="0"/>
              <w:jc w:val="center"/>
              <w:rPr/>
            </w:pPr>
            <w:r>
              <w:rPr/>
              <w:t>​</w:t>
            </w:r>
          </w:p>
        </w:tc>
        <w:tc>
          <w:tcPr>
            <w:tcW w:w="13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Stockholders' Equity</w:t>
            </w:r>
          </w:p>
        </w:tc>
      </w:tr>
      <w:tr>
        <w:trPr/>
        <w:tc>
          <w:tcPr>
            <w:tcW w:w="1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January 1, 2025</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367,828</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232,089</w:t>
            </w:r>
          </w:p>
        </w:tc>
        <w:tc>
          <w:tcPr>
            <w:tcW w:w="109" w:type="dxa"/>
            <w:tcBorders/>
            <w:shd w:fill="CCEEFF" w:val="clear"/>
            <w:vAlign w:val="center"/>
          </w:tcPr>
          <w:p>
            <w:pPr>
              <w:pStyle w:val="TableContents"/>
              <w:bidi w:val="0"/>
              <w:spacing w:before="0" w:after="0"/>
              <w:ind w:left="0" w:right="0" w:hanging="0"/>
              <w:jc w:val="left"/>
              <w:rPr/>
            </w:pPr>
            <w:r>
              <w:rPr/>
              <w:t>​</w:t>
            </w:r>
          </w:p>
        </w:tc>
        <w:tc>
          <w:tcPr>
            <w:tcW w:w="46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12,517</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612,798</w:t>
            </w:r>
          </w:p>
        </w:tc>
      </w:tr>
      <w:tr>
        <w:trPr/>
        <w:tc>
          <w:tcPr>
            <w:tcW w:w="1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 Attributable to the Company</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(21,157)</w:t>
            </w:r>
          </w:p>
        </w:tc>
        <w:tc>
          <w:tcPr>
            <w:tcW w:w="109" w:type="dxa"/>
            <w:tcBorders/>
            <w:vAlign w:val="center"/>
          </w:tcPr>
          <w:p>
            <w:pPr>
              <w:pStyle w:val="TableContents"/>
              <w:bidi w:val="0"/>
              <w:spacing w:before="0" w:after="0"/>
              <w:ind w:left="0" w:right="0" w:hanging="0"/>
              <w:jc w:val="left"/>
              <w:rPr/>
            </w:pPr>
            <w:r>
              <w:rPr/>
              <w:t>​</w:t>
            </w:r>
          </w:p>
        </w:tc>
        <w:tc>
          <w:tcPr>
            <w:tcW w:w="464" w:type="dxa"/>
            <w:tcBorders/>
            <w:vAlign w:val="center"/>
          </w:tcPr>
          <w:p>
            <w:pPr>
              <w:pStyle w:val="TableContents"/>
              <w:bidi w:val="0"/>
              <w:spacing w:before="0" w:after="0"/>
              <w:ind w:left="0" w:right="0" w:hanging="0"/>
              <w:jc w:val="left"/>
              <w:rPr/>
            </w:pPr>
            <w:r>
              <w:rPr/>
              <w:t>​</w:t>
            </w:r>
          </w:p>
        </w:tc>
        <w:tc>
          <w:tcPr>
            <w:tcW w:w="15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(21,157)</w:t>
            </w:r>
          </w:p>
        </w:tc>
      </w:tr>
      <w:tr>
        <w:trPr/>
        <w:tc>
          <w:tcPr>
            <w:tcW w:w="1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 Repurchase</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4" w:type="dxa"/>
            <w:tcBorders/>
            <w:shd w:fill="CCEEFF" w:val="clear"/>
            <w:vAlign w:val="center"/>
          </w:tcPr>
          <w:p>
            <w:pPr>
              <w:pStyle w:val="TableContents"/>
              <w:bidi w:val="0"/>
              <w:spacing w:before="0" w:after="0"/>
              <w:ind w:left="0" w:right="0" w:hanging="0"/>
              <w:jc w:val="left"/>
              <w:rPr/>
            </w:pPr>
            <w:r>
              <w:rPr/>
              <w:t>​</w:t>
            </w:r>
          </w:p>
        </w:tc>
        <w:tc>
          <w:tcPr>
            <w:tcW w:w="15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10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w:t>
            </w:r>
          </w:p>
        </w:tc>
      </w:tr>
      <w:tr>
        <w:trPr/>
        <w:tc>
          <w:tcPr>
            <w:tcW w:w="1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Vested Restricted Stock and Performance Shares</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(1,035)</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64" w:type="dxa"/>
            <w:tcBorders/>
            <w:vAlign w:val="center"/>
          </w:tcPr>
          <w:p>
            <w:pPr>
              <w:pStyle w:val="TableContents"/>
              <w:bidi w:val="0"/>
              <w:spacing w:before="0" w:after="0"/>
              <w:ind w:left="0" w:right="0" w:hanging="0"/>
              <w:jc w:val="left"/>
              <w:rPr/>
            </w:pPr>
            <w:r>
              <w:rPr/>
              <w:t>​</w:t>
            </w:r>
          </w:p>
        </w:tc>
        <w:tc>
          <w:tcPr>
            <w:tcW w:w="15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(1,034)</w:t>
            </w:r>
          </w:p>
        </w:tc>
      </w:tr>
      <w:tr>
        <w:trPr/>
        <w:tc>
          <w:tcPr>
            <w:tcW w:w="1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 Issuance to Directors</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490</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4" w:type="dxa"/>
            <w:tcBorders/>
            <w:shd w:fill="CCEEFF" w:val="clear"/>
            <w:vAlign w:val="center"/>
          </w:tcPr>
          <w:p>
            <w:pPr>
              <w:pStyle w:val="TableContents"/>
              <w:bidi w:val="0"/>
              <w:spacing w:before="0" w:after="0"/>
              <w:ind w:left="0" w:right="0" w:hanging="0"/>
              <w:jc w:val="left"/>
              <w:rPr/>
            </w:pPr>
            <w:r>
              <w:rPr/>
              <w:t>​</w:t>
            </w:r>
          </w:p>
        </w:tc>
        <w:tc>
          <w:tcPr>
            <w:tcW w:w="15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10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490</w:t>
            </w:r>
          </w:p>
        </w:tc>
      </w:tr>
      <w:tr>
        <w:trPr/>
        <w:tc>
          <w:tcPr>
            <w:tcW w:w="1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 Issuance, Net of Equity Issuance Costs</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64" w:type="dxa"/>
            <w:tcBorders/>
            <w:vAlign w:val="center"/>
          </w:tcPr>
          <w:p>
            <w:pPr>
              <w:pStyle w:val="TableContents"/>
              <w:bidi w:val="0"/>
              <w:spacing w:before="0" w:after="0"/>
              <w:ind w:left="0" w:right="0" w:hanging="0"/>
              <w:jc w:val="left"/>
              <w:rPr/>
            </w:pPr>
            <w:r>
              <w:rPr/>
              <w:t>​</w:t>
            </w:r>
          </w:p>
        </w:tc>
        <w:tc>
          <w:tcPr>
            <w:tcW w:w="15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w:t>
            </w:r>
          </w:p>
        </w:tc>
      </w:tr>
      <w:tr>
        <w:trPr/>
        <w:tc>
          <w:tcPr>
            <w:tcW w:w="1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 Issuance, Settlement of 2025 Notes</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21,037</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4" w:type="dxa"/>
            <w:tcBorders/>
            <w:shd w:fill="CCEEFF" w:val="clear"/>
            <w:vAlign w:val="center"/>
          </w:tcPr>
          <w:p>
            <w:pPr>
              <w:pStyle w:val="TableContents"/>
              <w:bidi w:val="0"/>
              <w:spacing w:before="0" w:after="0"/>
              <w:ind w:left="0" w:right="0" w:hanging="0"/>
              <w:jc w:val="left"/>
              <w:rPr/>
            </w:pPr>
            <w:r>
              <w:rPr/>
              <w:t>​</w:t>
            </w:r>
          </w:p>
        </w:tc>
        <w:tc>
          <w:tcPr>
            <w:tcW w:w="15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10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21,048</w:t>
            </w:r>
          </w:p>
        </w:tc>
      </w:tr>
      <w:tr>
        <w:trPr/>
        <w:tc>
          <w:tcPr>
            <w:tcW w:w="1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1,795</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64" w:type="dxa"/>
            <w:tcBorders/>
            <w:vAlign w:val="center"/>
          </w:tcPr>
          <w:p>
            <w:pPr>
              <w:pStyle w:val="TableContents"/>
              <w:bidi w:val="0"/>
              <w:spacing w:before="0" w:after="0"/>
              <w:ind w:left="0" w:right="0" w:hanging="0"/>
              <w:jc w:val="left"/>
              <w:rPr/>
            </w:pPr>
            <w:r>
              <w:rPr/>
              <w:t>​</w:t>
            </w:r>
          </w:p>
        </w:tc>
        <w:tc>
          <w:tcPr>
            <w:tcW w:w="15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1,795</w:t>
            </w:r>
          </w:p>
        </w:tc>
      </w:tr>
      <w:tr>
        <w:trPr/>
        <w:tc>
          <w:tcPr>
            <w:tcW w:w="1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Stock Dividends Declared for the Period</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62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9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(3,756)</w:t>
            </w:r>
          </w:p>
        </w:tc>
        <w:tc>
          <w:tcPr>
            <w:tcW w:w="109" w:type="dxa"/>
            <w:tcBorders/>
            <w:shd w:fill="CCEEFF" w:val="clear"/>
            <w:vAlign w:val="center"/>
          </w:tcPr>
          <w:p>
            <w:pPr>
              <w:pStyle w:val="TableContents"/>
              <w:bidi w:val="0"/>
              <w:spacing w:before="0" w:after="0"/>
              <w:ind w:left="0" w:right="0" w:hanging="0"/>
              <w:jc w:val="left"/>
              <w:rPr/>
            </w:pPr>
            <w:r>
              <w:rPr/>
              <w:t>​</w:t>
            </w:r>
          </w:p>
        </w:tc>
        <w:tc>
          <w:tcPr>
            <w:tcW w:w="464" w:type="dxa"/>
            <w:tcBorders/>
            <w:shd w:fill="CCEEFF" w:val="clear"/>
            <w:vAlign w:val="center"/>
          </w:tcPr>
          <w:p>
            <w:pPr>
              <w:pStyle w:val="TableContents"/>
              <w:bidi w:val="0"/>
              <w:spacing w:before="0" w:after="0"/>
              <w:ind w:left="0" w:right="0" w:hanging="0"/>
              <w:jc w:val="left"/>
              <w:rPr/>
            </w:pPr>
            <w:r>
              <w:rPr/>
              <w:t>​</w:t>
            </w:r>
          </w:p>
        </w:tc>
        <w:tc>
          <w:tcPr>
            <w:tcW w:w="15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10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(3,756)</w:t>
            </w:r>
          </w:p>
        </w:tc>
      </w:tr>
      <w:tr>
        <w:trPr/>
        <w:tc>
          <w:tcPr>
            <w:tcW w:w="1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Dividends Declared for the Period</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(24,814)</w:t>
            </w:r>
          </w:p>
        </w:tc>
        <w:tc>
          <w:tcPr>
            <w:tcW w:w="109" w:type="dxa"/>
            <w:tcBorders/>
            <w:vAlign w:val="center"/>
          </w:tcPr>
          <w:p>
            <w:pPr>
              <w:pStyle w:val="TableContents"/>
              <w:bidi w:val="0"/>
              <w:spacing w:before="0" w:after="0"/>
              <w:ind w:left="0" w:right="0" w:hanging="0"/>
              <w:jc w:val="left"/>
              <w:rPr/>
            </w:pPr>
            <w:r>
              <w:rPr/>
              <w:t>​</w:t>
            </w:r>
          </w:p>
        </w:tc>
        <w:tc>
          <w:tcPr>
            <w:tcW w:w="464" w:type="dxa"/>
            <w:tcBorders/>
            <w:vAlign w:val="center"/>
          </w:tcPr>
          <w:p>
            <w:pPr>
              <w:pStyle w:val="TableContents"/>
              <w:bidi w:val="0"/>
              <w:spacing w:before="0" w:after="0"/>
              <w:ind w:left="0" w:right="0" w:hanging="0"/>
              <w:jc w:val="left"/>
              <w:rPr/>
            </w:pPr>
            <w:r>
              <w:rPr/>
              <w:t>​</w:t>
            </w:r>
          </w:p>
        </w:tc>
        <w:tc>
          <w:tcPr>
            <w:tcW w:w="15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(24,814)</w:t>
            </w:r>
          </w:p>
        </w:tc>
      </w:tr>
      <w:tr>
        <w:trPr/>
        <w:tc>
          <w:tcPr>
            <w:tcW w:w="1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Loss</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5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(11,196)</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(11,196)</w:t>
            </w:r>
          </w:p>
        </w:tc>
      </w:tr>
      <w:tr>
        <w:trPr/>
        <w:tc>
          <w:tcPr>
            <w:tcW w:w="1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June 30, 2025</w:t>
            </w:r>
          </w:p>
        </w:tc>
        <w:tc>
          <w:tcPr>
            <w:tcW w:w="109" w:type="dxa"/>
            <w:tcBorders/>
            <w:vAlign w:val="center"/>
          </w:tcPr>
          <w:p>
            <w:pPr>
              <w:pStyle w:val="TableContents"/>
              <w:bidi w:val="0"/>
              <w:spacing w:before="0" w:after="0"/>
              <w:ind w:left="0" w:right="0" w:hanging="0"/>
              <w:jc w:val="left"/>
              <w:rPr/>
            </w:pPr>
            <w:r>
              <w:rPr/>
              <w:t>​</w:t>
            </w:r>
          </w:p>
        </w:tc>
        <w:tc>
          <w:tcPr>
            <w:tcW w:w="3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w:t>
            </w:r>
          </w:p>
        </w:tc>
        <w:tc>
          <w:tcPr>
            <w:tcW w:w="109" w:type="dxa"/>
            <w:tcBorders/>
            <w:vAlign w:val="center"/>
          </w:tcPr>
          <w:p>
            <w:pPr>
              <w:pStyle w:val="TableContents"/>
              <w:bidi w:val="0"/>
              <w:spacing w:before="0" w:after="0"/>
              <w:ind w:left="0" w:right="0" w:hanging="0"/>
              <w:jc w:val="left"/>
              <w:rPr/>
            </w:pPr>
            <w:r>
              <w:rPr/>
              <w:t>​</w:t>
            </w:r>
          </w:p>
        </w:tc>
        <w:tc>
          <w:tcPr>
            <w:tcW w:w="3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w:t>
            </w:r>
          </w:p>
        </w:tc>
        <w:tc>
          <w:tcPr>
            <w:tcW w:w="109" w:type="dxa"/>
            <w:tcBorders/>
            <w:vAlign w:val="center"/>
          </w:tcPr>
          <w:p>
            <w:pPr>
              <w:pStyle w:val="TableContents"/>
              <w:bidi w:val="0"/>
              <w:spacing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390,003</w:t>
            </w:r>
          </w:p>
        </w:tc>
        <w:tc>
          <w:tcPr>
            <w:tcW w:w="109"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182,362</w:t>
            </w:r>
          </w:p>
        </w:tc>
        <w:tc>
          <w:tcPr>
            <w:tcW w:w="109" w:type="dxa"/>
            <w:tcBorders/>
            <w:vAlign w:val="center"/>
          </w:tcPr>
          <w:p>
            <w:pPr>
              <w:pStyle w:val="TableContents"/>
              <w:bidi w:val="0"/>
              <w:spacing w:before="0" w:after="0"/>
              <w:ind w:left="0" w:right="0" w:hanging="0"/>
              <w:jc w:val="left"/>
              <w:rPr/>
            </w:pPr>
            <w:r>
              <w:rPr/>
              <w:t>​</w:t>
            </w:r>
          </w:p>
        </w:tc>
        <w:tc>
          <w:tcPr>
            <w:tcW w:w="46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1,321</w:t>
            </w:r>
          </w:p>
        </w:tc>
        <w:tc>
          <w:tcPr>
            <w:tcW w:w="109" w:type="dxa"/>
            <w:tcBorders/>
            <w:vAlign w:val="center"/>
          </w:tcPr>
          <w:p>
            <w:pPr>
              <w:pStyle w:val="TableContents"/>
              <w:bidi w:val="0"/>
              <w:spacing w:before="0" w:after="0"/>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574,062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783" w:name="_806ff8d9_5222_4486_bca0_d72b95401417"/>
      <w:bookmarkEnd w:id="783"/>
      <w:r>
        <w:rPr>
          <w:rFonts w:ascii="Times New Roman;Times;serif" w:hAnsi="Times New Roman;Times;serif"/>
          <w:sz w:val="20"/>
        </w:rPr>
        <w:t>CTO REALTY GROWTH, INC.</w:t>
      </w:r>
    </w:p>
    <w:p>
      <w:pPr>
        <w:pStyle w:val="TextBody"/>
        <w:bidi w:val="0"/>
        <w:spacing w:before="0" w:after="0"/>
        <w:ind w:left="0" w:right="0" w:hanging="0"/>
        <w:jc w:val="center"/>
        <w:rPr>
          <w:rFonts w:ascii="Times New Roman;Times;serif" w:hAnsi="Times New Roman;Times;serif"/>
          <w:sz w:val="20"/>
        </w:rPr>
      </w:pPr>
      <w:bookmarkStart w:id="784" w:name="CONSOLIDATEDSTATEMENTSOFCASHFLOWS_277552"/>
      <w:bookmarkEnd w:id="784"/>
      <w:r>
        <w:rPr>
          <w:rFonts w:ascii="Times New Roman;Times;serif" w:hAnsi="Times New Roman;Times;serif"/>
          <w:sz w:val="20"/>
        </w:rPr>
        <w:t>CONSOLIDATED STATEMENTS OF CASH FLOWS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85" w:name="Tc_gPGfzYuwkUio3Q9HWo4uCg_57_5"/>
      <w:bookmarkStart w:id="786" w:name="Tc_fu9ev-mB6UWpD9EFmFJKqw_57_2"/>
      <w:bookmarkStart w:id="787" w:name="Tc_lqyYzkOBh0C0ymxIWAoGgg_57_0"/>
      <w:bookmarkStart w:id="788" w:name="Tc_b2kZU3Og4kCuAt7jjKNsZA_56_0"/>
      <w:bookmarkStart w:id="789" w:name="Tc_0wgGxq4D2EeuaefDpEfj6A_55_5"/>
      <w:bookmarkStart w:id="790" w:name="Tc_Sd1IUJ5vC0iwbi4WfiH2ww_55_2"/>
      <w:bookmarkStart w:id="791" w:name="Tc_OZdfKoGDuU2uKJn-zW9D5A_55_0"/>
      <w:bookmarkStart w:id="792" w:name="Tc_2f4aLhB2_0Sd299XC_0kxg_54_0"/>
      <w:bookmarkStart w:id="793" w:name="Tc_FPNTZPqYJkew8RiJVhgWwA_52_5"/>
      <w:bookmarkStart w:id="794" w:name="Tc_3tL320c5n0CyOTTnpXdvlQ_52_2"/>
      <w:bookmarkStart w:id="795" w:name="Tc_-vs29gQ48UK-4fIM8xh4mg_52_0"/>
      <w:bookmarkStart w:id="796" w:name="Tc_q8-quH0lM0eEw7IP09eTuA_51_0"/>
      <w:bookmarkStart w:id="797" w:name="Tc_A1oOwhfrME2YwmKgdPl5pA_50_0"/>
      <w:bookmarkStart w:id="798" w:name="Tc_jJlMKAh7lUGEZNqE_pexOg_49_0"/>
      <w:bookmarkStart w:id="799" w:name="Tc_AJ9cphCbkEOBzeksVWHufw_48_0"/>
      <w:bookmarkStart w:id="800" w:name="Tc_qpz4OKP56kSBObdMYbhF6g_47_0"/>
      <w:bookmarkStart w:id="801" w:name="Tc__8bvDeAUy0iRsCprUj3YsQ_46_3"/>
      <w:bookmarkStart w:id="802" w:name="Tc_fgyHF3gwVk2MDLhOXuKovw_46_0"/>
      <w:bookmarkStart w:id="803" w:name="Tc_HA51Xk9MBUeN-9LxchMhag_45_0"/>
      <w:bookmarkStart w:id="804" w:name="Tc_ECTVYUvnWEOYmOtqNeurRA_44_0"/>
      <w:bookmarkStart w:id="805" w:name="Tc_COYAeGsx9UacXIElFgUBuw_43_3"/>
      <w:bookmarkStart w:id="806" w:name="Tc_ANw-rzunjUKYvLDQKDE84Q_43_0"/>
      <w:bookmarkStart w:id="807" w:name="Tc_O1nUKnMcckWDTK5--_fX2g_42_0"/>
      <w:bookmarkStart w:id="808" w:name="Tc_Umy3biijzUqPUTHK7yHFTA_41_0"/>
      <w:bookmarkStart w:id="809" w:name="Tc_oUYB7wLPvE2THpwxKVGbbA_40_0"/>
      <w:bookmarkStart w:id="810" w:name="Tc_pZ_g6L6e7k6UOdjqXVsMvA_39_0"/>
      <w:bookmarkStart w:id="811" w:name="Tc_hxg2Lv_j7UuUdQ_tjZha1w_38_0"/>
      <w:bookmarkStart w:id="812" w:name="Tc_GsussOLf4Ui6FY4rhQvd1A_37_0"/>
      <w:bookmarkStart w:id="813" w:name="Tc_1yhQM2obqUe1-UJHABdOKQ_36_0"/>
      <w:bookmarkStart w:id="814" w:name="Tc_wxyTaAoVZkiiS7KarWSobg_35_0"/>
      <w:bookmarkStart w:id="815" w:name="Tc_JJvRiRJJNEKAeU6vXXLXhQ_34_0"/>
      <w:bookmarkStart w:id="816" w:name="Tc_L5T2aKz7YUSFzYNI_bcerg_33_0"/>
      <w:bookmarkStart w:id="817" w:name="Tc_UnJDRT2MTkerh4u25AFh4g_32_6"/>
      <w:bookmarkStart w:id="818" w:name="Tc__CxWFB2qaEy60EGw-PuGdw_32_0"/>
      <w:bookmarkStart w:id="819" w:name="Tc_AQ8BR4KCyEGEKky5wwFXjg_31_0"/>
      <w:bookmarkStart w:id="820" w:name="Tc_MmTkVvZU_kG1UzjFY4pu0g_30_0"/>
      <w:bookmarkStart w:id="821" w:name="Tc_wwa7iSLi-UamVjNQNy14CA_29_0"/>
      <w:bookmarkStart w:id="822" w:name="Tc_IGVaqqcSm0C0YyCZ_2CM_w_28_0"/>
      <w:bookmarkStart w:id="823" w:name="Tc_m4hB7g4Mtk-afYOFyZgLXg_27_0"/>
      <w:bookmarkStart w:id="824" w:name="Tc_lnOcUbXLTEi-o2L3cIGLxA_26_0"/>
      <w:bookmarkStart w:id="825" w:name="Tc_YuXn-uSeSEaINoet20GYmg_25_0"/>
      <w:bookmarkStart w:id="826" w:name="Tc_z68fxWioqU6yx9fZ1Htssg_24_0"/>
      <w:bookmarkStart w:id="827" w:name="Tc_SY3TPfkGe06N7kTglASBsA_23_0"/>
      <w:bookmarkStart w:id="828" w:name="Tc_5vFpdtjTpkejMloN7IuLhQ_22_0"/>
      <w:bookmarkStart w:id="829" w:name="Tc__c-uHsd8u06eWaV6qlbYOw_21_0"/>
      <w:bookmarkStart w:id="830" w:name="Tc_QlOgcSu-906M7Fw9Bu4JDQ_20_3"/>
      <w:bookmarkStart w:id="831" w:name="Tc_ho7SwSLkgUGH5QAELI4EGg_20_0"/>
      <w:bookmarkStart w:id="832" w:name="Tc_1ZL1F2IxiUqPLvuuP_GyWw_19_0"/>
      <w:bookmarkStart w:id="833" w:name="Tc_85Lq2C12zk6ZUwa0kg3XiQ_18_0"/>
      <w:bookmarkStart w:id="834" w:name="Tc_3qCLn-v_uEqc-9naD1lu9A_17_0"/>
      <w:bookmarkStart w:id="835" w:name="Tc_QyR3ckhpkESiFXPXsadAhg_16_0"/>
      <w:bookmarkStart w:id="836" w:name="Tc_CqdvF-rAskCd_979R5GJeQ_15_0"/>
      <w:bookmarkStart w:id="837" w:name="Tc_0EZ1uVSnsUqkbk9ZLQG9lg_14_0"/>
      <w:bookmarkStart w:id="838" w:name="Tc_42uEXaUdmU66bhFasRIbhA_13_6"/>
      <w:bookmarkStart w:id="839" w:name="Tc_0h4fasszXEuV2rCCgT9WWA_13_0"/>
      <w:bookmarkStart w:id="840" w:name="Tc_jonsLWvKO0K2XUIxHW1pxQ_12_3"/>
      <w:bookmarkStart w:id="841" w:name="Tc_gQBeDV8UAE-gOjQXz1B34A_12_0"/>
      <w:bookmarkStart w:id="842" w:name="Tc_Io0y58Phfkii2dNhQVBwYQ_11_6"/>
      <w:bookmarkStart w:id="843" w:name="Tc_b3W100GFMEq2EoiZuIYTYQ_11_0"/>
      <w:bookmarkStart w:id="844" w:name="Tc_8NfyWD2zk0mJk7ah6XMJkg_10_6"/>
      <w:bookmarkStart w:id="845" w:name="Tc_ClxPI1_L5UeYpxeKztwdwA_10_0"/>
      <w:bookmarkStart w:id="846" w:name="Tc_YV-gSC4LEkCMXvino4CrRg_9_3"/>
      <w:bookmarkStart w:id="847" w:name="Tc_OpdBoCJ3_ECxqMu9NizLmA_9_0"/>
      <w:bookmarkStart w:id="848" w:name="Tc_dHJlBZOW_kKxeJVpjBhjdg_8_0"/>
      <w:bookmarkStart w:id="849" w:name="Tc_-ypW6tO6eUSap-A0lH3EXg_7_0"/>
      <w:bookmarkStart w:id="850" w:name="Tc_Hul663vd0UipLXMy4Ae2lg_6_0"/>
      <w:bookmarkStart w:id="851" w:name="Tc_iuri4XaJc062WgwLGz97eA_5_0"/>
      <w:bookmarkStart w:id="852" w:name="Tc_2wjRc6QsMUSfzqabIN0yDQ_4_5"/>
      <w:bookmarkStart w:id="853" w:name="Tc_ghCJIpbeqECJL3eTTIj11g_4_2"/>
      <w:bookmarkStart w:id="854" w:name="Tc_OD59ezz_3EK13VFlNcJ6zQ_4_0"/>
      <w:bookmarkStart w:id="855" w:name="Tc_qiAzLMvxjE-YiPz593iKFQ_3_0"/>
      <w:bookmarkStart w:id="856" w:name="Tc_iPZilVsWP0aioSnqreVcmA_2_5"/>
      <w:bookmarkStart w:id="857" w:name="Tc_I2tmWvwQF0KPaiWJq2YcuQ_2_2"/>
      <w:bookmarkStart w:id="858" w:name="Tc__D6eXPT-YEGYk4eX6ziFjA_1_2"/>
      <w:bookmarkStart w:id="859" w:name="_d58c3c4a_e792_4381_bb17_8d1295cb5c7e"/>
      <w:bookmarkStart w:id="860" w:name="Tc_gPGfzYuwkUio3Q9HWo4uCg_57_5"/>
      <w:bookmarkStart w:id="861" w:name="Tc_fu9ev-mB6UWpD9EFmFJKqw_57_2"/>
      <w:bookmarkStart w:id="862" w:name="Tc_lqyYzkOBh0C0ymxIWAoGgg_57_0"/>
      <w:bookmarkStart w:id="863" w:name="Tc_b2kZU3Og4kCuAt7jjKNsZA_56_0"/>
      <w:bookmarkStart w:id="864" w:name="Tc_0wgGxq4D2EeuaefDpEfj6A_55_5"/>
      <w:bookmarkStart w:id="865" w:name="Tc_Sd1IUJ5vC0iwbi4WfiH2ww_55_2"/>
      <w:bookmarkStart w:id="866" w:name="Tc_OZdfKoGDuU2uKJn-zW9D5A_55_0"/>
      <w:bookmarkStart w:id="867" w:name="Tc_2f4aLhB2_0Sd299XC_0kxg_54_0"/>
      <w:bookmarkStart w:id="868" w:name="Tc_FPNTZPqYJkew8RiJVhgWwA_52_5"/>
      <w:bookmarkStart w:id="869" w:name="Tc_3tL320c5n0CyOTTnpXdvlQ_52_2"/>
      <w:bookmarkStart w:id="870" w:name="Tc_-vs29gQ48UK-4fIM8xh4mg_52_0"/>
      <w:bookmarkStart w:id="871" w:name="Tc_q8-quH0lM0eEw7IP09eTuA_51_0"/>
      <w:bookmarkStart w:id="872" w:name="Tc_A1oOwhfrME2YwmKgdPl5pA_50_0"/>
      <w:bookmarkStart w:id="873" w:name="Tc_jJlMKAh7lUGEZNqE_pexOg_49_0"/>
      <w:bookmarkStart w:id="874" w:name="Tc_AJ9cphCbkEOBzeksVWHufw_48_0"/>
      <w:bookmarkStart w:id="875" w:name="Tc_qpz4OKP56kSBObdMYbhF6g_47_0"/>
      <w:bookmarkStart w:id="876" w:name="Tc__8bvDeAUy0iRsCprUj3YsQ_46_3"/>
      <w:bookmarkStart w:id="877" w:name="Tc_fgyHF3gwVk2MDLhOXuKovw_46_0"/>
      <w:bookmarkStart w:id="878" w:name="Tc_HA51Xk9MBUeN-9LxchMhag_45_0"/>
      <w:bookmarkStart w:id="879" w:name="Tc_ECTVYUvnWEOYmOtqNeurRA_44_0"/>
      <w:bookmarkStart w:id="880" w:name="Tc_COYAeGsx9UacXIElFgUBuw_43_3"/>
      <w:bookmarkStart w:id="881" w:name="Tc_ANw-rzunjUKYvLDQKDE84Q_43_0"/>
      <w:bookmarkStart w:id="882" w:name="Tc_O1nUKnMcckWDTK5--_fX2g_42_0"/>
      <w:bookmarkStart w:id="883" w:name="Tc_Umy3biijzUqPUTHK7yHFTA_41_0"/>
      <w:bookmarkStart w:id="884" w:name="Tc_oUYB7wLPvE2THpwxKVGbbA_40_0"/>
      <w:bookmarkStart w:id="885" w:name="Tc_pZ_g6L6e7k6UOdjqXVsMvA_39_0"/>
      <w:bookmarkStart w:id="886" w:name="Tc_hxg2Lv_j7UuUdQ_tjZha1w_38_0"/>
      <w:bookmarkStart w:id="887" w:name="Tc_GsussOLf4Ui6FY4rhQvd1A_37_0"/>
      <w:bookmarkStart w:id="888" w:name="Tc_1yhQM2obqUe1-UJHABdOKQ_36_0"/>
      <w:bookmarkStart w:id="889" w:name="Tc_wxyTaAoVZkiiS7KarWSobg_35_0"/>
      <w:bookmarkStart w:id="890" w:name="Tc_JJvRiRJJNEKAeU6vXXLXhQ_34_0"/>
      <w:bookmarkStart w:id="891" w:name="Tc_L5T2aKz7YUSFzYNI_bcerg_33_0"/>
      <w:bookmarkStart w:id="892" w:name="Tc_UnJDRT2MTkerh4u25AFh4g_32_6"/>
      <w:bookmarkStart w:id="893" w:name="Tc__CxWFB2qaEy60EGw-PuGdw_32_0"/>
      <w:bookmarkStart w:id="894" w:name="Tc_AQ8BR4KCyEGEKky5wwFXjg_31_0"/>
      <w:bookmarkStart w:id="895" w:name="Tc_MmTkVvZU_kG1UzjFY4pu0g_30_0"/>
      <w:bookmarkStart w:id="896" w:name="Tc_wwa7iSLi-UamVjNQNy14CA_29_0"/>
      <w:bookmarkStart w:id="897" w:name="Tc_IGVaqqcSm0C0YyCZ_2CM_w_28_0"/>
      <w:bookmarkStart w:id="898" w:name="Tc_m4hB7g4Mtk-afYOFyZgLXg_27_0"/>
      <w:bookmarkStart w:id="899" w:name="Tc_lnOcUbXLTEi-o2L3cIGLxA_26_0"/>
      <w:bookmarkStart w:id="900" w:name="Tc_YuXn-uSeSEaINoet20GYmg_25_0"/>
      <w:bookmarkStart w:id="901" w:name="Tc_z68fxWioqU6yx9fZ1Htssg_24_0"/>
      <w:bookmarkStart w:id="902" w:name="Tc_SY3TPfkGe06N7kTglASBsA_23_0"/>
      <w:bookmarkStart w:id="903" w:name="Tc_5vFpdtjTpkejMloN7IuLhQ_22_0"/>
      <w:bookmarkStart w:id="904" w:name="Tc__c-uHsd8u06eWaV6qlbYOw_21_0"/>
      <w:bookmarkStart w:id="905" w:name="Tc_QlOgcSu-906M7Fw9Bu4JDQ_20_3"/>
      <w:bookmarkStart w:id="906" w:name="Tc_ho7SwSLkgUGH5QAELI4EGg_20_0"/>
      <w:bookmarkStart w:id="907" w:name="Tc_1ZL1F2IxiUqPLvuuP_GyWw_19_0"/>
      <w:bookmarkStart w:id="908" w:name="Tc_85Lq2C12zk6ZUwa0kg3XiQ_18_0"/>
      <w:bookmarkStart w:id="909" w:name="Tc_3qCLn-v_uEqc-9naD1lu9A_17_0"/>
      <w:bookmarkStart w:id="910" w:name="Tc_QyR3ckhpkESiFXPXsadAhg_16_0"/>
      <w:bookmarkStart w:id="911" w:name="Tc_CqdvF-rAskCd_979R5GJeQ_15_0"/>
      <w:bookmarkStart w:id="912" w:name="Tc_0EZ1uVSnsUqkbk9ZLQG9lg_14_0"/>
      <w:bookmarkStart w:id="913" w:name="Tc_42uEXaUdmU66bhFasRIbhA_13_6"/>
      <w:bookmarkStart w:id="914" w:name="Tc_0h4fasszXEuV2rCCgT9WWA_13_0"/>
      <w:bookmarkStart w:id="915" w:name="Tc_jonsLWvKO0K2XUIxHW1pxQ_12_3"/>
      <w:bookmarkStart w:id="916" w:name="Tc_gQBeDV8UAE-gOjQXz1B34A_12_0"/>
      <w:bookmarkStart w:id="917" w:name="Tc_Io0y58Phfkii2dNhQVBwYQ_11_6"/>
      <w:bookmarkStart w:id="918" w:name="Tc_b3W100GFMEq2EoiZuIYTYQ_11_0"/>
      <w:bookmarkStart w:id="919" w:name="Tc_8NfyWD2zk0mJk7ah6XMJkg_10_6"/>
      <w:bookmarkStart w:id="920" w:name="Tc_ClxPI1_L5UeYpxeKztwdwA_10_0"/>
      <w:bookmarkStart w:id="921" w:name="Tc_YV-gSC4LEkCMXvino4CrRg_9_3"/>
      <w:bookmarkStart w:id="922" w:name="Tc_OpdBoCJ3_ECxqMu9NizLmA_9_0"/>
      <w:bookmarkStart w:id="923" w:name="Tc_dHJlBZOW_kKxeJVpjBhjdg_8_0"/>
      <w:bookmarkStart w:id="924" w:name="Tc_-ypW6tO6eUSap-A0lH3EXg_7_0"/>
      <w:bookmarkStart w:id="925" w:name="Tc_Hul663vd0UipLXMy4Ae2lg_6_0"/>
      <w:bookmarkStart w:id="926" w:name="Tc_iuri4XaJc062WgwLGz97eA_5_0"/>
      <w:bookmarkStart w:id="927" w:name="Tc_2wjRc6QsMUSfzqabIN0yDQ_4_5"/>
      <w:bookmarkStart w:id="928" w:name="Tc_ghCJIpbeqECJL3eTTIj11g_4_2"/>
      <w:bookmarkStart w:id="929" w:name="Tc_OD59ezz_3EK13VFlNcJ6zQ_4_0"/>
      <w:bookmarkStart w:id="930" w:name="Tc_qiAzLMvxjE-YiPz593iKFQ_3_0"/>
      <w:bookmarkStart w:id="931" w:name="Tc_iPZilVsWP0aioSnqreVcmA_2_5"/>
      <w:bookmarkStart w:id="932" w:name="Tc_I2tmWvwQF0KPaiWJq2YcuQ_2_2"/>
      <w:bookmarkStart w:id="933" w:name="Tc__D6eXPT-YEGYk4eX6ziFjA_1_2"/>
      <w:bookmarkStart w:id="934" w:name="_d58c3c4a_e792_4381_bb17_8d1295cb5c7e"/>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p>
    <w:tbl>
      <w:tblPr>
        <w:tblW w:w="10205" w:type="dxa"/>
        <w:jc w:val="left"/>
        <w:tblInd w:w="0" w:type="dxa"/>
        <w:tblLayout w:type="fixed"/>
        <w:tblCellMar>
          <w:top w:w="0" w:type="dxa"/>
          <w:left w:w="0" w:type="dxa"/>
          <w:bottom w:w="0" w:type="dxa"/>
          <w:right w:w="0" w:type="dxa"/>
        </w:tblCellMar>
      </w:tblPr>
      <w:tblGrid>
        <w:gridCol w:w="7948"/>
        <w:gridCol w:w="109"/>
        <w:gridCol w:w="201"/>
        <w:gridCol w:w="831"/>
        <w:gridCol w:w="111"/>
        <w:gridCol w:w="201"/>
        <w:gridCol w:w="804"/>
      </w:tblGrid>
      <w:tr>
        <w:trPr/>
        <w:tc>
          <w:tcPr>
            <w:tcW w:w="794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110" name="Frame1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27635" cy="175260"/>
                      <wp:effectExtent l="0" t="0" r="0" b="0"/>
                      <wp:wrapNone/>
                      <wp:docPr id="111" name="Frame111"/>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27685" cy="175260"/>
                      <wp:effectExtent l="0" t="0" r="0" b="0"/>
                      <wp:wrapNone/>
                      <wp:docPr id="112" name="Frame112"/>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70485" cy="175260"/>
                      <wp:effectExtent l="0" t="0" r="0" b="0"/>
                      <wp:wrapNone/>
                      <wp:docPr id="113" name="Frame113"/>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27635" cy="175260"/>
                      <wp:effectExtent l="0" t="0" r="0" b="0"/>
                      <wp:wrapNone/>
                      <wp:docPr id="114" name="Frame114"/>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10540" cy="175260"/>
                      <wp:effectExtent l="0" t="0" r="0" b="0"/>
                      <wp:wrapNone/>
                      <wp:docPr id="115" name="Frame115"/>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94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4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June 30, </w:t>
            </w:r>
          </w:p>
        </w:tc>
      </w:tr>
      <w:tr>
        <w:trPr/>
        <w:tc>
          <w:tcPr>
            <w:tcW w:w="794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1" w:type="dxa"/>
            <w:tcBorders/>
            <w:vAlign w:val="center"/>
          </w:tcPr>
          <w:p>
            <w:pPr>
              <w:pStyle w:val="TableContents"/>
              <w:bidi w:val="0"/>
              <w:spacing w:before="0" w:after="0"/>
              <w:ind w:left="0" w:right="0" w:hanging="0"/>
              <w:jc w:val="left"/>
              <w:rPr/>
            </w:pPr>
            <w:r>
              <w:rPr/>
              <w:t>​</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9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 from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lef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left"/>
              <w:rPr/>
            </w:pPr>
            <w:r>
              <w:rPr/>
              <w:t>​</w:t>
            </w:r>
          </w:p>
        </w:tc>
      </w:tr>
      <w:tr>
        <w:trPr/>
        <w:tc>
          <w:tcPr>
            <w:tcW w:w="794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 Attributable to the Company</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21,317 </w:t>
            </w:r>
          </w:p>
        </w:tc>
        <w:tc>
          <w:tcPr>
            <w:tcW w:w="111"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(21,157)</w:t>
            </w:r>
          </w:p>
        </w:tc>
      </w:tr>
      <w:tr>
        <w:trPr/>
        <w:tc>
          <w:tcPr>
            <w:tcW w:w="79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(Loss) Attributable to the Company to Net Cash Provided by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lef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left"/>
              <w:rPr/>
            </w:pPr>
            <w:r>
              <w:rPr/>
              <w:t>​</w:t>
            </w:r>
          </w:p>
        </w:tc>
      </w:tr>
      <w:tr>
        <w:trPr/>
        <w:tc>
          <w:tcPr>
            <w:tcW w:w="794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31,803 </w:t>
            </w:r>
          </w:p>
        </w:tc>
        <w:tc>
          <w:tcPr>
            <w:tcW w:w="111"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29,658 </w:t>
            </w:r>
          </w:p>
        </w:tc>
      </w:tr>
      <w:tr>
        <w:trPr/>
        <w:tc>
          <w:tcPr>
            <w:tcW w:w="79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 Assets and Liabilities to Income Property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(1,609)</w:t>
            </w:r>
          </w:p>
        </w:tc>
        <w:tc>
          <w:tcPr>
            <w:tcW w:w="111"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(716)</w:t>
            </w:r>
          </w:p>
        </w:tc>
      </w:tr>
      <w:tr>
        <w:trPr/>
        <w:tc>
          <w:tcPr>
            <w:tcW w:w="794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Amortization of Deferred Financing Costs to Interest Expense </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668 </w:t>
            </w:r>
          </w:p>
        </w:tc>
        <w:tc>
          <w:tcPr>
            <w:tcW w:w="111"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639 </w:t>
            </w:r>
          </w:p>
        </w:tc>
      </w:tr>
      <w:tr>
        <w:trPr/>
        <w:tc>
          <w:tcPr>
            <w:tcW w:w="79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Discount on Convertible Debt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45 </w:t>
            </w:r>
          </w:p>
        </w:tc>
      </w:tr>
      <w:tr>
        <w:trPr/>
        <w:tc>
          <w:tcPr>
            <w:tcW w:w="794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Disposition of Real Estate and Intangible Lease Assets and Liabilities</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(1,418)</w:t>
            </w:r>
          </w:p>
        </w:tc>
        <w:tc>
          <w:tcPr>
            <w:tcW w:w="111"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pPr>
            <w:r>
              <w:rPr/>
              <w:t>—</w:t>
            </w:r>
          </w:p>
        </w:tc>
      </w:tr>
      <w:tr>
        <w:trPr/>
        <w:tc>
          <w:tcPr>
            <w:tcW w:w="79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Disposition of Assets Held for Sale</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(689)</w:t>
            </w:r>
          </w:p>
        </w:tc>
        <w:tc>
          <w:tcPr>
            <w:tcW w:w="111"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pPr>
            <w:r>
              <w:rPr/>
              <w:t>—</w:t>
            </w:r>
          </w:p>
        </w:tc>
      </w:tr>
      <w:tr>
        <w:trPr/>
        <w:tc>
          <w:tcPr>
            <w:tcW w:w="794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Extinguishment of Debt</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20,396</w:t>
            </w:r>
          </w:p>
        </w:tc>
      </w:tr>
      <w:tr>
        <w:trPr/>
        <w:tc>
          <w:tcPr>
            <w:tcW w:w="79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Impairment and Adjustment to CECL Reserve</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763 </w:t>
            </w:r>
          </w:p>
        </w:tc>
        <w:tc>
          <w:tcPr>
            <w:tcW w:w="111"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pPr>
            <w:r>
              <w:rPr/>
              <w:t>—</w:t>
            </w:r>
          </w:p>
        </w:tc>
      </w:tr>
      <w:tr>
        <w:trPr/>
        <w:tc>
          <w:tcPr>
            <w:tcW w:w="794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of Commercial Loans and Investments Origination Fees</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(769)</w:t>
            </w:r>
          </w:p>
        </w:tc>
        <w:tc>
          <w:tcPr>
            <w:tcW w:w="111"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w:t>
            </w:r>
          </w:p>
        </w:tc>
      </w:tr>
      <w:tr>
        <w:trPr/>
        <w:tc>
          <w:tcPr>
            <w:tcW w:w="79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Non-Cash Imputed Interest </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111"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r>
      <w:tr>
        <w:trPr/>
        <w:tc>
          <w:tcPr>
            <w:tcW w:w="794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1,003</w:t>
            </w:r>
          </w:p>
        </w:tc>
        <w:tc>
          <w:tcPr>
            <w:tcW w:w="111"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r>
      <w:tr>
        <w:trPr/>
        <w:tc>
          <w:tcPr>
            <w:tcW w:w="79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Loss (Gain) on Investment Securities</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(11,795)</w:t>
            </w:r>
          </w:p>
        </w:tc>
        <w:tc>
          <w:tcPr>
            <w:tcW w:w="111"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4,798</w:t>
            </w:r>
          </w:p>
        </w:tc>
      </w:tr>
      <w:tr>
        <w:trPr/>
        <w:tc>
          <w:tcPr>
            <w:tcW w:w="794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Compensation</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2,522 </w:t>
            </w:r>
          </w:p>
        </w:tc>
        <w:tc>
          <w:tcPr>
            <w:tcW w:w="111"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2,286 </w:t>
            </w:r>
          </w:p>
        </w:tc>
      </w:tr>
      <w:tr>
        <w:trPr/>
        <w:tc>
          <w:tcPr>
            <w:tcW w:w="79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Decrease (Increase) in Assets:</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lef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left"/>
              <w:rPr/>
            </w:pPr>
            <w:r>
              <w:rPr/>
              <w:t>​</w:t>
            </w:r>
          </w:p>
        </w:tc>
      </w:tr>
      <w:tr>
        <w:trPr/>
        <w:tc>
          <w:tcPr>
            <w:tcW w:w="794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Refundable Income Taxes</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w:t>
            </w:r>
          </w:p>
        </w:tc>
      </w:tr>
      <w:tr>
        <w:trPr/>
        <w:tc>
          <w:tcPr>
            <w:tcW w:w="79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(5,138)</w:t>
            </w:r>
          </w:p>
        </w:tc>
        <w:tc>
          <w:tcPr>
            <w:tcW w:w="111"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(1,708)</w:t>
            </w:r>
          </w:p>
        </w:tc>
      </w:tr>
      <w:tr>
        <w:trPr/>
        <w:tc>
          <w:tcPr>
            <w:tcW w:w="794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Increase (Decrease) in Liabilities:</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left"/>
              <w:rPr/>
            </w:pPr>
            <w:r>
              <w:rPr/>
              <w:t>​</w:t>
            </w:r>
          </w:p>
        </w:tc>
      </w:tr>
      <w:tr>
        <w:trPr/>
        <w:tc>
          <w:tcPr>
            <w:tcW w:w="79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534 </w:t>
            </w:r>
          </w:p>
        </w:tc>
        <w:tc>
          <w:tcPr>
            <w:tcW w:w="111"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(1,051)</w:t>
            </w:r>
          </w:p>
        </w:tc>
      </w:tr>
      <w:tr>
        <w:trPr/>
        <w:tc>
          <w:tcPr>
            <w:tcW w:w="794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and Other Liabilities</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(619)</w:t>
            </w:r>
          </w:p>
        </w:tc>
        <w:tc>
          <w:tcPr>
            <w:tcW w:w="111"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(2,918)</w:t>
            </w:r>
          </w:p>
        </w:tc>
      </w:tr>
      <w:tr>
        <w:trPr/>
        <w:tc>
          <w:tcPr>
            <w:tcW w:w="79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(2,014)</w:t>
            </w:r>
          </w:p>
        </w:tc>
        <w:tc>
          <w:tcPr>
            <w:tcW w:w="111"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(2,572)</w:t>
            </w:r>
          </w:p>
        </w:tc>
      </w:tr>
      <w:tr>
        <w:trPr/>
        <w:tc>
          <w:tcPr>
            <w:tcW w:w="794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Payable</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22 </w:t>
            </w:r>
          </w:p>
        </w:tc>
        <w:tc>
          <w:tcPr>
            <w:tcW w:w="111"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r>
      <w:tr>
        <w:trPr/>
        <w:tc>
          <w:tcPr>
            <w:tcW w:w="79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34,576 </w:t>
            </w:r>
          </w:p>
        </w:tc>
        <w:tc>
          <w:tcPr>
            <w:tcW w:w="111"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27,451 </w:t>
            </w:r>
          </w:p>
        </w:tc>
      </w:tr>
      <w:tr>
        <w:trPr/>
        <w:tc>
          <w:tcPr>
            <w:tcW w:w="794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 from Investing Activities:</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left"/>
              <w:rPr/>
            </w:pPr>
            <w:r>
              <w:rPr/>
              <w:t>​</w:t>
            </w:r>
          </w:p>
        </w:tc>
      </w:tr>
      <w:tr>
        <w:trPr/>
        <w:tc>
          <w:tcPr>
            <w:tcW w:w="79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Real Estate and Intangible Lease Assets and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(138,120)</w:t>
            </w:r>
          </w:p>
        </w:tc>
        <w:tc>
          <w:tcPr>
            <w:tcW w:w="111"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(80,022)</w:t>
            </w:r>
          </w:p>
        </w:tc>
      </w:tr>
      <w:tr>
        <w:trPr/>
        <w:tc>
          <w:tcPr>
            <w:tcW w:w="794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Investments in and Improvements to Real Estate</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(12,745)</w:t>
            </w:r>
          </w:p>
        </w:tc>
        <w:tc>
          <w:tcPr>
            <w:tcW w:w="111"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(1,062)</w:t>
            </w:r>
          </w:p>
        </w:tc>
      </w:tr>
      <w:tr>
        <w:trPr/>
        <w:tc>
          <w:tcPr>
            <w:tcW w:w="79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Commercial Loans and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(112,579)</w:t>
            </w:r>
          </w:p>
        </w:tc>
        <w:tc>
          <w:tcPr>
            <w:tcW w:w="111"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(6,405)</w:t>
            </w:r>
          </w:p>
        </w:tc>
      </w:tr>
      <w:tr>
        <w:trPr/>
        <w:tc>
          <w:tcPr>
            <w:tcW w:w="794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Disposition of Property, Plant, and Equipment, and Assets Held for Sale</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89,905</w:t>
            </w:r>
          </w:p>
        </w:tc>
        <w:tc>
          <w:tcPr>
            <w:tcW w:w="111"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pPr>
            <w:r>
              <w:rPr/>
              <w:t>—</w:t>
            </w:r>
          </w:p>
        </w:tc>
      </w:tr>
      <w:tr>
        <w:trPr/>
        <w:tc>
          <w:tcPr>
            <w:tcW w:w="79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Payments Received on Commercial Loans and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30,000</w:t>
            </w:r>
          </w:p>
        </w:tc>
        <w:tc>
          <w:tcPr>
            <w:tcW w:w="111"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5,638</w:t>
            </w:r>
          </w:p>
        </w:tc>
      </w:tr>
      <w:tr>
        <w:trPr/>
        <w:tc>
          <w:tcPr>
            <w:tcW w:w="794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Received for Commercial Loan Reserves</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8,107</w:t>
            </w:r>
          </w:p>
        </w:tc>
        <w:tc>
          <w:tcPr>
            <w:tcW w:w="111"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4,786</w:t>
            </w:r>
          </w:p>
        </w:tc>
      </w:tr>
      <w:tr>
        <w:trPr/>
        <w:tc>
          <w:tcPr>
            <w:tcW w:w="79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Investment Securities</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(8,743)</w:t>
            </w:r>
          </w:p>
        </w:tc>
        <w:tc>
          <w:tcPr>
            <w:tcW w:w="111"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(7,218)</w:t>
            </w:r>
          </w:p>
        </w:tc>
      </w:tr>
      <w:tr>
        <w:trPr/>
        <w:tc>
          <w:tcPr>
            <w:tcW w:w="794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the Sale of Investment Securities</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3,554</w:t>
            </w:r>
          </w:p>
        </w:tc>
        <w:tc>
          <w:tcPr>
            <w:tcW w:w="111"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620</w:t>
            </w:r>
          </w:p>
        </w:tc>
      </w:tr>
      <w:tr>
        <w:trPr/>
        <w:tc>
          <w:tcPr>
            <w:tcW w:w="79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(140,621)</w:t>
            </w:r>
          </w:p>
        </w:tc>
        <w:tc>
          <w:tcPr>
            <w:tcW w:w="111"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(83,663)</w:t>
            </w:r>
          </w:p>
        </w:tc>
      </w:tr>
      <w:tr>
        <w:trPr/>
        <w:tc>
          <w:tcPr>
            <w:tcW w:w="794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 From Financing Activities:</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left"/>
              <w:rPr/>
            </w:pPr>
            <w:r>
              <w:rPr/>
              <w:t>​</w:t>
            </w:r>
          </w:p>
        </w:tc>
      </w:tr>
      <w:tr>
        <w:trPr/>
        <w:tc>
          <w:tcPr>
            <w:tcW w:w="79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255,000 </w:t>
            </w:r>
          </w:p>
        </w:tc>
        <w:tc>
          <w:tcPr>
            <w:tcW w:w="111"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157,000 </w:t>
            </w:r>
          </w:p>
        </w:tc>
      </w:tr>
      <w:tr>
        <w:trPr/>
        <w:tc>
          <w:tcPr>
            <w:tcW w:w="794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on Long-Term Debt</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(213,000)</w:t>
            </w:r>
          </w:p>
        </w:tc>
        <w:tc>
          <w:tcPr>
            <w:tcW w:w="111"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(56,272)</w:t>
            </w:r>
          </w:p>
        </w:tc>
      </w:tr>
      <w:tr>
        <w:trPr/>
        <w:tc>
          <w:tcPr>
            <w:tcW w:w="79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Loan Fees</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111"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w:t>
            </w:r>
          </w:p>
        </w:tc>
      </w:tr>
      <w:tr>
        <w:trPr/>
        <w:tc>
          <w:tcPr>
            <w:tcW w:w="794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Proceeds from Common Stock Issuance</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450 </w:t>
            </w:r>
          </w:p>
        </w:tc>
        <w:tc>
          <w:tcPr>
            <w:tcW w:w="111"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490</w:t>
            </w:r>
          </w:p>
        </w:tc>
      </w:tr>
      <w:tr>
        <w:trPr/>
        <w:tc>
          <w:tcPr>
            <w:tcW w:w="79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Used to Purchase Common Stock</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w:t>
            </w:r>
          </w:p>
        </w:tc>
      </w:tr>
      <w:tr>
        <w:trPr/>
        <w:tc>
          <w:tcPr>
            <w:tcW w:w="794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Vesting of Restricted Stock</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(1,249)</w:t>
            </w:r>
          </w:p>
        </w:tc>
        <w:tc>
          <w:tcPr>
            <w:tcW w:w="111"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(1,034)</w:t>
            </w:r>
          </w:p>
        </w:tc>
      </w:tr>
      <w:tr>
        <w:trPr/>
        <w:tc>
          <w:tcPr>
            <w:tcW w:w="79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(Cash Paid for) Issuance of Common and Preferred Stock, Net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97,458 </w:t>
            </w:r>
          </w:p>
        </w:tc>
        <w:tc>
          <w:tcPr>
            <w:tcW w:w="111"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w:t>
            </w:r>
          </w:p>
        </w:tc>
      </w:tr>
      <w:tr>
        <w:trPr/>
        <w:tc>
          <w:tcPr>
            <w:tcW w:w="794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Premium Related to Settlement of 2025 Notes</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(14,110)</w:t>
            </w:r>
          </w:p>
        </w:tc>
      </w:tr>
      <w:tr>
        <w:trPr/>
        <w:tc>
          <w:tcPr>
            <w:tcW w:w="79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Paid - Preferred Stock</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(3,756)</w:t>
            </w:r>
          </w:p>
        </w:tc>
        <w:tc>
          <w:tcPr>
            <w:tcW w:w="111"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(3,756)</w:t>
            </w:r>
          </w:p>
        </w:tc>
      </w:tr>
      <w:tr>
        <w:trPr/>
        <w:tc>
          <w:tcPr>
            <w:tcW w:w="794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Paid - Common Stock</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(26,464)</w:t>
            </w:r>
          </w:p>
        </w:tc>
        <w:tc>
          <w:tcPr>
            <w:tcW w:w="111"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(24,430)</w:t>
            </w:r>
          </w:p>
        </w:tc>
      </w:tr>
      <w:tr>
        <w:trPr/>
        <w:tc>
          <w:tcPr>
            <w:tcW w:w="79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Financing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108,429 </w:t>
            </w:r>
          </w:p>
        </w:tc>
        <w:tc>
          <w:tcPr>
            <w:tcW w:w="111"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57,693 </w:t>
            </w:r>
          </w:p>
        </w:tc>
      </w:tr>
      <w:tr>
        <w:trPr/>
        <w:tc>
          <w:tcPr>
            <w:tcW w:w="794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Increase in Cash, Cash Equivalents and Restricted Cash</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2,384 </w:t>
            </w:r>
          </w:p>
        </w:tc>
        <w:tc>
          <w:tcPr>
            <w:tcW w:w="111"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1,481 </w:t>
            </w:r>
          </w:p>
        </w:tc>
      </w:tr>
      <w:tr>
        <w:trPr/>
        <w:tc>
          <w:tcPr>
            <w:tcW w:w="79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41,119 </w:t>
            </w:r>
          </w:p>
        </w:tc>
        <w:tc>
          <w:tcPr>
            <w:tcW w:w="111"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17,361 </w:t>
            </w:r>
          </w:p>
        </w:tc>
      </w:tr>
      <w:tr>
        <w:trPr/>
        <w:tc>
          <w:tcPr>
            <w:tcW w:w="794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End of Period</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43,503 </w:t>
            </w:r>
          </w:p>
        </w:tc>
        <w:tc>
          <w:tcPr>
            <w:tcW w:w="111" w:type="dxa"/>
            <w:tcBorders/>
            <w:vAlign w:val="center"/>
          </w:tcPr>
          <w:p>
            <w:pPr>
              <w:pStyle w:val="TableContents"/>
              <w:bidi w:val="0"/>
              <w:spacing w:before="0" w:after="0"/>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18,842 </w:t>
            </w:r>
          </w:p>
        </w:tc>
      </w:tr>
      <w:tr>
        <w:trPr/>
        <w:tc>
          <w:tcPr>
            <w:tcW w:w="794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lef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left"/>
              <w:rPr/>
            </w:pPr>
            <w:r>
              <w:rPr/>
              <w:t>​</w:t>
            </w:r>
          </w:p>
        </w:tc>
      </w:tr>
      <w:tr>
        <w:trPr/>
        <w:tc>
          <w:tcPr>
            <w:tcW w:w="794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Reconciliation of Cash to the Consolidated Balance Sheets:</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left"/>
              <w:rPr/>
            </w:pPr>
            <w:r>
              <w:rPr/>
              <w:t>​</w:t>
            </w:r>
          </w:p>
        </w:tc>
      </w:tr>
      <w:tr>
        <w:trPr/>
        <w:tc>
          <w:tcPr>
            <w:tcW w:w="79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8,056 </w:t>
            </w:r>
          </w:p>
        </w:tc>
        <w:tc>
          <w:tcPr>
            <w:tcW w:w="111"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8,551 </w:t>
            </w:r>
          </w:p>
        </w:tc>
      </w:tr>
      <w:tr>
        <w:trPr/>
        <w:tc>
          <w:tcPr>
            <w:tcW w:w="794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35,447 </w:t>
            </w:r>
          </w:p>
        </w:tc>
        <w:tc>
          <w:tcPr>
            <w:tcW w:w="111"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10,291 </w:t>
            </w:r>
          </w:p>
        </w:tc>
      </w:tr>
      <w:tr>
        <w:trPr/>
        <w:tc>
          <w:tcPr>
            <w:tcW w:w="79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Cash </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43,503 </w:t>
            </w:r>
          </w:p>
        </w:tc>
        <w:tc>
          <w:tcPr>
            <w:tcW w:w="111"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 xml:space="preserve">18,842 </w:t>
            </w:r>
          </w:p>
        </w:tc>
      </w:tr>
    </w:tbl>
    <w:p>
      <w:pPr>
        <w:pStyle w:val="TextBody"/>
        <w:bidi w:val="0"/>
        <w:spacing w:before="4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CTO REALTY GROWTH,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 STATEMENTS OF CASH FLOWS (Continued)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935" w:name="Tc_En0HDkJ2V0iWoktsjr40XQ_11_5"/>
      <w:bookmarkStart w:id="936" w:name="Tc_ssDwhjaVL0C-QFlzVwdcrw_11_3"/>
      <w:bookmarkStart w:id="937" w:name="Tc_1zuVjyl8506_Txu6M9zw2g_11_2"/>
      <w:bookmarkStart w:id="938" w:name="Tc_0Fr5AsJFLE6tP84CA4GxeQ_11_0"/>
      <w:bookmarkStart w:id="939" w:name="Tc_Kzde4CKPYkafA-JjSUhosA_10_5"/>
      <w:bookmarkStart w:id="940" w:name="Tc_Z0DE2_2a9E6kyaQ7BHYtTw_10_3"/>
      <w:bookmarkStart w:id="941" w:name="Tc_cNZ_n10K_kuxcjiF-0CyxA_10_2"/>
      <w:bookmarkStart w:id="942" w:name="Tc_6wSnWdjH7kqfBwWAokKs-A_10_0"/>
      <w:bookmarkStart w:id="943" w:name="Tc_3TfHzf82o0SW_jV6Mz_alw_9_5"/>
      <w:bookmarkStart w:id="944" w:name="Tc_qTsgHc5rlEyaOa9-NmeCgA_9_2"/>
      <w:bookmarkStart w:id="945" w:name="Tc_ekPZzYQ-zUOZEUuXdweH_Q_9_0"/>
      <w:bookmarkStart w:id="946" w:name="Tc_LsAMDYSal0eRWbNdS6-vcA_8_5"/>
      <w:bookmarkStart w:id="947" w:name="Tc_Qc3jz2eZ6kCQIzrewr8BJw_8_2"/>
      <w:bookmarkStart w:id="948" w:name="Tc_GmV_0qdvwEidQ_RvU3FWeg_8_0"/>
      <w:bookmarkStart w:id="949" w:name="Tc_oxZyIFpazkia3ZAPl2BmMQ_7_0"/>
      <w:bookmarkStart w:id="950" w:name="Tc_iA25o-ZdmE6G4jRtbPFrDg_5_5"/>
      <w:bookmarkStart w:id="951" w:name="Tc_0a2GuuLYBUSm-F4z3hH15Q_5_2"/>
      <w:bookmarkStart w:id="952" w:name="Tc_4nZWL-JjcEG3dQC6a2DBkA_5_0"/>
      <w:bookmarkStart w:id="953" w:name="Tc_6CEuBoYWGUaEYbMkINr8eA_4_5"/>
      <w:bookmarkStart w:id="954" w:name="Tc_MT27WvNk30mTjsp8Fo6dlA_4_2"/>
      <w:bookmarkStart w:id="955" w:name="Tc_TVoibqFbP0uophCuCB12og_4_0"/>
      <w:bookmarkStart w:id="956" w:name="Tc_6oMMmSedNk-t1_SLEXE9Gg_3_0"/>
      <w:bookmarkStart w:id="957" w:name="Tc_5K_gfGPy7kutQOCrWB8HYw_2_5"/>
      <w:bookmarkStart w:id="958" w:name="Tc_CNJIRU6hb06XmB3nl3obXg_2_2"/>
      <w:bookmarkStart w:id="959" w:name="Tc_a7YdBk9NskSJDvet8nZeYw_1_2"/>
      <w:bookmarkStart w:id="960" w:name="_ed239678_fcf7_49bd_b13d_315aa7dd1621"/>
      <w:bookmarkStart w:id="961" w:name="Tc_En0HDkJ2V0iWoktsjr40XQ_11_5"/>
      <w:bookmarkStart w:id="962" w:name="Tc_ssDwhjaVL0C-QFlzVwdcrw_11_3"/>
      <w:bookmarkStart w:id="963" w:name="Tc_1zuVjyl8506_Txu6M9zw2g_11_2"/>
      <w:bookmarkStart w:id="964" w:name="Tc_0Fr5AsJFLE6tP84CA4GxeQ_11_0"/>
      <w:bookmarkStart w:id="965" w:name="Tc_Kzde4CKPYkafA-JjSUhosA_10_5"/>
      <w:bookmarkStart w:id="966" w:name="Tc_Z0DE2_2a9E6kyaQ7BHYtTw_10_3"/>
      <w:bookmarkStart w:id="967" w:name="Tc_cNZ_n10K_kuxcjiF-0CyxA_10_2"/>
      <w:bookmarkStart w:id="968" w:name="Tc_6wSnWdjH7kqfBwWAokKs-A_10_0"/>
      <w:bookmarkStart w:id="969" w:name="Tc_3TfHzf82o0SW_jV6Mz_alw_9_5"/>
      <w:bookmarkStart w:id="970" w:name="Tc_qTsgHc5rlEyaOa9-NmeCgA_9_2"/>
      <w:bookmarkStart w:id="971" w:name="Tc_ekPZzYQ-zUOZEUuXdweH_Q_9_0"/>
      <w:bookmarkStart w:id="972" w:name="Tc_LsAMDYSal0eRWbNdS6-vcA_8_5"/>
      <w:bookmarkStart w:id="973" w:name="Tc_Qc3jz2eZ6kCQIzrewr8BJw_8_2"/>
      <w:bookmarkStart w:id="974" w:name="Tc_GmV_0qdvwEidQ_RvU3FWeg_8_0"/>
      <w:bookmarkStart w:id="975" w:name="Tc_oxZyIFpazkia3ZAPl2BmMQ_7_0"/>
      <w:bookmarkStart w:id="976" w:name="Tc_iA25o-ZdmE6G4jRtbPFrDg_5_5"/>
      <w:bookmarkStart w:id="977" w:name="Tc_0a2GuuLYBUSm-F4z3hH15Q_5_2"/>
      <w:bookmarkStart w:id="978" w:name="Tc_4nZWL-JjcEG3dQC6a2DBkA_5_0"/>
      <w:bookmarkStart w:id="979" w:name="Tc_6CEuBoYWGUaEYbMkINr8eA_4_5"/>
      <w:bookmarkStart w:id="980" w:name="Tc_MT27WvNk30mTjsp8Fo6dlA_4_2"/>
      <w:bookmarkStart w:id="981" w:name="Tc_TVoibqFbP0uophCuCB12og_4_0"/>
      <w:bookmarkStart w:id="982" w:name="Tc_6oMMmSedNk-t1_SLEXE9Gg_3_0"/>
      <w:bookmarkStart w:id="983" w:name="Tc_5K_gfGPy7kutQOCrWB8HYw_2_5"/>
      <w:bookmarkStart w:id="984" w:name="Tc_CNJIRU6hb06XmB3nl3obXg_2_2"/>
      <w:bookmarkStart w:id="985" w:name="Tc_a7YdBk9NskSJDvet8nZeYw_1_2"/>
      <w:bookmarkStart w:id="986" w:name="_ed239678_fcf7_49bd_b13d_315aa7dd1621"/>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p>
    <w:tbl>
      <w:tblPr>
        <w:tblW w:w="7489" w:type="dxa"/>
        <w:jc w:val="left"/>
        <w:tblInd w:w="0" w:type="dxa"/>
        <w:tblLayout w:type="fixed"/>
        <w:tblCellMar>
          <w:top w:w="0" w:type="dxa"/>
          <w:left w:w="0" w:type="dxa"/>
          <w:bottom w:w="0" w:type="dxa"/>
          <w:right w:w="0" w:type="dxa"/>
        </w:tblCellMar>
      </w:tblPr>
      <w:tblGrid>
        <w:gridCol w:w="5221"/>
        <w:gridCol w:w="109"/>
        <w:gridCol w:w="226"/>
        <w:gridCol w:w="695"/>
        <w:gridCol w:w="126"/>
        <w:gridCol w:w="226"/>
        <w:gridCol w:w="886"/>
      </w:tblGrid>
      <w:tr>
        <w:trPr/>
        <w:tc>
          <w:tcPr>
            <w:tcW w:w="5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315335" cy="175260"/>
                      <wp:effectExtent l="0" t="0" r="0" b="0"/>
                      <wp:wrapNone/>
                      <wp:docPr id="116" name="Frame116"/>
                      <a:graphic xmlns:a="http://schemas.openxmlformats.org/drawingml/2006/main">
                        <a:graphicData uri="http://schemas.microsoft.com/office/word/2010/wordprocessingShape">
                          <wps:wsp>
                            <wps:cNvSpPr txBox="1"/>
                            <wps:spPr>
                              <a:xfrm>
                                <a:off x="0" y="0"/>
                                <a:ext cx="331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9215" cy="175260"/>
                      <wp:effectExtent l="0" t="0" r="0" b="0"/>
                      <wp:wrapNone/>
                      <wp:docPr id="117" name="Frame1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43510" cy="175260"/>
                      <wp:effectExtent l="0" t="0" r="0" b="0"/>
                      <wp:wrapNone/>
                      <wp:docPr id="118" name="Frame11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41325" cy="175260"/>
                      <wp:effectExtent l="0" t="0" r="0" b="0"/>
                      <wp:wrapNone/>
                      <wp:docPr id="119" name="Frame119"/>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80010" cy="175260"/>
                      <wp:effectExtent l="0" t="0" r="0" b="0"/>
                      <wp:wrapNone/>
                      <wp:docPr id="120" name="Frame120"/>
                      <a:graphic xmlns:a="http://schemas.openxmlformats.org/drawingml/2006/main">
                        <a:graphicData uri="http://schemas.microsoft.com/office/word/2010/wordprocessingShape">
                          <wps:wsp>
                            <wps:cNvSpPr txBox="1"/>
                            <wps:spPr>
                              <a:xfrm>
                                <a:off x="0" y="0"/>
                                <a:ext cx="80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43510" cy="175260"/>
                      <wp:effectExtent l="0" t="0" r="0" b="0"/>
                      <wp:wrapNone/>
                      <wp:docPr id="121" name="Frame12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62610" cy="175260"/>
                      <wp:effectExtent l="0" t="0" r="0" b="0"/>
                      <wp:wrapNone/>
                      <wp:docPr id="122" name="Frame12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June 30, </w:t>
            </w:r>
          </w:p>
        </w:tc>
      </w:tr>
      <w:tr>
        <w:trPr/>
        <w:tc>
          <w:tcPr>
            <w:tcW w:w="5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26"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Supplemental Disclosure of Cash Flow Information:</w:t>
            </w:r>
          </w:p>
        </w:tc>
        <w:tc>
          <w:tcPr>
            <w:tcW w:w="109"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left"/>
              <w:rPr/>
            </w:pPr>
            <w:r>
              <w:rPr/>
              <w:t>​</w:t>
            </w:r>
          </w:p>
        </w:tc>
        <w:tc>
          <w:tcPr>
            <w:tcW w:w="1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Taxes, Net of Refunds Received</w:t>
            </w:r>
          </w:p>
        </w:tc>
        <w:tc>
          <w:tcPr>
            <w:tcW w:w="10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w:t>
            </w:r>
          </w:p>
        </w:tc>
        <w:tc>
          <w:tcPr>
            <w:tcW w:w="1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w:t>
            </w:r>
          </w:p>
        </w:tc>
      </w:tr>
      <w:tr>
        <w:trPr/>
        <w:tc>
          <w:tcPr>
            <w:tcW w:w="52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Cash Paid for Interest </w:t>
            </w:r>
            <w:r>
              <w:rPr>
                <w:rFonts w:ascii="Times New Roman;Times;serif" w:hAnsi="Times New Roman;Times;serif"/>
                <w:sz w:val="12"/>
              </w:rPr>
              <w:t>(1)</w:t>
            </w:r>
          </w:p>
        </w:tc>
        <w:tc>
          <w:tcPr>
            <w:tcW w:w="109"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14,115</w:t>
            </w:r>
          </w:p>
        </w:tc>
        <w:tc>
          <w:tcPr>
            <w:tcW w:w="1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12,790</w:t>
            </w:r>
          </w:p>
        </w:tc>
      </w:tr>
      <w:tr>
        <w:trPr/>
        <w:tc>
          <w:tcPr>
            <w:tcW w:w="5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left"/>
              <w:rPr/>
            </w:pPr>
            <w:r>
              <w:rPr/>
              <w:t>​</w:t>
            </w:r>
          </w:p>
        </w:tc>
        <w:tc>
          <w:tcPr>
            <w:tcW w:w="1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Supplemental Disclosure of Non-Cash Investing and Financing Activities:</w:t>
            </w:r>
          </w:p>
        </w:tc>
        <w:tc>
          <w:tcPr>
            <w:tcW w:w="109"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1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(Loss) on Cash Flow Hedges</w:t>
            </w:r>
          </w:p>
        </w:tc>
        <w:tc>
          <w:tcPr>
            <w:tcW w:w="10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6,476</w:t>
            </w:r>
          </w:p>
        </w:tc>
        <w:tc>
          <w:tcPr>
            <w:tcW w:w="1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(11,196)</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Dividends Declared and Unpaid</w:t>
            </w:r>
          </w:p>
        </w:tc>
        <w:tc>
          <w:tcPr>
            <w:tcW w:w="109"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w:t>
            </w:r>
          </w:p>
        </w:tc>
        <w:tc>
          <w:tcPr>
            <w:tcW w:w="1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384</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Related to Settlement of 2025 Notes, Paid in Common Stock</w:t>
            </w:r>
          </w:p>
        </w:tc>
        <w:tc>
          <w:tcPr>
            <w:tcW w:w="10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5" w:type="dxa"/>
            <w:tcBorders/>
            <w:vAlign w:val="center"/>
          </w:tcPr>
          <w:p>
            <w:pPr>
              <w:pStyle w:val="TableContents"/>
              <w:bidi w:val="0"/>
              <w:spacing w:before="0" w:after="0"/>
              <w:ind w:left="0" w:right="0" w:hanging="0"/>
              <w:jc w:val="right"/>
              <w:rPr/>
            </w:pPr>
            <w:r>
              <w:rPr/>
              <w:t>—</w:t>
            </w:r>
          </w:p>
        </w:tc>
        <w:tc>
          <w:tcPr>
            <w:tcW w:w="1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14,762</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Premium Related to Settlement of 2025 Notes, Paid in Common Stock</w:t>
            </w:r>
          </w:p>
        </w:tc>
        <w:tc>
          <w:tcPr>
            <w:tcW w:w="109"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1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6,286</w:t>
            </w:r>
          </w:p>
        </w:tc>
      </w:tr>
    </w:tbl>
    <w:p>
      <w:pPr>
        <w:pStyle w:val="TextBody"/>
        <w:bidi w:val="0"/>
        <w:spacing w:lineRule="auto" w:line="240" w:before="0" w:after="0"/>
        <w:ind w:left="0" w:right="0" w:hanging="0"/>
        <w:jc w:val="both"/>
        <w:rPr/>
      </w:pPr>
      <w:r>
        <w:rPr>
          <w:shd w:fill="FFFFFF" w:val="clear"/>
        </w:rPr>
        <w:t>​</w:t>
      </w:r>
      <w:r>
        <w:rPr>
          <w:rFonts w:ascii="Times New Roman;Times;serif" w:hAnsi="Times New Roman;Times;serif"/>
          <w:sz w:val="9"/>
          <w:shd w:fill="FFFFFF" w:val="clear"/>
        </w:rPr>
        <w:br/>
      </w:r>
      <w:r>
        <w:rPr>
          <w:rFonts w:ascii="Times New Roman;Times;serif" w:hAnsi="Times New Roman;Times;serif"/>
          <w:sz w:val="12"/>
          <w:shd w:fill="FFFFFF" w:val="clear"/>
        </w:rPr>
        <w:t>(1)     </w:t>
      </w:r>
      <w:r>
        <w:rPr>
          <w:rFonts w:ascii="Times New Roman;Times;serif" w:hAnsi="Times New Roman;Times;serif"/>
          <w:sz w:val="14"/>
        </w:rPr>
        <w:t>Includes capitalized interest of $0.3</w:t>
      </w:r>
      <w:r>
        <w:rPr>
          <w:rFonts w:ascii="Times New Roman;Times;serif" w:hAnsi="Times New Roman;Times;serif"/>
          <w:sz w:val="12"/>
        </w:rPr>
        <w:t> </w:t>
      </w:r>
      <w:r>
        <w:rPr>
          <w:rFonts w:ascii="Times New Roman;Times;serif" w:hAnsi="Times New Roman;Times;serif"/>
          <w:sz w:val="14"/>
        </w:rPr>
        <w:t>million during the six months ended June 30, 2026, with no</w:t>
      </w:r>
      <w:r>
        <w:rPr>
          <w:rFonts w:ascii="Times New Roman;Times;serif" w:hAnsi="Times New Roman;Times;serif"/>
          <w:sz w:val="12"/>
        </w:rPr>
        <w:t> </w:t>
      </w:r>
      <w:r>
        <w:rPr>
          <w:rFonts w:ascii="Times New Roman;Times;serif" w:hAnsi="Times New Roman;Times;serif"/>
          <w:sz w:val="14"/>
        </w:rPr>
        <w:t>interest being capitalized during the six months ended June 30,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987" w:name="_239a5ce0_3f7c_435a_a3c8_1877bab7ecb0"/>
      <w:bookmarkEnd w:id="987"/>
      <w:r>
        <w:rPr>
          <w:rFonts w:ascii="Times New Roman;Times;serif" w:hAnsi="Times New Roman;Times;serif"/>
          <w:b/>
          <w:sz w:val="20"/>
        </w:rPr>
        <w:t>NOTES TO CONSOLIDATED FINANCIAL STATEMENTS (UNAUDITED)</w:t>
      </w:r>
    </w:p>
    <w:p>
      <w:pPr>
        <w:pStyle w:val="TextBody"/>
        <w:bidi w:val="0"/>
        <w:spacing w:before="0" w:after="200"/>
        <w:ind w:left="0" w:right="0" w:hanging="0"/>
        <w:jc w:val="both"/>
        <w:rPr>
          <w:rFonts w:ascii="Times New Roman;Times;serif" w:hAnsi="Times New Roman;Times;serif"/>
          <w:b/>
          <w:sz w:val="20"/>
        </w:rPr>
      </w:pPr>
      <w:bookmarkStart w:id="988" w:name="BUSINESS_DESCRIPTION"/>
      <w:bookmarkStart w:id="989" w:name="NOTE1DESCRIPTIONOFBUSINESSANDPRINCIPLES"/>
      <w:bookmarkEnd w:id="988"/>
      <w:bookmarkEnd w:id="989"/>
      <w:r>
        <w:rPr>
          <w:rFonts w:ascii="Times New Roman;Times;serif" w:hAnsi="Times New Roman;Times;serif"/>
          <w:b/>
          <w:sz w:val="20"/>
        </w:rPr>
        <w:t>NOTE 1. DESCRIPTION OF BUSINESS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terms “us,” “we,” “our,” and “the Company” as used in this report refer to CTO Realty Growth, Inc. together with our consolidated subsidiaries.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We </w:t>
      </w:r>
      <w:r>
        <w:rPr>
          <w:rFonts w:ascii="Times New Roman;Times;serif" w:hAnsi="Times New Roman;Times;serif"/>
          <w:sz w:val="20"/>
          <w:shd w:fill="FFFFFF" w:val="clear"/>
        </w:rPr>
        <w:t>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where retail demand exceeds supply. We have pursued our investment strategy by investing primarily through fee simple ownership of our properties, commercial loans and preferred equity</w:t>
      </w:r>
      <w:r>
        <w:rPr>
          <w:rFonts w:ascii="Times New Roman;Times;serif" w:hAnsi="Times New Roman;Times;serif"/>
          <w:sz w:val="20"/>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As of June 30, 2026, we own and manage, sometimes utilizing third-party property management companies, 21 commercial real estate properties in seven states in the United States, comprising 5.8 million square feet of gross leasable space. In addition to our income property portfolio, as of June 30, 2026, our business included the following:</w:t>
      </w:r>
    </w:p>
    <w:p>
      <w:pPr>
        <w:pStyle w:val="TextBody"/>
        <w:pBd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Management Services: A fee-based management business that is engaged in managing Alpine Income Property Trust, Inc. (“PINE”), as well as a portfolio of assets pursuant to the Portfolio Management Agreement (hereinafter defined), and a portfolio of subsurface interests, as further described in Note 5, “Management Services Business”.</w:t>
      </w:r>
    </w:p>
    <w:p>
      <w:pPr>
        <w:pStyle w:val="TextBody"/>
        <w:shd w:fill="FFFFFF" w:val="clear"/>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Commercial Loans and Investments: A portfolio of four commercial loan investments and three preferred equity investments which are classified as commercial loan investments.</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Investment in PINE: Our business also includes our investment in PINE. As of June 30, 2026, the fair value of our investment totaled $51.3 million, or 13.1% of PINE’s outstanding common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2. SUMMARY OF SIGNIFICANT ACCOUNTING POLICIES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Interim Financial Information</w:t>
      </w:r>
    </w:p>
    <w:p>
      <w:pPr>
        <w:pStyle w:val="TextBody"/>
        <w:bidi w:val="0"/>
        <w:spacing w:before="0" w:after="200"/>
        <w:ind w:left="0" w:right="0" w:firstLine="490"/>
        <w:jc w:val="both"/>
        <w:rPr>
          <w:rFonts w:ascii="Times New Roman;Times;serif" w:hAnsi="Times New Roman;Times;serif"/>
          <w:sz w:val="20"/>
        </w:rPr>
      </w:pPr>
      <w:r>
        <w:rPr>
          <w:rFonts w:ascii="Times New Roman;Times;serif" w:hAnsi="Times New Roman;Times;serif"/>
          <w:sz w:val="20"/>
        </w:rPr>
        <w:t>The accompanying unaudited consolidated financial statements have been prepared pursuant to the rules and regulations of the Securities and Exchange Commission. These unaudited consolidated financial statements do not include all of the information and notes required by accounting principles generally accepted in the United States of America (“U.S. GAAP”) for complete financial statements, and should be read in conjunction with the Company’s Annual Report on Form 10-K for the year ended December 31, 2025, which provides a more complete understanding of the Company’s accounting policies, financial position, operating results, business, properties, and other matters. The unaudited consolidated financial statements reflect all adjustments which are, in the opinion of management, necessary to present fairly the financial position of the Company and the results of operations for the interim periods.</w:t>
      </w:r>
    </w:p>
    <w:p>
      <w:pPr>
        <w:pStyle w:val="TextBody"/>
        <w:bidi w:val="0"/>
        <w:spacing w:before="0" w:after="200"/>
        <w:ind w:left="0" w:right="0" w:firstLine="490"/>
        <w:jc w:val="both"/>
        <w:rPr>
          <w:rFonts w:ascii="Times New Roman;Times;serif" w:hAnsi="Times New Roman;Times;serif"/>
          <w:sz w:val="20"/>
        </w:rPr>
      </w:pPr>
      <w:r>
        <w:rPr>
          <w:rFonts w:ascii="Times New Roman;Times;serif" w:hAnsi="Times New Roman;Times;serif"/>
          <w:sz w:val="20"/>
        </w:rPr>
        <w:t>The results of operations for the three and six months ended June 30, 2026 are not necessarily indicative of results to be expected for the year ending December 31,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i/>
          <w:sz w:val="20"/>
        </w:rPr>
      </w:pPr>
      <w:bookmarkStart w:id="990" w:name="_d271d61a_9ab7_4a39_bef7_d6e57bd5d8df_5"/>
      <w:bookmarkStart w:id="991" w:name="_d271d61a_9ab7_4a39_bef7_d6e57bd5d8df_4"/>
      <w:bookmarkStart w:id="992" w:name="_d271d61a_9ab7_4a39_bef7_d6e57bd5d8df_3"/>
      <w:bookmarkStart w:id="993" w:name="_d271d61a_9ab7_4a39_bef7_d6e57bd5d8df_2"/>
      <w:bookmarkStart w:id="994" w:name="_d271d61a_9ab7_4a39_bef7_d6e57bd5d8df"/>
      <w:bookmarkEnd w:id="990"/>
      <w:bookmarkEnd w:id="991"/>
      <w:bookmarkEnd w:id="992"/>
      <w:bookmarkEnd w:id="993"/>
      <w:bookmarkEnd w:id="994"/>
      <w:r>
        <w:rPr>
          <w:rFonts w:ascii="Times New Roman;Times;serif" w:hAnsi="Times New Roman;Times;serif"/>
          <w:b/>
          <w:i/>
          <w:sz w:val="20"/>
        </w:rPr>
        <w:t>Principles of Consolidation</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consolidated financial statements include the accounts of the Company, its wholly owned subsidiaries, and other entities in which we have a controlling interest. Any real estate entities or properties included in the consolidated financial statements have been consolidated only for the periods that such entities or properties were owned or under control by us. All inter-company balances and transactions have been eliminated in the consolidated financial statements. As of June 30, 2026, the Company has an equity investment in PINE.</w:t>
      </w:r>
    </w:p>
    <w:p>
      <w:pPr>
        <w:pStyle w:val="TextBody"/>
        <w:pBdr/>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Segment Reporting</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ASC Topic 280</w:t>
      </w:r>
      <w:r>
        <w:rPr>
          <w:rFonts w:ascii="Times New Roman;Times;serif" w:hAnsi="Times New Roman;Times;serif"/>
          <w:i/>
          <w:sz w:val="20"/>
        </w:rPr>
        <w:t>, Segment Reporting</w:t>
      </w:r>
      <w:r>
        <w:rPr>
          <w:rFonts w:ascii="Times New Roman;Times;serif" w:hAnsi="Times New Roman;Times;serif"/>
          <w:sz w:val="20"/>
        </w:rPr>
        <w:t>, establishes standards related to the manner in which enterprises report operating segment information. The Company operates in three primary business segments including income properties, management services, and commercial loans and investments as further discussed within Note 21, “Business Segment Data”.  The Company has no other reportable segments. The Company’s chief executive officer, who is the chief operating decision maker, reviews financial information on a disaggregated basis for purposes of allocating and evaluating financial performance.</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Real Estate</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real estate assets are carried at cost, less accumulated depreciation and amortization and impairment losses, if any. Such assets are depreciated on a straight-line basis over their estimated useful lives. Renewals and betterments are capitalized to the applicable property accounts. The cost of maintenance and repairs is expensed as incurred. The cost of property retired or otherwise disposed of, and the related accumulated depreciation or amortization, are removed from the accounts, and any resulting gain or loss is recorded in the Company’s consolidated statement of operations. The amount of depreciation of real estate, exclusive of amortization related to intangible assets, recognized for the three months ended June 30, 2026 and June 30, 2025, was $9.8 million and $9.0 million, respectively. The amount of depreciation of real estate, exclusive of amortization related to intangible assets, recognized for the six months ended June 30, 2026 and June 30, 2025, was $19.5 million and $17.3 million, respectively.</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Long-Lived Assets</w:t>
      </w:r>
    </w:p>
    <w:p>
      <w:pPr>
        <w:pStyle w:val="TextBody"/>
        <w:bidi w:val="0"/>
        <w:spacing w:before="0" w:after="200"/>
        <w:ind w:left="0" w:right="0" w:firstLine="475"/>
        <w:jc w:val="both"/>
        <w:rPr>
          <w:rFonts w:ascii="Times New Roman;Times;serif" w:hAnsi="Times New Roman;Times;serif"/>
          <w:sz w:val="20"/>
        </w:rPr>
      </w:pPr>
      <w:r>
        <w:rPr>
          <w:rFonts w:ascii="Times New Roman;Times;serif" w:hAnsi="Times New Roman;Times;serif"/>
          <w:sz w:val="20"/>
        </w:rPr>
        <w:t>The Company follows FASB ASC Topic 360-10, </w:t>
      </w:r>
      <w:r>
        <w:rPr>
          <w:rFonts w:ascii="Times New Roman;Times;serif" w:hAnsi="Times New Roman;Times;serif"/>
          <w:i/>
          <w:sz w:val="20"/>
        </w:rPr>
        <w:t>Property, Plant, and Equipment</w:t>
      </w:r>
      <w:r>
        <w:rPr>
          <w:rFonts w:ascii="Times New Roman;Times;serif" w:hAnsi="Times New Roman;Times;serif"/>
          <w:sz w:val="20"/>
        </w:rPr>
        <w:t> in conducting its impairment analyses. The Company reviews the recoverability of long-lived assets, including land and development costs, real estate held for sale, and property, plant, and equipment,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an income property not fully leased or leased at rates that are less than current market rates, and any other quantitative or qualitative events deemed significant by our management. Long-lived assets are evaluated for impairment by using an undiscounted cash flow approach, which considers future estimated capital expenditures. Impairment of long-lived assets is measured at fair value less cost to sell.</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Use of Estimates in the Preparation of Financial Statements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Among other factors, fluctuating market conditions that can exist in the national real estate markets and the volatility and uncertainty in the financial and credit markets make it possible that the estimates and assumptions, most notably those related to the Company’s investments in income properties, could change materially due to continued volatility in the real estate and financial markets, or as a result of a significant dislocation in those markets.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200"/>
        <w:ind w:left="0" w:right="0" w:firstLine="490"/>
        <w:jc w:val="both"/>
        <w:rPr>
          <w:rFonts w:ascii="Times New Roman;Times;serif" w:hAnsi="Times New Roman;Times;serif"/>
          <w:sz w:val="20"/>
        </w:rPr>
      </w:pPr>
      <w:r>
        <w:rPr>
          <w:rFonts w:ascii="Times New Roman;Times;serif" w:hAnsi="Times New Roman;Times;serif"/>
          <w:sz w:val="20"/>
        </w:rPr>
        <w:t>Cash and cash equivalents includes cash on hand, bank demand accounts, and money market accounts having original maturities of 90 days or less. The Company’s bank balances as of June 30, 2026 and December 31, 2025 include certain amounts over the Federal Deposit Insurance Corporation limits.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Restricted Cash</w:t>
      </w:r>
    </w:p>
    <w:p>
      <w:pPr>
        <w:pStyle w:val="TextBody"/>
        <w:bidi w:val="0"/>
        <w:spacing w:before="0" w:after="200"/>
        <w:ind w:left="0" w:right="0" w:firstLine="490"/>
        <w:jc w:val="both"/>
        <w:rPr>
          <w:rFonts w:ascii="Times New Roman;Times;serif" w:hAnsi="Times New Roman;Times;serif"/>
          <w:sz w:val="20"/>
        </w:rPr>
      </w:pPr>
      <w:r>
        <w:rPr>
          <w:rFonts w:ascii="Times New Roman;Times;serif" w:hAnsi="Times New Roman;Times;serif"/>
          <w:sz w:val="20"/>
          <w:shd w:fill="FFFFFF" w:val="clear"/>
        </w:rPr>
        <w:t>Restricted cash totaled $35.4 million at June 30, 2026, consisting of (i) $18.7 million held in </w:t>
      </w:r>
      <w:r>
        <w:rPr>
          <w:rFonts w:ascii="Times New Roman;Times;serif" w:hAnsi="Times New Roman;Times;serif"/>
          <w:sz w:val="20"/>
        </w:rPr>
        <w:t>five</w:t>
      </w:r>
      <w:r>
        <w:rPr>
          <w:rFonts w:ascii="Times New Roman;Times;serif" w:hAnsi="Times New Roman;Times;serif"/>
          <w:sz w:val="20"/>
          <w:shd w:fill="FFFFFF" w:val="clear"/>
        </w:rPr>
        <w:t> reserve accounts related to the Company’s commercial loans and investments for interest, real estate tax and/or construction costs and (ii) $16.7 million held in escrow to be reinvested through a like-kind exchange structure.</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Derivative Financial Instruments and Hedging Activity</w:t>
      </w:r>
    </w:p>
    <w:p>
      <w:pPr>
        <w:pStyle w:val="TextBody"/>
        <w:bidi w:val="0"/>
        <w:spacing w:before="0" w:after="200"/>
        <w:ind w:left="0" w:right="0" w:firstLine="490"/>
        <w:jc w:val="both"/>
        <w:rPr>
          <w:rFonts w:ascii="Times New Roman;Times;serif" w:hAnsi="Times New Roman;Times;serif"/>
          <w:sz w:val="20"/>
        </w:rPr>
      </w:pPr>
      <w:r>
        <w:rPr>
          <w:rFonts w:ascii="Times New Roman;Times;serif" w:hAnsi="Times New Roman;Times;serif"/>
          <w:sz w:val="20"/>
        </w:rPr>
        <w:t xml:space="preserve">The Company accounts for its cash flow hedging derivatives in accordance with FASB ASC Topic 815-20, </w:t>
      </w:r>
      <w:r>
        <w:rPr>
          <w:rFonts w:ascii="Times New Roman;Times;serif" w:hAnsi="Times New Roman;Times;serif"/>
          <w:i/>
          <w:sz w:val="20"/>
        </w:rPr>
        <w:t>Derivatives and Hedging</w:t>
      </w:r>
      <w:r>
        <w:rPr>
          <w:rFonts w:ascii="Times New Roman;Times;serif" w:hAnsi="Times New Roman;Times;serif"/>
          <w:sz w:val="20"/>
        </w:rPr>
        <w:t>. Depending upon the hedge’s value at each balance sheet date, the derivatives are included in either other assets or accrued and other liabilities on the consolidated balance sheet at its fair value. On the date each interest rate swap was entered into, the Company designated the derivatives as a hedge of the variability of cash flows to be paid related to the recognized long-term debt liabilities.</w:t>
      </w:r>
    </w:p>
    <w:p>
      <w:pPr>
        <w:pStyle w:val="TextBody"/>
        <w:pBd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we will continue to do so on a quarterly basis.</w:t>
      </w:r>
    </w:p>
    <w:p>
      <w:pPr>
        <w:pStyle w:val="TextBody"/>
        <w:shd w:fill="FFFFFF" w:val="clear"/>
        <w:bidi w:val="0"/>
        <w:spacing w:before="0" w:after="200"/>
        <w:ind w:left="0" w:right="0" w:firstLine="490"/>
        <w:jc w:val="both"/>
        <w:rPr>
          <w:rFonts w:ascii="Times New Roman;Times;serif" w:hAnsi="Times New Roman;Times;serif"/>
          <w:sz w:val="20"/>
        </w:rPr>
      </w:pPr>
      <w:r>
        <w:rPr>
          <w:rFonts w:ascii="Times New Roman;Times;serif" w:hAnsi="Times New Roman;Times;serif"/>
          <w:sz w:val="20"/>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15, “Interest Rate Swaps”).</w:t>
      </w:r>
    </w:p>
    <w:p>
      <w:pPr>
        <w:pStyle w:val="TextBody"/>
        <w:pBd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shd w:fill="FFFFFF" w:val="clear"/>
        <w:bidi w:val="0"/>
        <w:spacing w:before="0" w:after="200"/>
        <w:ind w:left="0" w:right="0" w:firstLine="490"/>
        <w:jc w:val="both"/>
        <w:rPr>
          <w:rFonts w:ascii="Times New Roman;Times;serif" w:hAnsi="Times New Roman;Times;serif"/>
          <w:sz w:val="20"/>
        </w:rPr>
      </w:pPr>
      <w:r>
        <w:rPr>
          <w:rFonts w:ascii="Times New Roman;Times;serif" w:hAnsi="Times New Roman;Times;serif"/>
          <w:sz w:val="20"/>
        </w:rPr>
        <w:t>The carrying amounts of the Company’s financial assets and liabilities including cash and cash equivalents, restricted cash, accounts receivable, accounts payable, and accrued and other liabilities at June 30, 2026 and December 31, 2025, approximate fair value because of the short maturity of these instruments. The carrying value of the Revolving Credit Facility (hereinafter defined) as of June 30, 2026 and December 31, 2025, approximates current market rates for revolving credit arrangements with similar risks and maturities. The face value of the Company’s fixed rate commercial loans and investments, the 2027 Term Loan (hereinafter defined), the 2028 Term Loan (hereinafter defined), the 2029 Term Loan (hereinafter defined), the 2030 Term Loan (hereinafter defined), and mortgage note held as of June 30, 2026 and December 31, 2025 are measured at fair value based on current market rates for financial instruments with similar risks and maturities (see Note 7, “Fair Value of Financial Instruments”).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Fair Value Measurements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Company’s estimates of fair value of financial and non-financial assets and liabilities is based on the framework established by U.S. GAAP. The framework specifies a hierarchy of valuation inputs which was established to increase consistency, clarity and comparability in fair value measurements and related disclosures. U.S. GAAP describes a fair value hierarchy based upon three levels of inputs that may be used to measure fair value, two of which are considered observable and one that is considered unobservable. The following describes the three levels:</w:t>
      </w:r>
    </w:p>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Valuation is based upon quoted prices in active markets for identical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Recognition of Interest Income from Commercial Loans and Investments</w:t>
      </w:r>
    </w:p>
    <w:p>
      <w:pPr>
        <w:pStyle w:val="TextBody"/>
        <w:bidi w:val="0"/>
        <w:spacing w:before="0" w:after="200"/>
        <w:ind w:left="0" w:right="0" w:firstLine="490"/>
        <w:jc w:val="both"/>
        <w:rPr>
          <w:rFonts w:ascii="Times New Roman;Times;serif" w:hAnsi="Times New Roman;Times;serif"/>
          <w:sz w:val="20"/>
        </w:rPr>
      </w:pPr>
      <w:r>
        <w:rPr>
          <w:rFonts w:ascii="Times New Roman;Times;serif" w:hAnsi="Times New Roman;Times;serif"/>
          <w:sz w:val="20"/>
        </w:rPr>
        <w:t>Interest income on commercial loans and investments includes interest payments made by the borrower and the accretion of purchase discounts and loan origination fees, offset by the amortization of loan costs. Interest payments are accrued based on the actual coupon rate and the outstanding principal balance, and purchase discounts and loan origination fees are accreted into income using the effective yield method, adjusted for prepayments.</w:t>
      </w:r>
    </w:p>
    <w:p>
      <w:pPr>
        <w:pStyle w:val="TextBody"/>
        <w:bidi w:val="0"/>
        <w:spacing w:before="0" w:after="200"/>
        <w:ind w:left="0" w:right="0" w:firstLine="490"/>
        <w:jc w:val="both"/>
        <w:rPr>
          <w:rFonts w:ascii="Times New Roman;Times;serif" w:hAnsi="Times New Roman;Times;serif"/>
          <w:sz w:val="20"/>
        </w:rPr>
      </w:pPr>
      <w:r>
        <w:rPr>
          <w:rFonts w:ascii="Times New Roman;Times;serif" w:hAnsi="Times New Roman;Times;serif"/>
          <w:sz w:val="20"/>
        </w:rPr>
        <w:t>Pursuant to ASC 326, Financial Instruments - Credit Losses, the Company measures and records a provision for current expected credit losses (“CECL”) each time a new investment is made or a loan is repaid, as well as if changes to estimates occur during a quarterly measurement period.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Accounts Receivable</w:t>
      </w:r>
    </w:p>
    <w:p>
      <w:pPr>
        <w:pStyle w:val="TextBody"/>
        <w:bidi w:val="0"/>
        <w:spacing w:before="0" w:after="200"/>
        <w:ind w:left="0" w:right="0" w:firstLine="490"/>
        <w:jc w:val="both"/>
        <w:rPr>
          <w:rFonts w:ascii="Times New Roman;Times;serif" w:hAnsi="Times New Roman;Times;serif"/>
          <w:sz w:val="20"/>
        </w:rPr>
      </w:pPr>
      <w:r>
        <w:rPr>
          <w:rFonts w:ascii="Times New Roman;Times;serif" w:hAnsi="Times New Roman;Times;serif"/>
          <w:sz w:val="20"/>
        </w:rPr>
        <w:t>Accounts receivable related to income properties, which are classified in other assets on the consolidated balance sheets, primarily consist of accrued tenant reimbursable expenses and other tenant receivables. Receivables related to income property tenants totaled $4.0 million and $3.9 million as of June 30, 2026 and December 31, 2025, respectively.</w:t>
      </w:r>
    </w:p>
    <w:p>
      <w:pPr>
        <w:pStyle w:val="TextBody"/>
        <w:bidi w:val="0"/>
        <w:spacing w:before="0" w:after="200"/>
        <w:ind w:left="0" w:right="0" w:firstLine="490"/>
        <w:jc w:val="both"/>
        <w:rPr>
          <w:rFonts w:ascii="Times New Roman;Times;serif" w:hAnsi="Times New Roman;Times;serif"/>
          <w:sz w:val="20"/>
        </w:rPr>
      </w:pPr>
      <w:r>
        <w:rPr>
          <w:rFonts w:ascii="Times New Roman;Times;serif" w:hAnsi="Times New Roman;Times;serif"/>
          <w:sz w:val="20"/>
        </w:rPr>
        <w:t>The collectability of the aforementioned receivables shall be considered and adjusted through an allowance for doubtful accounts which is included in income property revenue on the consolidated statements of operations. As of June 30, 2026 and December 31, 2025, the Company’s allowance for doubtful accounts totaled $3.3 million and $2.6 million, respectively.</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Purchase Accounting for Acquisitions of Real Estate Subject to a Lease</w:t>
      </w:r>
    </w:p>
    <w:p>
      <w:pPr>
        <w:pStyle w:val="TextBody"/>
        <w:bidi w:val="0"/>
        <w:spacing w:before="0" w:after="200"/>
        <w:ind w:left="0" w:right="0" w:firstLine="490"/>
        <w:jc w:val="both"/>
        <w:rPr>
          <w:rFonts w:ascii="Times New Roman;Times;serif" w:hAnsi="Times New Roman;Times;serif"/>
          <w:sz w:val="20"/>
        </w:rPr>
      </w:pPr>
      <w:r>
        <w:rPr>
          <w:rFonts w:ascii="Times New Roman;Times;serif" w:hAnsi="Times New Roman;Times;serif"/>
          <w:sz w:val="20"/>
        </w:rPr>
        <w:t xml:space="preserve">Investments in real estate are carried at cost less accumulated depreciation and amortization and impairment losses, if any. The cost of investments in real estate reflects their purchase price or development cost. We evaluate each acquisition transaction to determine whether the acquired asset meets the definition of a business. Under ASU 2017-01, </w:t>
      </w:r>
      <w:r>
        <w:rPr>
          <w:rFonts w:ascii="Times New Roman;Times;serif" w:hAnsi="Times New Roman;Times;serif"/>
          <w:i/>
          <w:sz w:val="20"/>
        </w:rPr>
        <w:t>Business Combinations (Topic 805): Clarifying the Definition of a Business</w:t>
      </w:r>
      <w:r>
        <w:rPr>
          <w:rFonts w:ascii="Times New Roman;Times;serif" w:hAnsi="Times New Roman;Times;serif"/>
          <w:sz w:val="20"/>
        </w:rPr>
        <w:t>,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pStyle w:val="TextBody"/>
        <w:bidi w:val="0"/>
        <w:spacing w:before="0" w:after="200"/>
        <w:ind w:left="0" w:right="0" w:firstLine="490"/>
        <w:jc w:val="both"/>
        <w:rPr>
          <w:rFonts w:ascii="Times New Roman;Times;serif" w:hAnsi="Times New Roman;Times;serif"/>
          <w:sz w:val="20"/>
        </w:rPr>
      </w:pPr>
      <w:r>
        <w:rPr>
          <w:rFonts w:ascii="Times New Roman;Times;serif" w:hAnsi="Times New Roman;Times;serif"/>
          <w:sz w:val="20"/>
        </w:rPr>
        <w:t xml:space="preserve">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w:t>
      </w:r>
      <w:r>
        <w:rPr>
          <w:rFonts w:ascii="Times New Roman;Times;serif" w:hAnsi="Times New Roman;Times;serif"/>
          <w:sz w:val="20"/>
          <w:shd w:fill="FFFFFF" w:val="clear"/>
        </w:rPr>
        <w:t>The capitalized above-market lease values are amortized as a reduction of rental income over the remaining terms of the respective leases. The capitalized below-market lease values are amortized as an increase to rental income over the initial term unless management believes the lease includes bargain renewal options that are likely to be exercised, in which case the Company includes such renewal periods in the amortization period utilized. The Company considers both qualitative and quantitative factors in considering if a lease contains a bargain renewal option and the likelihood of a tenant exercising such option.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pStyle w:val="TextBody"/>
        <w:bidi w:val="0"/>
        <w:spacing w:before="0" w:after="200"/>
        <w:ind w:left="0" w:right="0" w:firstLine="490"/>
        <w:jc w:val="both"/>
        <w:rPr>
          <w:rFonts w:ascii="Times New Roman;Times;serif" w:hAnsi="Times New Roman;Times;serif"/>
          <w:sz w:val="20"/>
        </w:rPr>
      </w:pPr>
      <w:r>
        <w:rPr>
          <w:rFonts w:ascii="Times New Roman;Times;serif" w:hAnsi="Times New Roman;Times;serif"/>
          <w:sz w:val="20"/>
        </w:rPr>
        <w:t>The Company incurs costs related to the development and leasing of its properties. Such costs include, but are not limited to, tenant improvements, leasing commissions, rebranding, facility expansion and other capital improvements, and are included in construction in progress during the development period. When a construction project is considered to be substantially complete, the capitalized costs are reclassified to the appropriate real estate asset and depreciation begins. The Company assesses the level of construction activity to determine the amount, if any, of interest expense to be capitalized to the underlying construction projects.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Assets Held for Sale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Investments in real estate which are determined to be “held for sale” pursuant to FASB ASC Topic 360-10, </w:t>
      </w:r>
      <w:r>
        <w:rPr>
          <w:rFonts w:ascii="Times New Roman;Times;serif" w:hAnsi="Times New Roman;Times;serif"/>
          <w:i/>
          <w:sz w:val="20"/>
        </w:rPr>
        <w:t>Property, Plant, and Equipment </w:t>
      </w:r>
      <w:r>
        <w:rPr>
          <w:rFonts w:ascii="Times New Roman;Times;serif" w:hAnsi="Times New Roman;Times;serif"/>
          <w:sz w:val="20"/>
        </w:rPr>
        <w:t>are reported separately on the consolidated balance sheets at the lesser of carrying value or fair value, less costs to sell. Real estate investments classified as held for sale are not depreciated.</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Sales of Real Estate</w:t>
      </w:r>
    </w:p>
    <w:p>
      <w:pPr>
        <w:pStyle w:val="TextBody"/>
        <w:bidi w:val="0"/>
        <w:spacing w:before="0" w:after="200"/>
        <w:ind w:left="0" w:right="0" w:firstLine="490"/>
        <w:jc w:val="both"/>
        <w:rPr>
          <w:rFonts w:ascii="Times New Roman;Times;serif" w:hAnsi="Times New Roman;Times;serif"/>
          <w:sz w:val="20"/>
        </w:rPr>
      </w:pPr>
      <w:r>
        <w:rPr>
          <w:rFonts w:ascii="Times New Roman;Times;serif" w:hAnsi="Times New Roman;Times;serif"/>
          <w:sz w:val="20"/>
        </w:rPr>
        <w:t>When income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 (loss) on disposition of assets. In accordance with the FASB guidance, gains or losses on sales of real estate are generally recognized using the full accrual method.</w:t>
      </w:r>
    </w:p>
    <w:p>
      <w:pPr>
        <w:pStyle w:val="TextBody"/>
        <w:bidi w:val="0"/>
        <w:spacing w:before="0" w:after="200"/>
        <w:ind w:left="0" w:right="0" w:firstLine="490"/>
        <w:jc w:val="both"/>
        <w:rPr>
          <w:rFonts w:ascii="Times New Roman;Times;serif" w:hAnsi="Times New Roman;Times;serif"/>
          <w:sz w:val="20"/>
        </w:rPr>
      </w:pPr>
      <w:r>
        <w:rPr>
          <w:rFonts w:ascii="Times New Roman;Times;serif" w:hAnsi="Times New Roman;Times;serif"/>
          <w:sz w:val="20"/>
        </w:rPr>
        <w:t xml:space="preserve">Gains and losses on land sales, in addition to the sale of subsurface interests and mitigation credits, are accounted for as required by FASB ASC Topic 606, </w:t>
      </w:r>
      <w:r>
        <w:rPr>
          <w:rFonts w:ascii="Times New Roman;Times;serif" w:hAnsi="Times New Roman;Times;serif"/>
          <w:i/>
          <w:sz w:val="20"/>
        </w:rPr>
        <w:t>Revenue from Contracts with Customers</w:t>
      </w:r>
      <w:r>
        <w:rPr>
          <w:rFonts w:ascii="Times New Roman;Times;serif" w:hAnsi="Times New Roman;Times;serif"/>
          <w:sz w:val="20"/>
        </w:rPr>
        <w:t>. The Company recognizes revenue from such sales when the Company transfers the promised goods in the contract based on the transaction price allocated to the performance obligations within the contract. As market information becomes available, the underlying cost basis is analyzed and recorded at the lower of cost or market.</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00"/>
        <w:ind w:left="0" w:right="0" w:firstLine="490"/>
        <w:jc w:val="both"/>
        <w:rPr>
          <w:rFonts w:ascii="Times New Roman;Times;serif" w:hAnsi="Times New Roman;Times;serif"/>
          <w:sz w:val="20"/>
        </w:rPr>
      </w:pPr>
      <w:r>
        <w:rPr>
          <w:rFonts w:ascii="Times New Roman;Times;serif" w:hAnsi="Times New Roman;Times;serif"/>
          <w:sz w:val="20"/>
        </w:rPr>
        <w:t>The Company elected to be taxed as a REIT for U.S. federal income tax purposes under the Internal Revenue Code of 1986, as amended (the “Code”)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a TRS and subsidiaries of a TRS, which are subject to applicable U.S. federal, state and local corporate income tax on their taxable income. As of January 1, 2024, the Company owns one TRS, which is subject to federal and applicable state income taxation. The TRS is required to file a separate corporate income tax return.</w:t>
      </w:r>
    </w:p>
    <w:p>
      <w:pPr>
        <w:pStyle w:val="TextBody"/>
        <w:bidi w:val="0"/>
        <w:spacing w:before="0" w:after="200"/>
        <w:ind w:left="0" w:right="0" w:firstLine="490"/>
        <w:jc w:val="both"/>
        <w:rPr>
          <w:rFonts w:ascii="Times New Roman;Times;serif" w:hAnsi="Times New Roman;Times;serif"/>
          <w:sz w:val="20"/>
        </w:rPr>
      </w:pPr>
      <w:r>
        <w:rPr>
          <w:rFonts w:ascii="Times New Roman;Times;serif" w:hAnsi="Times New Roman;Times;serif"/>
          <w:sz w:val="20"/>
        </w:rPr>
        <w:t>The Company uses the asset and liability method to account for income taxes for the Company’s TRS. Deferred income taxes result primarily from the net tax effect of temporary differences between the carrying amounts of assets and liabilities for financial reporting purposes and the amounts used for income tax purposes (see Note 19, “Income Taxes”). In June 2006, the FASB issued additional guidance, which clarifies the accounting for uncertainty in income taxes recognized in a company’s financial statements included in income taxes. The interpretation prescribes a recognition threshold and measurement attribute for the financial statement recognition and measurement of a tax position taken or expected to be taken in a tax return. The interpretation also provides guidance on de-recognition, classification, interest and penalties, accounting in interim periods, and disclosure and transition. In accordance with FASB guidance included in income taxes, the Company has analyzed its various federal and state filing positions and believes that its income tax filing positions and deductions are well documented and supported. Additionally, the Company believes that its accruals for tax liabilities are adequate. Therefore, no reserves for uncertain income tax positions have been recorded pursuant to the FASB guidance.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Concentration of Credit Risk</w:t>
      </w:r>
    </w:p>
    <w:p>
      <w:pPr>
        <w:pStyle w:val="TextBody"/>
        <w:bidi w:val="0"/>
        <w:spacing w:before="0" w:after="200"/>
        <w:ind w:left="0" w:right="0" w:firstLine="490"/>
        <w:jc w:val="both"/>
        <w:rPr>
          <w:rFonts w:ascii="Times New Roman;Times;serif" w:hAnsi="Times New Roman;Times;serif"/>
          <w:sz w:val="20"/>
        </w:rPr>
      </w:pPr>
      <w:r>
        <w:rPr>
          <w:rFonts w:ascii="Times New Roman;Times;serif" w:hAnsi="Times New Roman;Times;serif"/>
          <w:sz w:val="20"/>
        </w:rPr>
        <w:t>Financial instruments which potentially subject the Company to concentrations of credit risk consist principally of cash and cash equivalents.</w:t>
      </w:r>
    </w:p>
    <w:p>
      <w:pPr>
        <w:pStyle w:val="TextBody"/>
        <w:bidi w:val="0"/>
        <w:spacing w:before="0" w:after="200"/>
        <w:ind w:left="0" w:right="0" w:firstLine="490"/>
        <w:jc w:val="both"/>
        <w:rPr>
          <w:rFonts w:ascii="Times New Roman;Times;serif" w:hAnsi="Times New Roman;Times;serif"/>
          <w:sz w:val="20"/>
        </w:rPr>
      </w:pPr>
      <w:r>
        <w:rPr>
          <w:rFonts w:ascii="Times New Roman;Times;serif" w:hAnsi="Times New Roman;Times;serif"/>
          <w:sz w:val="20"/>
        </w:rPr>
        <w:t>The Company also has certain concentrations that make up more than 10% of our income property portfolio, as described below:</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Square Footage Concentrations</w:t>
            </w:r>
            <w:r>
              <w:rPr>
                <w:rFonts w:ascii="Times New Roman;Times;serif" w:hAnsi="Times New Roman;Times;serif"/>
                <w:b w:val="false"/>
                <w:i w:val="false"/>
                <w:caps w:val="false"/>
                <w:smallCaps w:val="false"/>
                <w:sz w:val="20"/>
              </w:rPr>
              <w:t>.</w:t>
            </w:r>
            <w:r>
              <w:rPr>
                <w:caps w:val="false"/>
                <w:smallCaps w:val="false"/>
                <w:color w:val="EE0000"/>
              </w:rPr>
              <w:t xml:space="preserve"> </w:t>
            </w:r>
            <w:r>
              <w:rPr>
                <w:rFonts w:ascii="Times New Roman;Times;serif" w:hAnsi="Times New Roman;Times;serif"/>
                <w:b w:val="false"/>
                <w:i w:val="false"/>
                <w:caps w:val="false"/>
                <w:smallCaps w:val="false"/>
                <w:sz w:val="20"/>
              </w:rPr>
              <w:t>As of June 30, 2026, a total of 26%, 22%, 21%</w:t>
            </w:r>
            <w:r>
              <w:rPr>
                <w:caps w:val="false"/>
                <w:smallCaps w:val="false"/>
              </w:rPr>
              <w:t xml:space="preserve"> </w:t>
            </w:r>
            <w:r>
              <w:rPr>
                <w:rFonts w:ascii="Times New Roman;Times;serif" w:hAnsi="Times New Roman;Times;serif"/>
                <w:b w:val="false"/>
                <w:i w:val="false"/>
                <w:caps w:val="false"/>
                <w:smallCaps w:val="false"/>
                <w:sz w:val="20"/>
              </w:rPr>
              <w:t>and 17%</w:t>
            </w:r>
            <w:r>
              <w:rPr>
                <w:caps w:val="false"/>
                <w:smallCaps w:val="false"/>
              </w:rPr>
              <w:t xml:space="preserve"> </w:t>
            </w:r>
            <w:r>
              <w:rPr>
                <w:rFonts w:ascii="Times New Roman;Times;serif" w:hAnsi="Times New Roman;Times;serif"/>
                <w:b w:val="false"/>
                <w:i w:val="false"/>
                <w:caps w:val="false"/>
                <w:smallCaps w:val="false"/>
                <w:sz w:val="20"/>
              </w:rPr>
              <w:t>of the Company’s income property portfolio, based on square footage, were located in the states of Georgia, Florida, Texas, and North Carolina, respectively. As of December 31, 2025, a total of 30%, 25%, 18%, and 12%</w:t>
            </w:r>
            <w:r>
              <w:rPr>
                <w:caps w:val="false"/>
                <w:smallCaps w:val="false"/>
              </w:rPr>
              <w:t xml:space="preserve"> </w:t>
            </w:r>
            <w:r>
              <w:rPr>
                <w:rFonts w:ascii="Times New Roman;Times;serif" w:hAnsi="Times New Roman;Times;serif"/>
                <w:b w:val="false"/>
                <w:i w:val="false"/>
                <w:caps w:val="false"/>
                <w:smallCaps w:val="false"/>
                <w:sz w:val="20"/>
              </w:rPr>
              <w:t>of the Company’s income property portfolio, based on square footage, were located in the states of Georgia, Florida, North Carolina, and Texas,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Tenant Concentrations</w:t>
            </w:r>
            <w:r>
              <w:rPr>
                <w:rFonts w:ascii="Times New Roman;Times;serif" w:hAnsi="Times New Roman;Times;serif"/>
                <w:b w:val="false"/>
                <w:i w:val="false"/>
                <w:caps w:val="false"/>
                <w:smallCaps w:val="false"/>
                <w:sz w:val="20"/>
              </w:rPr>
              <w:t>. We did not have any tenants that accounted for more than 10% of total revenues during the three or six months ended June 30, 2026 or 2025.</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Base Rent Concentrations</w:t>
            </w:r>
            <w:r>
              <w:rPr>
                <w:rFonts w:ascii="Times New Roman;Times;serif" w:hAnsi="Times New Roman;Times;serif"/>
                <w:b w:val="false"/>
                <w:i w:val="false"/>
                <w:caps w:val="false"/>
                <w:smallCaps w:val="false"/>
                <w:sz w:val="20"/>
              </w:rPr>
              <w:t>. A total of 31%, 23%, 19%, and 14%</w:t>
            </w:r>
            <w:r>
              <w:rPr>
                <w:caps w:val="false"/>
                <w:smallCaps w:val="false"/>
              </w:rPr>
              <w:t xml:space="preserve"> </w:t>
            </w:r>
            <w:r>
              <w:rPr>
                <w:rFonts w:ascii="Times New Roman;Times;serif" w:hAnsi="Times New Roman;Times;serif"/>
                <w:b w:val="false"/>
                <w:i w:val="false"/>
                <w:caps w:val="false"/>
                <w:smallCaps w:val="false"/>
                <w:sz w:val="20"/>
              </w:rPr>
              <w:t xml:space="preserve">of our base rent revenue during the six months ended June 30, 2026 was generated from tenants located in Georgia, Florida, Texas, and North Carolina, respectively. </w:t>
            </w:r>
            <w:r>
              <w:rPr>
                <w:rFonts w:ascii="Times New Roman;Times;serif" w:hAnsi="Times New Roman;Times;serif"/>
                <w:b w:val="false"/>
                <w:i w:val="false"/>
                <w:caps w:val="false"/>
                <w:smallCaps w:val="false"/>
                <w:sz w:val="20"/>
                <w:shd w:fill="FFFFFF" w:val="clear"/>
              </w:rPr>
              <w:t>A total of 37%, 18%, 14%, and 14%</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of our base rent revenue during the six months ended June 30, 2025 was generated from tenants located in Georgia, Florida, Texas and North Carolina, respectively.</w:t>
            </w:r>
          </w:p>
        </w:tc>
      </w:tr>
    </w:tbl>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Recent Accounting Developments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Income Statement - Reporting Comprehensive Income - Expense Disaggregation Disclosures (Subtopic 220-40)</w:t>
      </w:r>
      <w:r>
        <w:rPr>
          <w:rFonts w:ascii="Times New Roman;Times;serif" w:hAnsi="Times New Roman;Times;serif"/>
          <w:sz w:val="20"/>
        </w:rPr>
        <w:t xml:space="preserve"> which requires additional disclosures regarding a public company’s expenses and addresses requests from investors for more detailed information about the types of expenses (e.g., purchases of inventory, employee compensation, depreciation, amortization, and depletion) in commonly presented expense captions (e.g., cost of sales; selling, general, and administrative (SG&amp;A); and research and development (R&amp;D)). ASU 2024-03 is effective for annual periods beginning after December 15, 2026 and interim reporting periods beginning after December 15, 2027. The Company is currently evaluating the impact of this guidance on its consolidated financial statements and related disclosures.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bookmarkStart w:id="995" w:name="Tc_SNGNPDKKRka2WOH87xL47A_6_10"/>
      <w:bookmarkStart w:id="996" w:name="Tc_bSTSkFBWz0mRn21WiwpYnw_6_7"/>
      <w:bookmarkStart w:id="997" w:name="Tc_vS1UWAW7RUmOrz8FPLXJqA_6_4"/>
      <w:bookmarkStart w:id="998" w:name="Tc__Mo4Plk4zUCnnyRH-cvkFQ_6_1"/>
      <w:bookmarkStart w:id="999" w:name="Tc_YP7r5aHB9kmLRhv9HjmYzQ_6_0"/>
      <w:bookmarkStart w:id="1000" w:name="Tc_BK5c0AfL5E2gh1w-qnIoVw_5_0"/>
      <w:bookmarkStart w:id="1001" w:name="Tc_2m5PaPb1pUmSgRDO0yDicQ_4_10"/>
      <w:bookmarkStart w:id="1002" w:name="Tc_ZUYPvFTYok-3qzJn2B9WTQ_4_7"/>
      <w:bookmarkStart w:id="1003" w:name="Tc_FOjQhT4LNUq4jeixj9VyRw_4_4"/>
      <w:bookmarkStart w:id="1004" w:name="Tc_jsFTKETLoU-o88Lbc7cmLw_4_1"/>
      <w:bookmarkStart w:id="1005" w:name="Tc_L6rthqOvuUKxHdXNmz1Cwg_4_0"/>
      <w:bookmarkStart w:id="1006" w:name="Tc_1IbOch_osE2a2zZCU08bCg_3_0"/>
      <w:bookmarkStart w:id="1007" w:name="Tc_huoexDFTh0GMvH__858Obw_2_10"/>
      <w:bookmarkStart w:id="1008" w:name="Tc_9RSrgn03pU6Owpc0i3YIbQ_2_7"/>
      <w:bookmarkStart w:id="1009" w:name="Tc_RxUczBbrKE6bq55NUsf98g_2_4"/>
      <w:bookmarkStart w:id="1010" w:name="Tc_eBTjD-FDv0m_nhgaFsMX-w_2_1"/>
      <w:bookmarkStart w:id="1011" w:name="Tc_crOhrxP3HUGS8ZTepmV_aQ_1_7"/>
      <w:bookmarkStart w:id="1012" w:name="Tc_Mi_FBe9VYUGbpceRF66o8A_1_1"/>
      <w:bookmarkStart w:id="1013" w:name="_4dd45607_86ed_46c8_a7c3_c2ac29de8809"/>
      <w:bookmarkStart w:id="1014" w:name="INC_PROP_ACQUIRED"/>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r>
        <w:rPr>
          <w:rFonts w:ascii="Times New Roman;Times;serif" w:hAnsi="Times New Roman;Times;serif"/>
          <w:b/>
          <w:sz w:val="20"/>
        </w:rPr>
        <w:t>NOTE 3. INCOME PROPERTIES</w:t>
      </w:r>
    </w:p>
    <w:p>
      <w:pPr>
        <w:pStyle w:val="TextBody"/>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Leasing revenue consists of long-term rental revenue from retail, office, and commercial income properties, which is recognized as earned, using the straight-line method over the life of each lease. Lease payments below include straight-line base rental revenue as well as the non-cash accretion of above and below market lease amortization. The variable lease payments are primarily comprised of percentage rents, reimbursements from tenants for common area maintenance, insurance, real estate taxes, other operating expenses, and termination fee payments.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components of leasing revenue are as follows (in thousands):</w:t>
      </w:r>
    </w:p>
    <w:p>
      <w:pPr>
        <w:pStyle w:val="TextBody"/>
        <w:bidi w:val="0"/>
        <w:spacing w:before="0" w:after="0"/>
        <w:ind w:left="0" w:right="0" w:hanging="0"/>
        <w:jc w:val="left"/>
        <w:rPr/>
      </w:pPr>
      <w:r>
        <w:rPr/>
        <w:t>​</w:t>
      </w:r>
    </w:p>
    <w:tbl>
      <w:tblPr>
        <w:tblW w:w="7309" w:type="dxa"/>
        <w:jc w:val="left"/>
        <w:tblInd w:w="0" w:type="dxa"/>
        <w:tblLayout w:type="fixed"/>
        <w:tblCellMar>
          <w:top w:w="0" w:type="dxa"/>
          <w:left w:w="0" w:type="dxa"/>
          <w:bottom w:w="0" w:type="dxa"/>
          <w:right w:w="0" w:type="dxa"/>
        </w:tblCellMar>
      </w:tblPr>
      <w:tblGrid>
        <w:gridCol w:w="2146"/>
        <w:gridCol w:w="294"/>
        <w:gridCol w:w="942"/>
        <w:gridCol w:w="152"/>
        <w:gridCol w:w="294"/>
        <w:gridCol w:w="942"/>
        <w:gridCol w:w="109"/>
        <w:gridCol w:w="258"/>
        <w:gridCol w:w="826"/>
        <w:gridCol w:w="133"/>
        <w:gridCol w:w="258"/>
        <w:gridCol w:w="955"/>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62710" cy="175260"/>
                      <wp:effectExtent l="0" t="0" r="0" b="0"/>
                      <wp:wrapNone/>
                      <wp:docPr id="123" name="Frame123"/>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86690" cy="175260"/>
                      <wp:effectExtent l="0" t="0" r="0" b="0"/>
                      <wp:wrapNone/>
                      <wp:docPr id="124" name="Frame124"/>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98170" cy="175260"/>
                      <wp:effectExtent l="0" t="0" r="0" b="0"/>
                      <wp:wrapNone/>
                      <wp:docPr id="125" name="Frame125"/>
                      <a:graphic xmlns:a="http://schemas.openxmlformats.org/drawingml/2006/main">
                        <a:graphicData uri="http://schemas.microsoft.com/office/word/2010/wordprocessingShape">
                          <wps:wsp>
                            <wps:cNvSpPr txBox="1"/>
                            <wps:spPr>
                              <a:xfrm>
                                <a:off x="0" y="0"/>
                                <a:ext cx="598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96520" cy="175260"/>
                      <wp:effectExtent l="0" t="0" r="0" b="0"/>
                      <wp:wrapNone/>
                      <wp:docPr id="126" name="Frame126"/>
                      <a:graphic xmlns:a="http://schemas.openxmlformats.org/drawingml/2006/main">
                        <a:graphicData uri="http://schemas.microsoft.com/office/word/2010/wordprocessingShape">
                          <wps:wsp>
                            <wps:cNvSpPr txBox="1"/>
                            <wps:spPr>
                              <a:xfrm>
                                <a:off x="0" y="0"/>
                                <a:ext cx="96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86690" cy="175260"/>
                      <wp:effectExtent l="0" t="0" r="0" b="0"/>
                      <wp:wrapNone/>
                      <wp:docPr id="127" name="Frame127"/>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98170" cy="175260"/>
                      <wp:effectExtent l="0" t="0" r="0" b="0"/>
                      <wp:wrapNone/>
                      <wp:docPr id="128" name="Frame128"/>
                      <a:graphic xmlns:a="http://schemas.openxmlformats.org/drawingml/2006/main">
                        <a:graphicData uri="http://schemas.microsoft.com/office/word/2010/wordprocessingShape">
                          <wps:wsp>
                            <wps:cNvSpPr txBox="1"/>
                            <wps:spPr>
                              <a:xfrm>
                                <a:off x="0" y="0"/>
                                <a:ext cx="598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129" name="Frame1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63830" cy="175260"/>
                      <wp:effectExtent l="0" t="0" r="0" b="0"/>
                      <wp:wrapNone/>
                      <wp:docPr id="130" name="Frame130"/>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24510" cy="175260"/>
                      <wp:effectExtent l="0" t="0" r="0" b="0"/>
                      <wp:wrapNone/>
                      <wp:docPr id="131" name="Frame13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84455" cy="175260"/>
                      <wp:effectExtent l="0" t="0" r="0" b="0"/>
                      <wp:wrapNone/>
                      <wp:docPr id="132" name="Frame132"/>
                      <a:graphic xmlns:a="http://schemas.openxmlformats.org/drawingml/2006/main">
                        <a:graphicData uri="http://schemas.microsoft.com/office/word/2010/wordprocessingShape">
                          <wps:wsp>
                            <wps:cNvSpPr txBox="1"/>
                            <wps:spPr>
                              <a:xfrm>
                                <a:off x="0" y="0"/>
                                <a:ext cx="84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63830" cy="175260"/>
                      <wp:effectExtent l="0" t="0" r="0" b="0"/>
                      <wp:wrapNone/>
                      <wp:docPr id="133" name="Frame133"/>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06425" cy="175260"/>
                      <wp:effectExtent l="0" t="0" r="0" b="0"/>
                      <wp:wrapNone/>
                      <wp:docPr id="134" name="Frame134"/>
                      <a:graphic xmlns:a="http://schemas.openxmlformats.org/drawingml/2006/main">
                        <a:graphicData uri="http://schemas.microsoft.com/office/word/2010/wordprocessingShape">
                          <wps:wsp>
                            <wps:cNvSpPr txBox="1"/>
                            <wps:spPr>
                              <a:xfrm>
                                <a:off x="0" y="0"/>
                                <a:ext cx="606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left"/>
              <w:rPr/>
            </w:pPr>
            <w:r>
              <w:rPr/>
              <w:t>​</w:t>
            </w:r>
          </w:p>
        </w:tc>
        <w:tc>
          <w:tcPr>
            <w:tcW w:w="262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w:t>
            </w:r>
          </w:p>
        </w:tc>
        <w:tc>
          <w:tcPr>
            <w:tcW w:w="109" w:type="dxa"/>
            <w:tcBorders/>
            <w:vAlign w:val="center"/>
          </w:tcPr>
          <w:p>
            <w:pPr>
              <w:pStyle w:val="TableContents"/>
              <w:bidi w:val="0"/>
              <w:spacing w:before="0" w:after="0"/>
              <w:ind w:left="0" w:right="0" w:hanging="0"/>
              <w:jc w:val="left"/>
              <w:rPr/>
            </w:pPr>
            <w:r>
              <w:rPr/>
              <w:t>​</w:t>
            </w:r>
          </w:p>
        </w:tc>
        <w:tc>
          <w:tcPr>
            <w:tcW w:w="24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w:t>
            </w:r>
          </w:p>
        </w:tc>
      </w:tr>
      <w:tr>
        <w:trPr/>
        <w:tc>
          <w:tcPr>
            <w:tcW w:w="2146" w:type="dxa"/>
            <w:tcBorders/>
            <w:vAlign w:val="center"/>
          </w:tcPr>
          <w:p>
            <w:pPr>
              <w:pStyle w:val="TableContents"/>
              <w:bidi w:val="0"/>
              <w:spacing w:before="0" w:after="0"/>
              <w:ind w:left="0" w:right="0" w:hanging="0"/>
              <w:jc w:val="left"/>
              <w:rPr/>
            </w:pPr>
            <w:r>
              <w:rPr/>
              <w:t>​</w:t>
            </w:r>
          </w:p>
        </w:tc>
        <w:tc>
          <w:tcPr>
            <w:tcW w:w="12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52" w:type="dxa"/>
            <w:tcBorders/>
            <w:vAlign w:val="center"/>
          </w:tcPr>
          <w:p>
            <w:pPr>
              <w:pStyle w:val="TableContents"/>
              <w:bidi w:val="0"/>
              <w:spacing w:before="0" w:after="0"/>
              <w:ind w:left="0" w:right="0" w:hanging="0"/>
              <w:jc w:val="center"/>
              <w:rPr/>
            </w:pPr>
            <w:r>
              <w:rPr/>
              <w:t>​</w:t>
            </w:r>
          </w:p>
        </w:tc>
        <w:tc>
          <w:tcPr>
            <w:tcW w:w="12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0"/>
              <w:ind w:left="0" w:right="0" w:hanging="0"/>
              <w:jc w:val="left"/>
              <w:rPr/>
            </w:pPr>
            <w:r>
              <w:rPr/>
              <w:t>​</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33" w:type="dxa"/>
            <w:tcBorders/>
            <w:vAlign w:val="center"/>
          </w:tcPr>
          <w:p>
            <w:pPr>
              <w:pStyle w:val="TableContents"/>
              <w:bidi w:val="0"/>
              <w:spacing w:before="0" w:after="0"/>
              <w:ind w:left="0" w:right="0" w:hanging="0"/>
              <w:jc w:val="center"/>
              <w:rPr/>
            </w:pPr>
            <w:r>
              <w:rPr/>
              <w:t>​</w:t>
            </w:r>
          </w:p>
        </w:tc>
        <w:tc>
          <w:tcPr>
            <w:tcW w:w="12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294" w:type="dxa"/>
            <w:tcBorders/>
            <w:shd w:fill="CCEEFF" w:val="clear"/>
            <w:vAlign w:val="center"/>
          </w:tcPr>
          <w:p>
            <w:pPr>
              <w:pStyle w:val="TableContents"/>
              <w:bidi w:val="0"/>
              <w:spacing w:before="0" w:after="0"/>
              <w:ind w:left="0" w:right="0" w:hanging="0"/>
              <w:jc w:val="left"/>
              <w:rPr/>
            </w:pPr>
            <w:r>
              <w:rPr/>
              <w:t>​</w:t>
            </w:r>
          </w:p>
        </w:tc>
        <w:tc>
          <w:tcPr>
            <w:tcW w:w="942" w:type="dxa"/>
            <w:tcBorders/>
            <w:shd w:fill="CCEEFF" w:val="clear"/>
            <w:vAlign w:val="center"/>
          </w:tcPr>
          <w:p>
            <w:pPr>
              <w:pStyle w:val="TableContents"/>
              <w:bidi w:val="0"/>
              <w:spacing w:before="0" w:after="0"/>
              <w:ind w:left="0" w:right="0" w:hanging="0"/>
              <w:jc w:val="right"/>
              <w:rPr/>
            </w:pPr>
            <w:r>
              <w:rPr/>
              <w:t>​</w:t>
            </w:r>
          </w:p>
        </w:tc>
        <w:tc>
          <w:tcPr>
            <w:tcW w:w="152"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9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33"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Payments</w:t>
            </w:r>
          </w:p>
        </w:tc>
        <w:tc>
          <w:tcPr>
            <w:tcW w:w="2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28,138</w:t>
            </w:r>
          </w:p>
        </w:tc>
        <w:tc>
          <w:tcPr>
            <w:tcW w:w="152"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25,533</w:t>
            </w:r>
          </w:p>
        </w:tc>
        <w:tc>
          <w:tcPr>
            <w:tcW w:w="109"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55,652</w:t>
            </w:r>
          </w:p>
        </w:tc>
        <w:tc>
          <w:tcPr>
            <w:tcW w:w="133"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49,459</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Payments</w:t>
            </w:r>
          </w:p>
        </w:tc>
        <w:tc>
          <w:tcPr>
            <w:tcW w:w="2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8,998</w:t>
            </w:r>
          </w:p>
        </w:tc>
        <w:tc>
          <w:tcPr>
            <w:tcW w:w="152" w:type="dxa"/>
            <w:tcBorders/>
            <w:shd w:fill="CCEEFF" w:val="clear"/>
            <w:vAlign w:val="center"/>
          </w:tcPr>
          <w:p>
            <w:pPr>
              <w:pStyle w:val="TableContents"/>
              <w:bidi w:val="0"/>
              <w:spacing w:before="0" w:after="0"/>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7,842</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18,064</w:t>
            </w:r>
          </w:p>
        </w:tc>
        <w:tc>
          <w:tcPr>
            <w:tcW w:w="133"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15,588</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Leasing Revenue</w:t>
            </w:r>
          </w:p>
        </w:tc>
        <w:tc>
          <w:tcPr>
            <w:tcW w:w="2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37,136</w:t>
            </w:r>
          </w:p>
        </w:tc>
        <w:tc>
          <w:tcPr>
            <w:tcW w:w="152" w:type="dxa"/>
            <w:tcBorders/>
            <w:vAlign w:val="center"/>
          </w:tcPr>
          <w:p>
            <w:pPr>
              <w:pStyle w:val="TableContents"/>
              <w:bidi w:val="0"/>
              <w:spacing w:before="0" w:after="0"/>
              <w:ind w:left="0" w:right="0" w:hanging="0"/>
              <w:jc w:val="left"/>
              <w:rPr/>
            </w:pPr>
            <w:r>
              <w:rPr/>
              <w:t>​</w:t>
            </w:r>
          </w:p>
        </w:tc>
        <w:tc>
          <w:tcPr>
            <w:tcW w:w="2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33,375</w:t>
            </w:r>
          </w:p>
        </w:tc>
        <w:tc>
          <w:tcPr>
            <w:tcW w:w="109" w:type="dxa"/>
            <w:tcBorders/>
            <w:vAlign w:val="center"/>
          </w:tcPr>
          <w:p>
            <w:pPr>
              <w:pStyle w:val="TableContents"/>
              <w:bidi w:val="0"/>
              <w:spacing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73,716</w:t>
            </w:r>
          </w:p>
        </w:tc>
        <w:tc>
          <w:tcPr>
            <w:tcW w:w="133" w:type="dxa"/>
            <w:tcBorders/>
            <w:vAlign w:val="center"/>
          </w:tcPr>
          <w:p>
            <w:pPr>
              <w:pStyle w:val="TableContents"/>
              <w:bidi w:val="0"/>
              <w:spacing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65,047</w:t>
            </w:r>
          </w:p>
        </w:tc>
      </w:tr>
    </w:tbl>
    <w:p>
      <w:pPr>
        <w:pStyle w:val="TextBody"/>
        <w:bidi w:val="0"/>
        <w:spacing w:before="0" w:after="0"/>
        <w:ind w:left="0" w:right="0" w:hanging="0"/>
        <w:jc w:val="left"/>
        <w:rPr/>
      </w:pPr>
      <w:r>
        <w:rPr/>
        <w:t> </w:t>
      </w:r>
    </w:p>
    <w:p>
      <w:pPr>
        <w:pStyle w:val="TextBody"/>
        <w:bidi w:val="0"/>
        <w:spacing w:before="0" w:after="220"/>
        <w:ind w:left="0" w:right="0" w:hanging="0"/>
        <w:jc w:val="left"/>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Times New Roman;Times;serif" w:hAnsi="Times New Roman;Times;serif"/>
          <w:sz w:val="20"/>
        </w:rPr>
      </w:pPr>
      <w:bookmarkStart w:id="1015" w:name="Tc_XdohtP-StEq34AriYA_lGA_9_2"/>
      <w:bookmarkStart w:id="1016" w:name="Tc_fTpjB3WPx0uK834lODHiSA_9_0"/>
      <w:bookmarkStart w:id="1017" w:name="Tc_Lv3Y5y5fKUqw2uRaeKnMTA_8_0"/>
      <w:bookmarkStart w:id="1018" w:name="Tc_GkUDWSCYuUeMQ-GwPb21oA_7_0"/>
      <w:bookmarkStart w:id="1019" w:name="Tc_JZkMAI8qKUiZlWIzpJdJAg_6_0"/>
      <w:bookmarkStart w:id="1020" w:name="Tc_YM09Jyq-VUaYdY-mDXKPUQ_5_0"/>
      <w:bookmarkStart w:id="1021" w:name="Tc_vsOcG4VzN0Slhn5eegXXUQ_4_0"/>
      <w:bookmarkStart w:id="1022" w:name="Tc_PrLwIv8Btk-AGJiJprettg_3_0"/>
      <w:bookmarkStart w:id="1023" w:name="Tc_lqOHQCpRbUm5U9FAeeIAxA_2_2"/>
      <w:bookmarkStart w:id="1024" w:name="Tc_JK-KYq-IE0uJZlcY8IEyqw_2_0"/>
      <w:bookmarkStart w:id="1025" w:name="Tc_WGp2zrRAnkCkqHbzBEZLRg_1_2"/>
      <w:bookmarkStart w:id="1026" w:name="Tc_G6Y23vncgk6NUjbPm0Rv5Q_1_0"/>
      <w:bookmarkStart w:id="1027" w:name="_b25c7ee8_4035_4211_99eb_5d131f2a25ff"/>
      <w:bookmarkEnd w:id="1015"/>
      <w:bookmarkEnd w:id="1016"/>
      <w:bookmarkEnd w:id="1017"/>
      <w:bookmarkEnd w:id="1018"/>
      <w:bookmarkEnd w:id="1019"/>
      <w:bookmarkEnd w:id="1020"/>
      <w:bookmarkEnd w:id="1021"/>
      <w:bookmarkEnd w:id="1022"/>
      <w:bookmarkEnd w:id="1023"/>
      <w:bookmarkEnd w:id="1024"/>
      <w:bookmarkEnd w:id="1025"/>
      <w:bookmarkEnd w:id="1026"/>
      <w:bookmarkEnd w:id="1027"/>
      <w:r>
        <w:rPr>
          <w:rFonts w:ascii="Times New Roman;Times;serif" w:hAnsi="Times New Roman;Times;serif"/>
          <w:sz w:val="20"/>
        </w:rPr>
        <w:t>Minimum future base rental receipts under non-cancelable operating leases, excluding percentage rent and other lease payments that are not fixed and determinable, having remaining terms in excess of one year subsequent to June 30, 2026, are summarized as follows (in thousands):</w:t>
      </w:r>
    </w:p>
    <w:p>
      <w:pPr>
        <w:pStyle w:val="TextBody"/>
        <w:bidi w:val="0"/>
        <w:spacing w:before="0" w:after="0"/>
        <w:ind w:left="0" w:right="0" w:hanging="0"/>
        <w:jc w:val="left"/>
        <w:rPr/>
      </w:pPr>
      <w:r>
        <w:rPr/>
        <w:t>​</w:t>
      </w:r>
    </w:p>
    <w:tbl>
      <w:tblPr>
        <w:tblW w:w="4324" w:type="dxa"/>
        <w:jc w:val="left"/>
        <w:tblInd w:w="0" w:type="dxa"/>
        <w:tblLayout w:type="fixed"/>
        <w:tblCellMar>
          <w:top w:w="0" w:type="dxa"/>
          <w:left w:w="0" w:type="dxa"/>
          <w:bottom w:w="0" w:type="dxa"/>
          <w:right w:w="0" w:type="dxa"/>
        </w:tblCellMar>
      </w:tblPr>
      <w:tblGrid>
        <w:gridCol w:w="2881"/>
        <w:gridCol w:w="346"/>
        <w:gridCol w:w="211"/>
        <w:gridCol w:w="886"/>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829435" cy="175895"/>
                      <wp:effectExtent l="0" t="0" r="0" b="0"/>
                      <wp:wrapNone/>
                      <wp:docPr id="135" name="Frame135"/>
                      <a:graphic xmlns:a="http://schemas.openxmlformats.org/drawingml/2006/main">
                        <a:graphicData uri="http://schemas.microsoft.com/office/word/2010/wordprocessingShape">
                          <wps:wsp>
                            <wps:cNvSpPr txBox="1"/>
                            <wps:spPr>
                              <a:xfrm>
                                <a:off x="0" y="0"/>
                                <a:ext cx="18294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895"/>
                      <wp:effectExtent l="0" t="0" r="0" b="0"/>
                      <wp:wrapNone/>
                      <wp:docPr id="136" name="Frame136"/>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62610" cy="175895"/>
                      <wp:effectExtent l="0" t="0" r="0" b="0"/>
                      <wp:wrapNone/>
                      <wp:docPr id="137" name="Frame137"/>
                      <a:graphic xmlns:a="http://schemas.openxmlformats.org/drawingml/2006/main">
                        <a:graphicData uri="http://schemas.microsoft.com/office/word/2010/wordprocessingShape">
                          <wps:wsp>
                            <wps:cNvSpPr txBox="1"/>
                            <wps:spPr>
                              <a:xfrm>
                                <a:off x="0" y="0"/>
                                <a:ext cx="5626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881"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346" w:type="dxa"/>
            <w:tcBorders/>
            <w:vAlign w:val="center"/>
          </w:tcPr>
          <w:p>
            <w:pPr>
              <w:pStyle w:val="TableContents"/>
              <w:bidi w:val="0"/>
              <w:spacing w:before="1" w:after="1"/>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 xml:space="preserve">Amounts </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54,529</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101,816</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88,247</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72,674</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63,848</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2031</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50,865</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2032 and Thereafter (Cumulative)</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122,842</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554,821</w:t>
            </w:r>
          </w:p>
        </w:tc>
      </w:tr>
    </w:tbl>
    <w:p>
      <w:pPr>
        <w:pStyle w:val="TextBody"/>
        <w:bidi w:val="0"/>
        <w:spacing w:before="0" w:after="0"/>
        <w:ind w:left="0" w:right="0" w:hanging="0"/>
        <w:jc w:val="both"/>
        <w:rPr/>
      </w:pPr>
      <w:r>
        <w:rPr/>
        <w:t> </w:t>
      </w:r>
    </w:p>
    <w:p>
      <w:pPr>
        <w:pStyle w:val="TextBody"/>
        <w:bidi w:val="0"/>
        <w:spacing w:before="0" w:after="220"/>
        <w:ind w:left="0" w:right="0" w:hanging="0"/>
        <w:jc w:val="both"/>
        <w:rPr/>
      </w:pPr>
      <w:r>
        <w:rPr/>
        <w:t>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2026 Acquisitions.</w:t>
      </w:r>
      <w:r>
        <w:rPr>
          <w:rFonts w:ascii="Times New Roman;Times;serif" w:hAnsi="Times New Roman;Times;serif"/>
          <w:sz w:val="20"/>
        </w:rPr>
        <w:t> During the six months ended June 30, 2026, the Company acquired two shopping center properties and one land parcel for an aggregate purchase price of $137.8 million, or a total acquisition cost of $138.1 million, as described below:</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Palms Crossing, an open-air shopping center located in McAllen, TX, for a purchase price of $81.6</w:t>
            </w:r>
            <w:r>
              <w:rPr>
                <w:caps w:val="false"/>
                <w:smallCaps w:val="false"/>
              </w:rPr>
              <w:t xml:space="preserve"> </w:t>
            </w:r>
            <w:r>
              <w:rPr>
                <w:rFonts w:ascii="Times New Roman;Times;serif" w:hAnsi="Times New Roman;Times;serif"/>
                <w:b w:val="false"/>
                <w:i w:val="false"/>
                <w:caps w:val="false"/>
                <w:smallCaps w:val="false"/>
                <w:sz w:val="20"/>
              </w:rPr>
              <w:t>million, or a total acquisition cost of $81.8</w:t>
            </w:r>
            <w:r>
              <w:rPr>
                <w:caps w:val="false"/>
                <w:smallCaps w:val="false"/>
              </w:rPr>
              <w:t xml:space="preserve"> </w:t>
            </w:r>
            <w:r>
              <w:rPr>
                <w:rFonts w:ascii="Times New Roman;Times;serif" w:hAnsi="Times New Roman;Times;serif"/>
                <w:b w:val="false"/>
                <w:i w:val="false"/>
                <w:caps w:val="false"/>
                <w:smallCaps w:val="false"/>
                <w:sz w:val="20"/>
              </w:rPr>
              <w:t>million, including capitalized acquisition costs. Palms Crossing comprises approximately 399,000</w:t>
            </w:r>
            <w:r>
              <w:rPr>
                <w:caps w:val="false"/>
                <w:smallCaps w:val="false"/>
              </w:rPr>
              <w:t xml:space="preserve"> </w:t>
            </w:r>
            <w:r>
              <w:rPr>
                <w:rFonts w:ascii="Times New Roman;Times;serif" w:hAnsi="Times New Roman;Times;serif"/>
                <w:b w:val="false"/>
                <w:i w:val="false"/>
                <w:caps w:val="false"/>
                <w:smallCaps w:val="false"/>
                <w:sz w:val="20"/>
              </w:rPr>
              <w:t>square feet, was 98%</w:t>
            </w:r>
            <w:r>
              <w:rPr>
                <w:caps w:val="false"/>
                <w:smallCaps w:val="false"/>
              </w:rPr>
              <w:t xml:space="preserve"> </w:t>
            </w:r>
            <w:r>
              <w:rPr>
                <w:rFonts w:ascii="Times New Roman;Times;serif" w:hAnsi="Times New Roman;Times;serif"/>
                <w:b w:val="false"/>
                <w:i w:val="false"/>
                <w:caps w:val="false"/>
                <w:smallCaps w:val="false"/>
                <w:sz w:val="20"/>
              </w:rPr>
              <w:t>occupied at acquisition, and had a weighted average remaining lease term of 4.5</w:t>
            </w:r>
            <w:r>
              <w:rPr>
                <w:caps w:val="false"/>
                <w:smallCaps w:val="false"/>
              </w:rPr>
              <w:t xml:space="preserve"> </w:t>
            </w:r>
            <w:r>
              <w:rPr>
                <w:rFonts w:ascii="Times New Roman;Times;serif" w:hAnsi="Times New Roman;Times;serif"/>
                <w:b w:val="false"/>
                <w:i w:val="false"/>
                <w:caps w:val="false"/>
                <w:smallCaps w:val="false"/>
                <w:sz w:val="20"/>
              </w:rPr>
              <w:t>years at acquisition.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Gallery on the Parkway, an open-air shopping center located in Dallas, TX, for a purchase price of $53.2</w:t>
            </w:r>
            <w:r>
              <w:rPr>
                <w:caps w:val="false"/>
                <w:smallCaps w:val="false"/>
              </w:rPr>
              <w:t xml:space="preserve"> </w:t>
            </w:r>
            <w:r>
              <w:rPr>
                <w:rFonts w:ascii="Times New Roman;Times;serif" w:hAnsi="Times New Roman;Times;serif"/>
                <w:b w:val="false"/>
                <w:i w:val="false"/>
                <w:caps w:val="false"/>
                <w:smallCaps w:val="false"/>
                <w:sz w:val="20"/>
              </w:rPr>
              <w:t>million, or a total acquisition cost of $53.3</w:t>
            </w:r>
            <w:r>
              <w:rPr>
                <w:caps w:val="false"/>
                <w:smallCaps w:val="false"/>
              </w:rPr>
              <w:t xml:space="preserve"> </w:t>
            </w:r>
            <w:r>
              <w:rPr>
                <w:rFonts w:ascii="Times New Roman;Times;serif" w:hAnsi="Times New Roman;Times;serif"/>
                <w:b w:val="false"/>
                <w:i w:val="false"/>
                <w:caps w:val="false"/>
                <w:smallCaps w:val="false"/>
                <w:sz w:val="20"/>
              </w:rPr>
              <w:t>million, including capitalized acquisition costs. Gallery on the Parkway comprises approximately 152,000</w:t>
            </w:r>
            <w:r>
              <w:rPr>
                <w:caps w:val="false"/>
                <w:smallCaps w:val="false"/>
              </w:rPr>
              <w:t xml:space="preserve"> </w:t>
            </w:r>
            <w:r>
              <w:rPr>
                <w:rFonts w:ascii="Times New Roman;Times;serif" w:hAnsi="Times New Roman;Times;serif"/>
                <w:b w:val="false"/>
                <w:i w:val="false"/>
                <w:caps w:val="false"/>
                <w:smallCaps w:val="false"/>
                <w:sz w:val="20"/>
              </w:rPr>
              <w:t>square feet, was 100%</w:t>
            </w:r>
            <w:r>
              <w:rPr>
                <w:caps w:val="false"/>
                <w:smallCaps w:val="false"/>
              </w:rPr>
              <w:t xml:space="preserve"> </w:t>
            </w:r>
            <w:r>
              <w:rPr>
                <w:rFonts w:ascii="Times New Roman;Times;serif" w:hAnsi="Times New Roman;Times;serif"/>
                <w:b w:val="false"/>
                <w:i w:val="false"/>
                <w:caps w:val="false"/>
                <w:smallCaps w:val="false"/>
                <w:sz w:val="20"/>
              </w:rPr>
              <w:t>occupied at acquisition, and had a weighted average remaining lease term of 8.4</w:t>
            </w:r>
            <w:r>
              <w:rPr>
                <w:caps w:val="false"/>
                <w:smallCaps w:val="false"/>
              </w:rPr>
              <w:t xml:space="preserve"> </w:t>
            </w:r>
            <w:r>
              <w:rPr>
                <w:rFonts w:ascii="Times New Roman;Times;serif" w:hAnsi="Times New Roman;Times;serif"/>
                <w:b w:val="false"/>
                <w:i w:val="false"/>
                <w:caps w:val="false"/>
                <w:smallCaps w:val="false"/>
                <w:sz w:val="20"/>
              </w:rPr>
              <w:t>years at acquisition.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 land parcel located adjacent to our two restaurant operating properties in Daytona Beach, FL, for a purchase price of $3.0</w:t>
            </w:r>
            <w:r>
              <w:rPr>
                <w:caps w:val="false"/>
                <w:smallCaps w:val="false"/>
              </w:rPr>
              <w:t xml:space="preserve"> </w:t>
            </w:r>
            <w:r>
              <w:rPr>
                <w:rFonts w:ascii="Times New Roman;Times;serif" w:hAnsi="Times New Roman;Times;serif"/>
                <w:b w:val="false"/>
                <w:i w:val="false"/>
                <w:caps w:val="false"/>
                <w:smallCaps w:val="false"/>
                <w:sz w:val="20"/>
              </w:rPr>
              <w:t>million. The property was acquired for future development purposes.</w:t>
            </w:r>
          </w:p>
        </w:tc>
      </w:tr>
    </w:tbl>
    <w:p>
      <w:pPr>
        <w:pStyle w:val="TextBody"/>
        <w:bidi w:val="0"/>
        <w:spacing w:before="0" w:after="240"/>
        <w:ind w:left="0" w:right="0" w:firstLine="490"/>
        <w:jc w:val="both"/>
        <w:rPr>
          <w:rFonts w:ascii="Times New Roman;Times;serif" w:hAnsi="Times New Roman;Times;serif"/>
          <w:color w:val="212529"/>
          <w:sz w:val="20"/>
        </w:rPr>
      </w:pPr>
      <w:r>
        <w:rPr>
          <w:rFonts w:ascii="Times New Roman;Times;serif" w:hAnsi="Times New Roman;Times;serif"/>
          <w:color w:val="212529"/>
          <w:sz w:val="20"/>
        </w:rPr>
        <w:t>Of the aggregate $138.1 million acquisition cost, $33.7 million was allocated to land, $87.5 million to buildings and improvements, $21.5 million to intangible assets including in-place lease value, leasing costs, and above-market lease value and $4.6 million to intangible liabilities related to below-market lease value. The weighted average amortization period for the intangible assets and liabilities was 5.4 years at acquisition.</w:t>
      </w:r>
    </w:p>
    <w:p>
      <w:pPr>
        <w:pStyle w:val="TextBody"/>
        <w:pBdr/>
        <w:bidi w:val="0"/>
        <w:spacing w:before="0" w:after="0"/>
        <w:ind w:left="0" w:right="0" w:firstLine="490"/>
        <w:jc w:val="both"/>
        <w:rPr>
          <w:rFonts w:ascii="Times New Roman;Times;serif" w:hAnsi="Times New Roman;Times;serif"/>
          <w:sz w:val="20"/>
        </w:rPr>
      </w:pPr>
      <w:r>
        <w:rPr>
          <w:rFonts w:ascii="Times New Roman;Times;serif" w:hAnsi="Times New Roman;Times;serif"/>
          <w:i/>
          <w:color w:val="212529"/>
          <w:sz w:val="20"/>
        </w:rPr>
        <w:t xml:space="preserve">2026 Dispositions. </w:t>
      </w:r>
      <w:r>
        <w:rPr>
          <w:rFonts w:ascii="Times New Roman;Times;serif" w:hAnsi="Times New Roman;Times;serif"/>
          <w:color w:val="212529"/>
          <w:sz w:val="20"/>
        </w:rPr>
        <w:t>During the six months ended June 30, 2026, the Company sold two shopping center properties for $90.7 million, generating gains of $2.1 million.</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2025 Acquisitions.</w:t>
      </w:r>
      <w:r>
        <w:rPr>
          <w:rFonts w:ascii="Times New Roman;Times;serif" w:hAnsi="Times New Roman;Times;serif"/>
          <w:sz w:val="20"/>
        </w:rPr>
        <w:t> During the six months ended June 30, 2025, the Company acquired Ashley Park, a shopping center located in Newnan, GA, for a purchase price of $79.8 million, or a total acquisition cost of $80.0 million, including capitalized acquisition costs. Ashley Park comprises approximately 559,000 square feet, was 92% occupied at acquisition, and had a weighted average remaining lease term of 4.1 years at acquisition. Of the total acquisition costs, $26.0 million was allocated to land, $40.9 million to buildings and improvements, $16.8 million to intangible assets pertaining to the in-place lease value, leasing costs, and above market lease value and $3.7 million to intangible liabilities for the below market lease value.</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2025 Dispositions.</w:t>
      </w:r>
      <w:r>
        <w:rPr>
          <w:rFonts w:ascii="Times New Roman;Times;serif" w:hAnsi="Times New Roman;Times;serif"/>
          <w:sz w:val="20"/>
        </w:rPr>
        <w:t xml:space="preserve"> No income properties were disposed of during the six months ended June 30, 2025.</w:t>
      </w:r>
    </w:p>
    <w:p>
      <w:pPr>
        <w:pStyle w:val="TextBody"/>
        <w:shd w:fill="FFFFFF" w:val="clear"/>
        <w:bidi w:val="0"/>
        <w:spacing w:before="0" w:after="0"/>
        <w:ind w:left="0" w:right="0" w:hanging="0"/>
        <w:jc w:val="both"/>
        <w:rPr>
          <w:color w:val="212529"/>
        </w:rPr>
      </w:pPr>
      <w:r>
        <w:rPr>
          <w:color w:val="212529"/>
        </w:rPr>
        <w:t> </w:t>
      </w:r>
    </w:p>
    <w:p>
      <w:pPr>
        <w:pStyle w:val="TextBody"/>
        <w:shd w:fill="FFFFFF" w:val="clear"/>
        <w:bidi w:val="0"/>
        <w:spacing w:before="100" w:after="100"/>
        <w:ind w:left="0" w:right="0" w:hanging="0"/>
        <w:jc w:val="both"/>
        <w:rPr>
          <w:color w:val="212529"/>
        </w:rPr>
      </w:pPr>
      <w:r>
        <w:rPr>
          <w:color w:val="212529"/>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4. COMMERCIAL LOANS AND INVESTMENTS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pacing w:val="-2"/>
          <w:sz w:val="20"/>
        </w:rPr>
        <w:t xml:space="preserve">Our </w:t>
      </w:r>
      <w:r>
        <w:rPr>
          <w:rFonts w:ascii="Times New Roman;Times;serif" w:hAnsi="Times New Roman;Times;serif"/>
          <w:sz w:val="20"/>
        </w:rPr>
        <w:t>investments in commercial loans or similarly structured investments, such as preferred equity, mezzanine loans or other subordinated debt, have been and are expected to continue to be secured by real estate or the borrower’s pledge of its ownership interest in the entity that owns the real estate. The investments are associated with commercial real estate located in the United States, and are current or performing with either a fixed or floating rate. Some of these loans may be syndicated in either a pari-passu or senior/subordinated structure. Commercial first mortgage loans generally provide for a higher recovery rate due to their senior position in the underlying collateral. Commercial mezzanine loans are typically secured by a pledge of the borrower’s equity ownership in the underlying commercial real estate. Unlike a mortgage, a mezzanine loan is not secured by a lien on the property. An investor’s rights in a mezzanine loan are usually governed by an intercreditor agreement that provides holders with the rights to cure defaults and exercise control on certain decisions of any senior debt secured by the same commercial property.</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2026 Activity. </w:t>
      </w:r>
      <w:r>
        <w:rPr>
          <w:rFonts w:ascii="Times New Roman;Times;serif" w:hAnsi="Times New Roman;Times;serif"/>
          <w:sz w:val="20"/>
        </w:rPr>
        <w:t>During the six months ended June 30, 2026, the Company entered into two preferred equity agreements for aggregate investments of $96.4 million. Origination fees totaling $1.2 million were received on the two preferred equity agreements. In addition, the Company funded $17.4 million under existing construction loan commitments. The Company’s $30.0 million Watters Creek preferred equity investment was repaid in full, including all accrued interest.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2025 Activity.</w:t>
      </w:r>
      <w:r>
        <w:rPr>
          <w:rFonts w:ascii="Times New Roman;Times;serif" w:hAnsi="Times New Roman;Times;serif"/>
          <w:sz w:val="20"/>
        </w:rPr>
        <w:t xml:space="preserve"> </w:t>
      </w:r>
      <w:r>
        <w:rPr>
          <w:rFonts w:ascii="Times New Roman;Times;serif" w:hAnsi="Times New Roman;Times;serif"/>
          <w:sz w:val="20"/>
          <w:shd w:fill="FFFFFF" w:val="clear"/>
        </w:rPr>
        <w:t>During the six months ended June 30, 2025, </w:t>
      </w:r>
      <w:r>
        <w:rPr>
          <w:rFonts w:ascii="Times New Roman;Times;serif" w:hAnsi="Times New Roman;Times;serif"/>
          <w:sz w:val="20"/>
        </w:rPr>
        <w:t>no</w:t>
      </w:r>
      <w:r>
        <w:rPr>
          <w:rFonts w:ascii="Times New Roman;Times;serif" w:hAnsi="Times New Roman;Times;serif"/>
          <w:sz w:val="20"/>
          <w:shd w:fill="FFFFFF" w:val="clear"/>
        </w:rPr>
        <w:t> new commercial loans or investments were originated; however, $6.4 million of funding, net of origination fees received, was provided for existing construction loans and principal repayments of $5.6 million were received.</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Other Activity.</w:t>
      </w:r>
      <w:r>
        <w:rPr>
          <w:rFonts w:ascii="Times New Roman;Times;serif" w:hAnsi="Times New Roman;Times;serif"/>
          <w:sz w:val="20"/>
        </w:rPr>
        <w:t xml:space="preserve"> Certain commercial loans and investments outstanding as of June 30, 2026 required determinations, at origination, related to variable interest entity matters as described herein: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Series A Preferred Investment. </w:t>
            </w:r>
            <w:r>
              <w:rPr>
                <w:rFonts w:ascii="Times New Roman;Times;serif" w:hAnsi="Times New Roman;Times;serif"/>
                <w:b w:val="false"/>
                <w:i w:val="false"/>
                <w:caps w:val="false"/>
                <w:smallCaps w:val="false"/>
                <w:sz w:val="20"/>
              </w:rPr>
              <w:t>On July 11, 2024, the Company funded $10.0</w:t>
            </w:r>
            <w:r>
              <w:rPr>
                <w:caps w:val="false"/>
                <w:smallCaps w:val="false"/>
              </w:rPr>
              <w:t xml:space="preserve"> </w:t>
            </w:r>
            <w:r>
              <w:rPr>
                <w:rFonts w:ascii="Times New Roman;Times;serif" w:hAnsi="Times New Roman;Times;serif"/>
                <w:b w:val="false"/>
                <w:i w:val="false"/>
                <w:caps w:val="false"/>
                <w:smallCaps w:val="false"/>
                <w:sz w:val="20"/>
              </w:rPr>
              <w:t>million into an escrow account, which escrow closed on August 1, 2024 in exchange for 10,000</w:t>
            </w:r>
            <w:r>
              <w:rPr>
                <w:caps w:val="false"/>
                <w:smallCaps w:val="false"/>
              </w:rPr>
              <w:t xml:space="preserve"> </w:t>
            </w:r>
            <w:r>
              <w:rPr>
                <w:rFonts w:ascii="Times New Roman;Times;serif" w:hAnsi="Times New Roman;Times;serif"/>
                <w:b w:val="false"/>
                <w:i w:val="false"/>
                <w:caps w:val="false"/>
                <w:smallCaps w:val="false"/>
                <w:sz w:val="20"/>
              </w:rPr>
              <w:t>shares of 14.000%</w:t>
            </w:r>
            <w:r>
              <w:rPr>
                <w:caps w:val="false"/>
                <w:smallCaps w:val="false"/>
              </w:rPr>
              <w:t xml:space="preserve"> </w:t>
            </w:r>
            <w:r>
              <w:rPr>
                <w:rFonts w:ascii="Times New Roman;Times;serif" w:hAnsi="Times New Roman;Times;serif"/>
                <w:b w:val="false"/>
                <w:i w:val="false"/>
                <w:caps w:val="false"/>
                <w:smallCaps w:val="false"/>
                <w:sz w:val="20"/>
              </w:rPr>
              <w:t>Series A preferred stock, with a $0.01</w:t>
            </w:r>
            <w:r>
              <w:rPr>
                <w:caps w:val="false"/>
                <w:smallCaps w:val="false"/>
              </w:rPr>
              <w:t xml:space="preserve"> </w:t>
            </w:r>
            <w:r>
              <w:rPr>
                <w:rFonts w:ascii="Times New Roman;Times;serif" w:hAnsi="Times New Roman;Times;serif"/>
                <w:b w:val="false"/>
                <w:i w:val="false"/>
                <w:caps w:val="false"/>
                <w:smallCaps w:val="false"/>
                <w:sz w:val="20"/>
              </w:rPr>
              <w:t>par value per share, of a subsidiary of a publicly-traded hospitality, entertainment and real estate company (the “Series A Preferred Investment”). In connection with the investment, the Company received an origination fee of 1.0%</w:t>
            </w:r>
            <w:r>
              <w:rPr>
                <w:caps w:val="false"/>
                <w:smallCaps w:val="false"/>
              </w:rPr>
              <w:t xml:space="preserve"> </w:t>
            </w:r>
            <w:r>
              <w:rPr>
                <w:rFonts w:ascii="Times New Roman;Times;serif" w:hAnsi="Times New Roman;Times;serif"/>
                <w:b w:val="false"/>
                <w:i w:val="false"/>
                <w:caps w:val="false"/>
                <w:smallCaps w:val="false"/>
                <w:sz w:val="20"/>
              </w:rPr>
              <w:t>or $0.1</w:t>
            </w:r>
            <w:r>
              <w:rPr>
                <w:caps w:val="false"/>
                <w:smallCaps w:val="false"/>
              </w:rPr>
              <w:t xml:space="preserve"> </w:t>
            </w:r>
            <w:r>
              <w:rPr>
                <w:rFonts w:ascii="Times New Roman;Times;serif" w:hAnsi="Times New Roman;Times;serif"/>
                <w:b w:val="false"/>
                <w:i w:val="false"/>
                <w:caps w:val="false"/>
                <w:smallCaps w:val="false"/>
                <w:sz w:val="20"/>
              </w:rPr>
              <w:t xml:space="preserve">million. The investment is not redeemable prior to July 11, 2029, except upon the occurrence of certain specified events. The Company determined, pursuant to FASB ASC Topic 810, </w:t>
            </w:r>
            <w:r>
              <w:rPr>
                <w:rFonts w:ascii="Times New Roman;Times;serif" w:hAnsi="Times New Roman;Times;serif"/>
                <w:b w:val="false"/>
                <w:i/>
                <w:sz w:val="20"/>
              </w:rPr>
              <w:t>Consolidation</w:t>
            </w:r>
            <w:r>
              <w:rPr>
                <w:rFonts w:ascii="Times New Roman;Times;serif" w:hAnsi="Times New Roman;Times;serif"/>
                <w:b w:val="false"/>
                <w:i w:val="false"/>
                <w:caps w:val="false"/>
                <w:smallCaps w:val="false"/>
                <w:sz w:val="20"/>
              </w:rPr>
              <w:t xml:space="preserve">, that we do not have a variable interest in the entity underlying the Series A Preferred Investment; accordingly, FASB ASC Topic 320, </w:t>
            </w:r>
            <w:r>
              <w:rPr>
                <w:rFonts w:ascii="Times New Roman;Times;serif" w:hAnsi="Times New Roman;Times;serif"/>
                <w:b w:val="false"/>
                <w:i/>
                <w:sz w:val="20"/>
              </w:rPr>
              <w:t>Investments-Debt Securities</w:t>
            </w:r>
            <w:r>
              <w:rPr>
                <w:rFonts w:ascii="Times New Roman;Times;serif" w:hAnsi="Times New Roman;Times;serif"/>
                <w:b w:val="false"/>
                <w:i w:val="false"/>
                <w:caps w:val="false"/>
                <w:smallCaps w:val="false"/>
                <w:sz w:val="20"/>
              </w:rPr>
              <w:t>, was applied and the investment was recorded in the consolidated balance sheets as a commercial loan investment at the time of acquisition.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Class A Premier Retail Preferred Investment. </w:t>
            </w:r>
            <w:r>
              <w:rPr>
                <w:rFonts w:ascii="Times New Roman;Times;serif" w:hAnsi="Times New Roman;Times;serif"/>
                <w:b w:val="false"/>
                <w:i w:val="false"/>
                <w:caps w:val="false"/>
                <w:smallCaps w:val="false"/>
                <w:sz w:val="20"/>
              </w:rPr>
              <w:t>On April 17, 2026, the Company entered into a preferred equity agreement to provide $75.0</w:t>
            </w:r>
            <w:r>
              <w:rPr>
                <w:caps w:val="false"/>
                <w:smallCaps w:val="false"/>
              </w:rPr>
              <w:t> </w:t>
            </w:r>
            <w:r>
              <w:rPr>
                <w:rFonts w:ascii="Times New Roman;Times;serif" w:hAnsi="Times New Roman;Times;serif"/>
                <w:b w:val="false"/>
                <w:i w:val="false"/>
                <w:caps w:val="false"/>
                <w:smallCaps w:val="false"/>
                <w:sz w:val="20"/>
              </w:rPr>
              <w:t>million of funding towards a Class A premier retail property located in the Southwest (the “Class A Premier Retail Preferred</w:t>
            </w:r>
            <w:r>
              <w:rPr/>
              <w:t xml:space="preserve"> </w:t>
            </w:r>
            <w:r>
              <w:rPr>
                <w:rFonts w:ascii="Times New Roman;Times;serif" w:hAnsi="Times New Roman;Times;serif"/>
                <w:b w:val="false"/>
                <w:i w:val="false"/>
                <w:caps w:val="false"/>
                <w:smallCaps w:val="false"/>
                <w:sz w:val="20"/>
              </w:rPr>
              <w:t xml:space="preserve">Investment”). Pursuant to FASB ASC Topic 810, </w:t>
            </w:r>
            <w:r>
              <w:rPr>
                <w:rFonts w:ascii="Times New Roman;Times;serif" w:hAnsi="Times New Roman;Times;serif"/>
                <w:b w:val="false"/>
                <w:i/>
                <w:sz w:val="20"/>
              </w:rPr>
              <w:t>Consolidation</w:t>
            </w:r>
            <w:r>
              <w:rPr>
                <w:rFonts w:ascii="Times New Roman;Times;serif" w:hAnsi="Times New Roman;Times;serif"/>
                <w:b w:val="false"/>
                <w:i w:val="false"/>
                <w:caps w:val="false"/>
                <w:smallCaps w:val="false"/>
                <w:sz w:val="20"/>
              </w:rPr>
              <w:t>, the Company determined it is not the primary beneficiary of the entity underlying the Class A Premier Retail Preferred Investment; accordingly, the $75.0</w:t>
            </w:r>
            <w:r>
              <w:rPr>
                <w:caps w:val="false"/>
                <w:smallCaps w:val="false"/>
              </w:rPr>
              <w:t> </w:t>
            </w:r>
            <w:r>
              <w:rPr>
                <w:rFonts w:ascii="Times New Roman;Times;serif" w:hAnsi="Times New Roman;Times;serif"/>
                <w:b w:val="false"/>
                <w:i w:val="false"/>
                <w:caps w:val="false"/>
                <w:smallCaps w:val="false"/>
                <w:sz w:val="20"/>
              </w:rPr>
              <w:t>million was recorded on the consolidated balance sheets as a commercial loan investment at the time of acquisition. The Class A Premier Retail Preferred</w:t>
            </w:r>
            <w:r>
              <w:rPr/>
              <w:t xml:space="preserve"> </w:t>
            </w:r>
            <w:r>
              <w:rPr>
                <w:rFonts w:ascii="Times New Roman;Times;serif" w:hAnsi="Times New Roman;Times;serif"/>
                <w:b w:val="false"/>
                <w:i w:val="false"/>
                <w:caps w:val="false"/>
                <w:smallCaps w:val="false"/>
                <w:sz w:val="20"/>
              </w:rPr>
              <w:t>Investment is mandatorily redeemable no later than the earlier of April 17, 2028, or upon the occurrence of certain other specified events. The Class A Premier Retail Preferred</w:t>
            </w:r>
            <w:r>
              <w:rPr/>
              <w:t xml:space="preserve"> </w:t>
            </w:r>
            <w:r>
              <w:rPr>
                <w:rFonts w:ascii="Times New Roman;Times;serif" w:hAnsi="Times New Roman;Times;serif"/>
                <w:b w:val="false"/>
                <w:i w:val="false"/>
                <w:caps w:val="false"/>
                <w:smallCaps w:val="false"/>
                <w:sz w:val="20"/>
              </w:rPr>
              <w:t>Investment bears a rate of 12.0%</w:t>
            </w:r>
            <w:r>
              <w:rPr>
                <w:caps w:val="false"/>
                <w:smallCaps w:val="false"/>
              </w:rPr>
              <w:t xml:space="preserve"> </w:t>
            </w:r>
            <w:r>
              <w:rPr>
                <w:rFonts w:ascii="Times New Roman;Times;serif" w:hAnsi="Times New Roman;Times;serif"/>
                <w:b w:val="false"/>
                <w:i w:val="false"/>
                <w:caps w:val="false"/>
                <w:smallCaps w:val="false"/>
                <w:sz w:val="20"/>
              </w:rPr>
              <w:t>for the first year, and 11.0%</w:t>
            </w:r>
            <w:r>
              <w:rPr>
                <w:caps w:val="false"/>
                <w:smallCaps w:val="false"/>
              </w:rPr>
              <w:t xml:space="preserve"> </w:t>
            </w:r>
            <w:r>
              <w:rPr>
                <w:rFonts w:ascii="Times New Roman;Times;serif" w:hAnsi="Times New Roman;Times;serif"/>
                <w:b w:val="false"/>
                <w:i w:val="false"/>
                <w:caps w:val="false"/>
                <w:smallCaps w:val="false"/>
                <w:sz w:val="20"/>
              </w:rPr>
              <w:t>thereafter. Additionally, at the election of the managing member of the Class A Premier Retail Preferred Investment, up to 3.0%</w:t>
            </w:r>
            <w:r>
              <w:rPr>
                <w:caps w:val="false"/>
                <w:smallCaps w:val="false"/>
              </w:rPr>
              <w:t xml:space="preserve"> </w:t>
            </w:r>
            <w:r>
              <w:rPr>
                <w:rFonts w:ascii="Times New Roman;Times;serif" w:hAnsi="Times New Roman;Times;serif"/>
                <w:b w:val="false"/>
                <w:i w:val="false"/>
                <w:caps w:val="false"/>
                <w:smallCaps w:val="false"/>
                <w:sz w:val="20"/>
              </w:rPr>
              <w:t>of the return can be deferred as paid-in-kind (“PIK”) interest for a period of up to one year. If such election is made, any accrued and unpaid deferred return will continue to accrue at the applicable rate, plus 1.0%</w:t>
            </w:r>
            <w:r>
              <w:rPr>
                <w:caps w:val="false"/>
                <w:smallCaps w:val="false"/>
              </w:rPr>
              <w:t xml:space="preserve"> </w:t>
            </w:r>
            <w:r>
              <w:rPr>
                <w:rFonts w:ascii="Times New Roman;Times;serif" w:hAnsi="Times New Roman;Times;serif"/>
                <w:b w:val="false"/>
                <w:i w:val="false"/>
                <w:caps w:val="false"/>
                <w:smallCaps w:val="false"/>
                <w:sz w:val="20"/>
              </w:rPr>
              <w:t>until repaid. There is an option to extend the stated redemption date for one</w:t>
            </w:r>
            <w:r>
              <w:rPr>
                <w:caps w:val="false"/>
                <w:smallCaps w:val="false"/>
              </w:rPr>
              <w:t xml:space="preserve"> </w:t>
            </w:r>
            <w:r>
              <w:rPr>
                <w:rFonts w:ascii="Times New Roman;Times;serif" w:hAnsi="Times New Roman;Times;serif"/>
                <w:b w:val="false"/>
                <w:i w:val="false"/>
                <w:caps w:val="false"/>
                <w:smallCaps w:val="false"/>
                <w:sz w:val="20"/>
              </w:rPr>
              <w:t>additional year, in which case the rate would increase to 13.0%. At closing, a 1.25%</w:t>
            </w:r>
            <w:r>
              <w:rPr>
                <w:caps w:val="false"/>
                <w:smallCaps w:val="false"/>
              </w:rPr>
              <w:t xml:space="preserve"> </w:t>
            </w:r>
            <w:r>
              <w:rPr>
                <w:rFonts w:ascii="Times New Roman;Times;serif" w:hAnsi="Times New Roman;Times;serif"/>
                <w:b w:val="false"/>
                <w:i w:val="false"/>
                <w:caps w:val="false"/>
                <w:smallCaps w:val="false"/>
                <w:sz w:val="20"/>
              </w:rPr>
              <w:t>origination fee, or $0.9</w:t>
            </w:r>
            <w:r>
              <w:rPr>
                <w:caps w:val="false"/>
                <w:smallCaps w:val="false"/>
              </w:rPr>
              <w:t> </w:t>
            </w:r>
            <w:r>
              <w:rPr>
                <w:rFonts w:ascii="Times New Roman;Times;serif" w:hAnsi="Times New Roman;Times;serif"/>
                <w:b w:val="false"/>
                <w:i w:val="false"/>
                <w:caps w:val="false"/>
                <w:smallCaps w:val="false"/>
                <w:sz w:val="20"/>
              </w:rPr>
              <w:t>million, was received by the Company. The Class A Premier Retail Preferred Investment represents $75.0</w:t>
            </w:r>
            <w:r>
              <w:rPr>
                <w:caps w:val="false"/>
                <w:smallCaps w:val="false"/>
              </w:rPr>
              <w:t> </w:t>
            </w:r>
            <w:r>
              <w:rPr>
                <w:rFonts w:ascii="Times New Roman;Times;serif" w:hAnsi="Times New Roman;Times;serif"/>
                <w:b w:val="false"/>
                <w:i w:val="false"/>
                <w:caps w:val="false"/>
                <w:smallCaps w:val="false"/>
                <w:sz w:val="20"/>
              </w:rPr>
              <w:t>million, or less than 5%, of funding towards the total investment in a Class A retail property located in the Southwest. The remaining funding is comprised of a combination of third-party sponsorship equity and secured debt.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Grocery-Anchored Retail Development Preferred Investment. </w:t>
            </w:r>
            <w:r>
              <w:rPr>
                <w:rFonts w:ascii="Times New Roman;Times;serif" w:hAnsi="Times New Roman;Times;serif"/>
                <w:b w:val="false"/>
                <w:i w:val="false"/>
                <w:caps w:val="false"/>
                <w:smallCaps w:val="false"/>
                <w:sz w:val="20"/>
              </w:rPr>
              <w:t>On May 7, 2026, the Company entered into a preferred equity agreement to provide $21.4</w:t>
            </w:r>
            <w:r>
              <w:rPr>
                <w:caps w:val="false"/>
                <w:smallCaps w:val="false"/>
              </w:rPr>
              <w:t> </w:t>
            </w:r>
            <w:r>
              <w:rPr>
                <w:rFonts w:ascii="Times New Roman;Times;serif" w:hAnsi="Times New Roman;Times;serif"/>
                <w:b w:val="false"/>
                <w:i w:val="false"/>
                <w:caps w:val="false"/>
                <w:smallCaps w:val="false"/>
                <w:sz w:val="20"/>
              </w:rPr>
              <w:t xml:space="preserve">million of funding towards a grocery-anchored retail shopping center located in the Northeast (the “Grocery-Anchored Retail Development Preferred Investment”). Pursuant to FASB ASC Topic 810, </w:t>
            </w:r>
            <w:r>
              <w:rPr>
                <w:rFonts w:ascii="Times New Roman;Times;serif" w:hAnsi="Times New Roman;Times;serif"/>
                <w:b w:val="false"/>
                <w:i/>
                <w:sz w:val="20"/>
              </w:rPr>
              <w:t>Consolidation</w:t>
            </w:r>
            <w:r>
              <w:rPr>
                <w:rFonts w:ascii="Times New Roman;Times;serif" w:hAnsi="Times New Roman;Times;serif"/>
                <w:b w:val="false"/>
                <w:i w:val="false"/>
                <w:caps w:val="false"/>
                <w:smallCaps w:val="false"/>
                <w:sz w:val="20"/>
              </w:rPr>
              <w:t xml:space="preserve">, the Company determined it is not the primary beneficiary of the entity underlying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028" w:name="Tc_pTCZ3xvACkGYQMmnCLHQJw_10_12"/>
      <w:bookmarkStart w:id="1029" w:name="Tc_bBl5LvuP3Eq-bsdpOSiUmA_10_0"/>
      <w:bookmarkStart w:id="1030" w:name="Tc_y9B8h0FiaUuJinBPcCBdYw_9_0"/>
      <w:bookmarkStart w:id="1031" w:name="Tc_3Z0XnxDogUe7JBStwGZMJA_8_12"/>
      <w:bookmarkStart w:id="1032" w:name="Tc_4AAshJMudkaM26kxGYjqxw_8_9"/>
      <w:bookmarkStart w:id="1033" w:name="Tc_jbMM9dW7Z0606-PpghwT4g_8_6"/>
      <w:bookmarkStart w:id="1034" w:name="Tc_odyq-RLwJE-t1EHpHPsgYg_7_4"/>
      <w:bookmarkStart w:id="1035" w:name="Tc_V1GVwwcGQEmwm3tgXZp9zg_7_2"/>
      <w:bookmarkStart w:id="1036" w:name="Tc_DbgRlz4P9Em5ZWSGpXDBmw_7_0"/>
      <w:bookmarkStart w:id="1037" w:name="Tc_tL2exunWPEOanknZQlIXqw_6_4"/>
      <w:bookmarkStart w:id="1038" w:name="Tc_MRtPpX7O_kK_fEYDkSUcig_6_2"/>
      <w:bookmarkStart w:id="1039" w:name="Tc_FreXVf7Lp06kPpgx4Khw3w_6_0"/>
      <w:bookmarkStart w:id="1040" w:name="Tc_oHmS2Er6OUumuGRHcgWwAA_5_4"/>
      <w:bookmarkStart w:id="1041" w:name="Tc_Swr4j7efGEmGcR_XpSJBDg_5_2"/>
      <w:bookmarkStart w:id="1042" w:name="Tc_y9W0Z7TNA0egSmlSDQgkTA_5_0"/>
      <w:bookmarkStart w:id="1043" w:name="Tc_jVDLvUFKUkCxKRO-bdKSBA_4_4"/>
      <w:bookmarkStart w:id="1044" w:name="Tc_xDJJerOY70OIKaTCuqmbwg_4_2"/>
      <w:bookmarkStart w:id="1045" w:name="Tc_ciID7Yr8jE-woc33oN1wRg_4_0"/>
      <w:bookmarkStart w:id="1046" w:name="Tc_yY9kwlN__UG5pZzU-FiUUA_3_4"/>
      <w:bookmarkStart w:id="1047" w:name="Tc_1WA2GTK_vEeeWnGmLiLSwg_3_2"/>
      <w:bookmarkStart w:id="1048" w:name="Tc__cyBoRU3n0Ct58XYY3WbbQ_3_0"/>
      <w:bookmarkStart w:id="1049" w:name="Tc_EpA5O5m-aEyC6wt88aPXsw_2_12"/>
      <w:bookmarkStart w:id="1050" w:name="Tc_nNc8dqQ0M0KnJx0n5afMQA_2_9"/>
      <w:bookmarkStart w:id="1051" w:name="Tc_e8PduVNhAU2dQGTE6MOUUw_2_6"/>
      <w:bookmarkStart w:id="1052" w:name="Tc_FmhrlNtWiUGGOrKmIfwpug_2_4"/>
      <w:bookmarkStart w:id="1053" w:name="Tc_m8FRyVaKxkuPZrAea0-agA_2_2"/>
      <w:bookmarkStart w:id="1054" w:name="Tc_GJqWivctvkyJv_8DUz36nQ_2_0"/>
      <w:bookmarkStart w:id="1055" w:name="Tc_PCMl7QtMTUycxAqobv7ahw_1_15"/>
      <w:bookmarkStart w:id="1056" w:name="Tc_6XmQBX8VYkGeUF3kFpZMRg_1_12"/>
      <w:bookmarkStart w:id="1057" w:name="Tc_LG2_Y8m80E2OLwHGolMdzg_1_9"/>
      <w:bookmarkStart w:id="1058" w:name="Tc_4laym0aGq0WCMqusg2-msQ_1_6"/>
      <w:bookmarkStart w:id="1059" w:name="Tc_THNx9jhcG0qPNvjWL4aryg_1_4"/>
      <w:bookmarkStart w:id="1060" w:name="Tc_W8E4BgkH60yA-_sWwrrgzg_1_2"/>
      <w:bookmarkStart w:id="1061" w:name="Tc_YvNgaCgy_kKG-gCx1HIt-g_1_0"/>
      <w:bookmarkStart w:id="1062" w:name="_f21b32f9_234a_4bc6_8610_dc76ae593e82"/>
      <w:bookmarkStart w:id="1063" w:name="Tc_AvHT8Vu8DkS2UBDfVWrp-A_11_12"/>
      <w:bookmarkStart w:id="1064" w:name="Tc_PQICNCNk-0ec1v0F1aqwGA_11_0"/>
      <w:bookmarkStart w:id="1065" w:name="Tc_ZZv1sSSBOEq4drkPOdLqxQ_10_0"/>
      <w:bookmarkStart w:id="1066" w:name="Tc_ywEBwW8VAUOdBhtTz8MiJQ_9_12"/>
      <w:bookmarkStart w:id="1067" w:name="Tc_KBuQYu-_fUKkKdrb3fi0Lw_9_9"/>
      <w:bookmarkStart w:id="1068" w:name="Tc_14dl4QBkDEu5peC-x5JQ0w_9_6"/>
      <w:bookmarkStart w:id="1069" w:name="Tc_ZNDOtDVmp0iGD8cXKK-W_g_8_4"/>
      <w:bookmarkStart w:id="1070" w:name="Tc_cut3m1RyVEui4Df_NwnQQg_8_2"/>
      <w:bookmarkStart w:id="1071" w:name="Tc_pDM5EKOybECoagQ0nyFEgA_8_0"/>
      <w:bookmarkStart w:id="1072" w:name="Tc_ExmEYa3-OUSX6OkahUkd2w_7_4"/>
      <w:bookmarkStart w:id="1073" w:name="Tc_mp4HRyhS00iqB_QLRosaJA_7_2"/>
      <w:bookmarkStart w:id="1074" w:name="Tc_ikAvmemiVUiCU4yVhu9daA_7_0"/>
      <w:bookmarkStart w:id="1075" w:name="Tc_LMjiTDVookmDoalITSA1oA_6_4"/>
      <w:bookmarkStart w:id="1076" w:name="Tc_ckcObzt_ukax5DkvV_9qXA_6_2"/>
      <w:bookmarkStart w:id="1077" w:name="Tc_9lYE0rXBRU2b0sxT7wRHjA_6_0"/>
      <w:bookmarkStart w:id="1078" w:name="Tc_4bIZXkKXl02wumVdyZeKag_5_4"/>
      <w:bookmarkStart w:id="1079" w:name="Tc_DWPHHQurrEWxy5PaWuVXbQ_5_2"/>
      <w:bookmarkStart w:id="1080" w:name="Tc_pv4fy9PeHku25FFZ5_2cVQ_5_0"/>
      <w:bookmarkStart w:id="1081" w:name="Tc_M_Q_ZcShtkSLEtT8zYJcEQ_4_4"/>
      <w:bookmarkStart w:id="1082" w:name="Tc_ggBeYvsIVU2zAnY_zq4K3A_4_2"/>
      <w:bookmarkStart w:id="1083" w:name="Tc_7dOoIzkr-k-lSH5HhWBi6A_4_0"/>
      <w:bookmarkStart w:id="1084" w:name="Tc_WGtDK_xiakqLxVcpzHZsaw_3_4"/>
      <w:bookmarkStart w:id="1085" w:name="Tc_2BaoimGCpEGFVZOMPncx7w_3_2"/>
      <w:bookmarkStart w:id="1086" w:name="Tc_flj8jxMksEapTOYtG7TW8Q_3_0"/>
      <w:bookmarkStart w:id="1087" w:name="Tc_mcETnRc_VUGkndbqDcstug_2_4"/>
      <w:bookmarkStart w:id="1088" w:name="Tc_13163Ey_yE6qdpets97-TA_2_2"/>
      <w:bookmarkStart w:id="1089" w:name="Tc_pPD_hFUpDEOfHREtpJvNkg_2_0"/>
      <w:bookmarkStart w:id="1090" w:name="Tc_bvLj0bISCUaGRAWowqh4eA_1_15"/>
      <w:bookmarkStart w:id="1091" w:name="Tc_2ulR7X3pLESEOmSt8FT_BA_1_12"/>
      <w:bookmarkStart w:id="1092" w:name="Tc_dC5ZwW_jD02w64W6SFdJ0A_1_9"/>
      <w:bookmarkStart w:id="1093" w:name="Tc_Mezn1p0CU0OpKe3WAlFyBA_1_6"/>
      <w:bookmarkStart w:id="1094" w:name="Tc_r1yUA1RiVkeuhGkFSB0YIA_1_4"/>
      <w:bookmarkStart w:id="1095" w:name="Tc_XnV5llQ9cUqHKNajniGnFQ_1_2"/>
      <w:bookmarkStart w:id="1096" w:name="Tc_HlBQX88tok2G1I7w08KnIQ_1_0"/>
      <w:bookmarkStart w:id="1097" w:name="_59ed3344_7d72_4d5e_9d16_cf953278e570"/>
      <w:bookmarkStart w:id="1098" w:name="Tc_pTCZ3xvACkGYQMmnCLHQJw_10_12"/>
      <w:bookmarkStart w:id="1099" w:name="Tc_bBl5LvuP3Eq-bsdpOSiUmA_10_0"/>
      <w:bookmarkStart w:id="1100" w:name="Tc_y9B8h0FiaUuJinBPcCBdYw_9_0"/>
      <w:bookmarkStart w:id="1101" w:name="Tc_3Z0XnxDogUe7JBStwGZMJA_8_12"/>
      <w:bookmarkStart w:id="1102" w:name="Tc_4AAshJMudkaM26kxGYjqxw_8_9"/>
      <w:bookmarkStart w:id="1103" w:name="Tc_jbMM9dW7Z0606-PpghwT4g_8_6"/>
      <w:bookmarkStart w:id="1104" w:name="Tc_odyq-RLwJE-t1EHpHPsgYg_7_4"/>
      <w:bookmarkStart w:id="1105" w:name="Tc_V1GVwwcGQEmwm3tgXZp9zg_7_2"/>
      <w:bookmarkStart w:id="1106" w:name="Tc_DbgRlz4P9Em5ZWSGpXDBmw_7_0"/>
      <w:bookmarkStart w:id="1107" w:name="Tc_tL2exunWPEOanknZQlIXqw_6_4"/>
      <w:bookmarkStart w:id="1108" w:name="Tc_MRtPpX7O_kK_fEYDkSUcig_6_2"/>
      <w:bookmarkStart w:id="1109" w:name="Tc_FreXVf7Lp06kPpgx4Khw3w_6_0"/>
      <w:bookmarkStart w:id="1110" w:name="Tc_oHmS2Er6OUumuGRHcgWwAA_5_4"/>
      <w:bookmarkStart w:id="1111" w:name="Tc_Swr4j7efGEmGcR_XpSJBDg_5_2"/>
      <w:bookmarkStart w:id="1112" w:name="Tc_y9W0Z7TNA0egSmlSDQgkTA_5_0"/>
      <w:bookmarkStart w:id="1113" w:name="Tc_jVDLvUFKUkCxKRO-bdKSBA_4_4"/>
      <w:bookmarkStart w:id="1114" w:name="Tc_xDJJerOY70OIKaTCuqmbwg_4_2"/>
      <w:bookmarkStart w:id="1115" w:name="Tc_ciID7Yr8jE-woc33oN1wRg_4_0"/>
      <w:bookmarkStart w:id="1116" w:name="Tc_yY9kwlN__UG5pZzU-FiUUA_3_4"/>
      <w:bookmarkStart w:id="1117" w:name="Tc_1WA2GTK_vEeeWnGmLiLSwg_3_2"/>
      <w:bookmarkStart w:id="1118" w:name="Tc__cyBoRU3n0Ct58XYY3WbbQ_3_0"/>
      <w:bookmarkStart w:id="1119" w:name="Tc_EpA5O5m-aEyC6wt88aPXsw_2_12"/>
      <w:bookmarkStart w:id="1120" w:name="Tc_nNc8dqQ0M0KnJx0n5afMQA_2_9"/>
      <w:bookmarkStart w:id="1121" w:name="Tc_e8PduVNhAU2dQGTE6MOUUw_2_6"/>
      <w:bookmarkStart w:id="1122" w:name="Tc_FmhrlNtWiUGGOrKmIfwpug_2_4"/>
      <w:bookmarkStart w:id="1123" w:name="Tc_m8FRyVaKxkuPZrAea0-agA_2_2"/>
      <w:bookmarkStart w:id="1124" w:name="Tc_GJqWivctvkyJv_8DUz36nQ_2_0"/>
      <w:bookmarkStart w:id="1125" w:name="Tc_PCMl7QtMTUycxAqobv7ahw_1_15"/>
      <w:bookmarkStart w:id="1126" w:name="Tc_6XmQBX8VYkGeUF3kFpZMRg_1_12"/>
      <w:bookmarkStart w:id="1127" w:name="Tc_LG2_Y8m80E2OLwHGolMdzg_1_9"/>
      <w:bookmarkStart w:id="1128" w:name="Tc_4laym0aGq0WCMqusg2-msQ_1_6"/>
      <w:bookmarkStart w:id="1129" w:name="Tc_THNx9jhcG0qPNvjWL4aryg_1_4"/>
      <w:bookmarkStart w:id="1130" w:name="Tc_W8E4BgkH60yA-_sWwrrgzg_1_2"/>
      <w:bookmarkStart w:id="1131" w:name="Tc_YvNgaCgy_kKG-gCx1HIt-g_1_0"/>
      <w:bookmarkStart w:id="1132" w:name="_f21b32f9_234a_4bc6_8610_dc76ae593e82"/>
      <w:bookmarkStart w:id="1133" w:name="Tc_AvHT8Vu8DkS2UBDfVWrp-A_11_12"/>
      <w:bookmarkStart w:id="1134" w:name="Tc_PQICNCNk-0ec1v0F1aqwGA_11_0"/>
      <w:bookmarkStart w:id="1135" w:name="Tc_ZZv1sSSBOEq4drkPOdLqxQ_10_0"/>
      <w:bookmarkStart w:id="1136" w:name="Tc_ywEBwW8VAUOdBhtTz8MiJQ_9_12"/>
      <w:bookmarkStart w:id="1137" w:name="Tc_KBuQYu-_fUKkKdrb3fi0Lw_9_9"/>
      <w:bookmarkStart w:id="1138" w:name="Tc_14dl4QBkDEu5peC-x5JQ0w_9_6"/>
      <w:bookmarkStart w:id="1139" w:name="Tc_ZNDOtDVmp0iGD8cXKK-W_g_8_4"/>
      <w:bookmarkStart w:id="1140" w:name="Tc_cut3m1RyVEui4Df_NwnQQg_8_2"/>
      <w:bookmarkStart w:id="1141" w:name="Tc_pDM5EKOybECoagQ0nyFEgA_8_0"/>
      <w:bookmarkStart w:id="1142" w:name="Tc_ExmEYa3-OUSX6OkahUkd2w_7_4"/>
      <w:bookmarkStart w:id="1143" w:name="Tc_mp4HRyhS00iqB_QLRosaJA_7_2"/>
      <w:bookmarkStart w:id="1144" w:name="Tc_ikAvmemiVUiCU4yVhu9daA_7_0"/>
      <w:bookmarkStart w:id="1145" w:name="Tc_LMjiTDVookmDoalITSA1oA_6_4"/>
      <w:bookmarkStart w:id="1146" w:name="Tc_ckcObzt_ukax5DkvV_9qXA_6_2"/>
      <w:bookmarkStart w:id="1147" w:name="Tc_9lYE0rXBRU2b0sxT7wRHjA_6_0"/>
      <w:bookmarkStart w:id="1148" w:name="Tc_4bIZXkKXl02wumVdyZeKag_5_4"/>
      <w:bookmarkStart w:id="1149" w:name="Tc_DWPHHQurrEWxy5PaWuVXbQ_5_2"/>
      <w:bookmarkStart w:id="1150" w:name="Tc_pv4fy9PeHku25FFZ5_2cVQ_5_0"/>
      <w:bookmarkStart w:id="1151" w:name="Tc_M_Q_ZcShtkSLEtT8zYJcEQ_4_4"/>
      <w:bookmarkStart w:id="1152" w:name="Tc_ggBeYvsIVU2zAnY_zq4K3A_4_2"/>
      <w:bookmarkStart w:id="1153" w:name="Tc_7dOoIzkr-k-lSH5HhWBi6A_4_0"/>
      <w:bookmarkStart w:id="1154" w:name="Tc_WGtDK_xiakqLxVcpzHZsaw_3_4"/>
      <w:bookmarkStart w:id="1155" w:name="Tc_2BaoimGCpEGFVZOMPncx7w_3_2"/>
      <w:bookmarkStart w:id="1156" w:name="Tc_flj8jxMksEapTOYtG7TW8Q_3_0"/>
      <w:bookmarkStart w:id="1157" w:name="Tc_mcETnRc_VUGkndbqDcstug_2_4"/>
      <w:bookmarkStart w:id="1158" w:name="Tc_13163Ey_yE6qdpets97-TA_2_2"/>
      <w:bookmarkStart w:id="1159" w:name="Tc_pPD_hFUpDEOfHREtpJvNkg_2_0"/>
      <w:bookmarkStart w:id="1160" w:name="Tc_bvLj0bISCUaGRAWowqh4eA_1_15"/>
      <w:bookmarkStart w:id="1161" w:name="Tc_2ulR7X3pLESEOmSt8FT_BA_1_12"/>
      <w:bookmarkStart w:id="1162" w:name="Tc_dC5ZwW_jD02w64W6SFdJ0A_1_9"/>
      <w:bookmarkStart w:id="1163" w:name="Tc_Mezn1p0CU0OpKe3WAlFyBA_1_6"/>
      <w:bookmarkStart w:id="1164" w:name="Tc_r1yUA1RiVkeuhGkFSB0YIA_1_4"/>
      <w:bookmarkStart w:id="1165" w:name="Tc_XnV5llQ9cUqHKNajniGnFQ_1_2"/>
      <w:bookmarkStart w:id="1166" w:name="Tc_HlBQX88tok2G1I7w08KnIQ_1_0"/>
      <w:bookmarkStart w:id="1167" w:name="_59ed3344_7d72_4d5e_9d16_cf953278e570"/>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Grocery-Anchored Retail Development Preferred Investment; accordingly, the $21.4</w:t>
            </w:r>
            <w:r>
              <w:rPr>
                <w:caps w:val="false"/>
                <w:smallCaps w:val="false"/>
              </w:rPr>
              <w:t> </w:t>
            </w:r>
            <w:r>
              <w:rPr>
                <w:rFonts w:ascii="Times New Roman;Times;serif" w:hAnsi="Times New Roman;Times;serif"/>
                <w:b w:val="false"/>
                <w:i w:val="false"/>
                <w:caps w:val="false"/>
                <w:smallCaps w:val="false"/>
                <w:sz w:val="20"/>
              </w:rPr>
              <w:t>million was recorded on the consolidated balance sheets as a commercial loan investment at the time of acquisition. The Grocery-Anchored Retail Development Preferred Investment is mandatorily redeemable on October 31, 2027, with a one-year</w:t>
            </w:r>
            <w:r>
              <w:rPr>
                <w:caps w:val="false"/>
                <w:smallCaps w:val="false"/>
              </w:rPr>
              <w:t xml:space="preserve"> </w:t>
            </w:r>
            <w:r>
              <w:rPr>
                <w:rFonts w:ascii="Times New Roman;Times;serif" w:hAnsi="Times New Roman;Times;serif"/>
                <w:b w:val="false"/>
                <w:i w:val="false"/>
                <w:caps w:val="false"/>
                <w:smallCaps w:val="false"/>
                <w:sz w:val="20"/>
              </w:rPr>
              <w:t>option to extend to October 31, 2028. The Grocery-Anchored Retail Development Preferred Investment bears a rate of 12.0%, including 3.0%</w:t>
            </w:r>
            <w:r>
              <w:rPr>
                <w:caps w:val="false"/>
                <w:smallCaps w:val="false"/>
              </w:rPr>
              <w:t xml:space="preserve"> </w:t>
            </w:r>
            <w:r>
              <w:rPr>
                <w:rFonts w:ascii="Times New Roman;Times;serif" w:hAnsi="Times New Roman;Times;serif"/>
                <w:b w:val="false"/>
                <w:i w:val="false"/>
                <w:caps w:val="false"/>
                <w:smallCaps w:val="false"/>
                <w:sz w:val="20"/>
              </w:rPr>
              <w:t>accrued PIK interest. If the one-year</w:t>
            </w:r>
            <w:r>
              <w:rPr>
                <w:caps w:val="false"/>
                <w:smallCaps w:val="false"/>
              </w:rPr>
              <w:t xml:space="preserve"> </w:t>
            </w:r>
            <w:r>
              <w:rPr>
                <w:rFonts w:ascii="Times New Roman;Times;serif" w:hAnsi="Times New Roman;Times;serif"/>
                <w:b w:val="false"/>
                <w:i w:val="false"/>
                <w:caps w:val="false"/>
                <w:smallCaps w:val="false"/>
                <w:sz w:val="20"/>
              </w:rPr>
              <w:t>extension is exercised, the rate would increase to 13.0%, including 3.0%</w:t>
            </w:r>
            <w:r>
              <w:rPr>
                <w:caps w:val="false"/>
                <w:smallCaps w:val="false"/>
              </w:rPr>
              <w:t xml:space="preserve"> </w:t>
            </w:r>
            <w:r>
              <w:rPr>
                <w:rFonts w:ascii="Times New Roman;Times;serif" w:hAnsi="Times New Roman;Times;serif"/>
                <w:b w:val="false"/>
                <w:i w:val="false"/>
                <w:caps w:val="false"/>
                <w:smallCaps w:val="false"/>
                <w:sz w:val="20"/>
              </w:rPr>
              <w:t>accrued PIK interest. At closing, a 1.00%</w:t>
            </w:r>
            <w:r>
              <w:rPr>
                <w:caps w:val="false"/>
                <w:smallCaps w:val="false"/>
              </w:rPr>
              <w:t xml:space="preserve"> </w:t>
            </w:r>
            <w:r>
              <w:rPr>
                <w:rFonts w:ascii="Times New Roman;Times;serif" w:hAnsi="Times New Roman;Times;serif"/>
                <w:b w:val="false"/>
                <w:i w:val="false"/>
                <w:caps w:val="false"/>
                <w:smallCaps w:val="false"/>
                <w:sz w:val="20"/>
              </w:rPr>
              <w:t>origination fee, or $0.2</w:t>
            </w:r>
            <w:r>
              <w:rPr>
                <w:caps w:val="false"/>
                <w:smallCaps w:val="false"/>
              </w:rPr>
              <w:t> </w:t>
            </w:r>
            <w:r>
              <w:rPr>
                <w:rFonts w:ascii="Times New Roman;Times;serif" w:hAnsi="Times New Roman;Times;serif"/>
                <w:b w:val="false"/>
                <w:i w:val="false"/>
                <w:caps w:val="false"/>
                <w:smallCaps w:val="false"/>
                <w:sz w:val="20"/>
              </w:rPr>
              <w:t>million, was received by the Company. The Grocery-Anchored Retail Development Preferred Investment represents $21.4</w:t>
            </w:r>
            <w:r>
              <w:rPr>
                <w:caps w:val="false"/>
                <w:smallCaps w:val="false"/>
              </w:rPr>
              <w:t> </w:t>
            </w:r>
            <w:r>
              <w:rPr>
                <w:rFonts w:ascii="Times New Roman;Times;serif" w:hAnsi="Times New Roman;Times;serif"/>
                <w:b w:val="false"/>
                <w:i w:val="false"/>
                <w:caps w:val="false"/>
                <w:smallCaps w:val="false"/>
                <w:sz w:val="20"/>
              </w:rPr>
              <w:t>million, or approximately 17%, of funding towards the total investment in the grocery-anchored retail development located in the Northeast (the “Grocery-Anchored Retail Development”). The remaining funding is comprised of a combination of third-party sponsorship equity and secured debt.</w:t>
            </w:r>
          </w:p>
        </w:tc>
      </w:tr>
    </w:tbl>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Company’s commercial loans and investments were comprised of the following at June 30, 2026 (in thousands):</w:t>
      </w:r>
    </w:p>
    <w:tbl>
      <w:tblPr>
        <w:tblW w:w="10205" w:type="dxa"/>
        <w:jc w:val="left"/>
        <w:tblInd w:w="0" w:type="dxa"/>
        <w:tblLayout w:type="fixed"/>
        <w:tblCellMar>
          <w:top w:w="0" w:type="dxa"/>
          <w:left w:w="0" w:type="dxa"/>
          <w:bottom w:w="0" w:type="dxa"/>
          <w:right w:w="0" w:type="dxa"/>
        </w:tblCellMar>
      </w:tblPr>
      <w:tblGrid>
        <w:gridCol w:w="2279"/>
        <w:gridCol w:w="346"/>
        <w:gridCol w:w="1025"/>
        <w:gridCol w:w="346"/>
        <w:gridCol w:w="927"/>
        <w:gridCol w:w="346"/>
        <w:gridCol w:w="235"/>
        <w:gridCol w:w="832"/>
        <w:gridCol w:w="346"/>
        <w:gridCol w:w="234"/>
        <w:gridCol w:w="827"/>
        <w:gridCol w:w="346"/>
        <w:gridCol w:w="212"/>
        <w:gridCol w:w="750"/>
        <w:gridCol w:w="346"/>
        <w:gridCol w:w="808"/>
      </w:tblGrid>
      <w:tr>
        <w:trPr/>
        <w:tc>
          <w:tcPr>
            <w:tcW w:w="2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447165" cy="175260"/>
                      <wp:effectExtent l="0" t="0" r="0" b="0"/>
                      <wp:wrapNone/>
                      <wp:docPr id="138" name="Frame138"/>
                      <a:graphic xmlns:a="http://schemas.openxmlformats.org/drawingml/2006/main">
                        <a:graphicData uri="http://schemas.microsoft.com/office/word/2010/wordprocessingShape">
                          <wps:wsp>
                            <wps:cNvSpPr txBox="1"/>
                            <wps:spPr>
                              <a:xfrm>
                                <a:off x="0" y="0"/>
                                <a:ext cx="144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50875" cy="175260"/>
                      <wp:effectExtent l="0" t="0" r="0" b="0"/>
                      <wp:wrapNone/>
                      <wp:docPr id="140" name="Frame140"/>
                      <a:graphic xmlns:a="http://schemas.openxmlformats.org/drawingml/2006/main">
                        <a:graphicData uri="http://schemas.microsoft.com/office/word/2010/wordprocessingShape">
                          <wps:wsp>
                            <wps:cNvSpPr txBox="1"/>
                            <wps:spPr>
                              <a:xfrm>
                                <a:off x="0" y="0"/>
                                <a:ext cx="650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88645" cy="175260"/>
                      <wp:effectExtent l="0" t="0" r="0" b="0"/>
                      <wp:wrapNone/>
                      <wp:docPr id="142" name="Frame142"/>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49225" cy="175260"/>
                      <wp:effectExtent l="0" t="0" r="0" b="0"/>
                      <wp:wrapNone/>
                      <wp:docPr id="144" name="Frame144"/>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28320" cy="175260"/>
                      <wp:effectExtent l="0" t="0" r="0" b="0"/>
                      <wp:wrapNone/>
                      <wp:docPr id="145" name="Frame145"/>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48590" cy="175260"/>
                      <wp:effectExtent l="0" t="0" r="0" b="0"/>
                      <wp:wrapNone/>
                      <wp:docPr id="147" name="Frame147"/>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25145" cy="175260"/>
                      <wp:effectExtent l="0" t="0" r="0" b="0"/>
                      <wp:wrapNone/>
                      <wp:docPr id="148" name="Frame148"/>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4620" cy="175260"/>
                      <wp:effectExtent l="0" t="0" r="0" b="0"/>
                      <wp:wrapNone/>
                      <wp:docPr id="150" name="Frame150"/>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76250" cy="175260"/>
                      <wp:effectExtent l="0" t="0" r="0" b="0"/>
                      <wp:wrapNone/>
                      <wp:docPr id="151" name="Frame151"/>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13080" cy="175260"/>
                      <wp:effectExtent l="0" t="0" r="0" b="0"/>
                      <wp:wrapNone/>
                      <wp:docPr id="153" name="Frame153"/>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7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Description</w:t>
            </w:r>
          </w:p>
        </w:tc>
        <w:tc>
          <w:tcPr>
            <w:tcW w:w="346" w:type="dxa"/>
            <w:tcBorders/>
            <w:vAlign w:val="center"/>
          </w:tcPr>
          <w:p>
            <w:pPr>
              <w:pStyle w:val="TableContents"/>
              <w:bidi w:val="0"/>
              <w:spacing w:before="0" w:after="0"/>
              <w:ind w:left="0" w:right="0" w:hanging="0"/>
              <w:jc w:val="left"/>
              <w:rPr/>
            </w:pPr>
            <w:r>
              <w:rPr/>
              <w:t>  ​ ​ ​</w:t>
            </w:r>
          </w:p>
        </w:tc>
        <w:tc>
          <w:tcPr>
            <w:tcW w:w="10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Date of Investment</w:t>
            </w:r>
          </w:p>
        </w:tc>
        <w:tc>
          <w:tcPr>
            <w:tcW w:w="346" w:type="dxa"/>
            <w:tcBorders/>
            <w:vAlign w:val="center"/>
          </w:tcPr>
          <w:p>
            <w:pPr>
              <w:pStyle w:val="TableContents"/>
              <w:bidi w:val="0"/>
              <w:spacing w:before="0" w:after="0"/>
              <w:ind w:left="0" w:right="0" w:hanging="0"/>
              <w:jc w:val="left"/>
              <w:rPr/>
            </w:pPr>
            <w:r>
              <w:rPr/>
              <w:t>  ​ ​ ​</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Maturity Date</w:t>
            </w:r>
          </w:p>
        </w:tc>
        <w:tc>
          <w:tcPr>
            <w:tcW w:w="346" w:type="dxa"/>
            <w:tcBorders/>
            <w:vAlign w:val="center"/>
          </w:tcPr>
          <w:p>
            <w:pPr>
              <w:pStyle w:val="TableContents"/>
              <w:bidi w:val="0"/>
              <w:spacing w:before="0" w:after="0"/>
              <w:ind w:left="0" w:right="0" w:hanging="0"/>
              <w:jc w:val="left"/>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Original Face Amount</w:t>
            </w:r>
          </w:p>
        </w:tc>
        <w:tc>
          <w:tcPr>
            <w:tcW w:w="346" w:type="dxa"/>
            <w:tcBorders/>
            <w:vAlign w:val="center"/>
          </w:tcPr>
          <w:p>
            <w:pPr>
              <w:pStyle w:val="TableContents"/>
              <w:bidi w:val="0"/>
              <w:spacing w:before="0" w:after="0"/>
              <w:ind w:left="0" w:right="0" w:hanging="0"/>
              <w:jc w:val="left"/>
              <w:rPr/>
            </w:pPr>
            <w:r>
              <w:rPr/>
              <w:t>  ​ ​ ​</w:t>
            </w:r>
          </w:p>
        </w:tc>
        <w:tc>
          <w:tcPr>
            <w:tcW w:w="10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Current Face Amount</w:t>
            </w:r>
          </w:p>
        </w:tc>
        <w:tc>
          <w:tcPr>
            <w:tcW w:w="346" w:type="dxa"/>
            <w:tcBorders/>
            <w:vAlign w:val="center"/>
          </w:tcPr>
          <w:p>
            <w:pPr>
              <w:pStyle w:val="TableContents"/>
              <w:bidi w:val="0"/>
              <w:spacing w:before="0" w:after="0"/>
              <w:ind w:left="0" w:right="0" w:hanging="0"/>
              <w:jc w:val="left"/>
              <w:rPr/>
            </w:pPr>
            <w:r>
              <w:rPr/>
              <w:t>  ​ ​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Carrying Value</w:t>
            </w:r>
          </w:p>
        </w:tc>
        <w:tc>
          <w:tcPr>
            <w:tcW w:w="346" w:type="dxa"/>
            <w:tcBorders/>
            <w:vAlign w:val="center"/>
          </w:tcPr>
          <w:p>
            <w:pPr>
              <w:pStyle w:val="TableContents"/>
              <w:bidi w:val="0"/>
              <w:spacing w:before="0" w:after="0"/>
              <w:ind w:left="0" w:right="0" w:hanging="0"/>
              <w:jc w:val="left"/>
              <w:rPr/>
            </w:pPr>
            <w:r>
              <w:rPr/>
              <w:t>  ​ ​ ​</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Coupon Rate</w:t>
            </w:r>
          </w:p>
        </w:tc>
      </w:tr>
      <w:tr>
        <w:trPr/>
        <w:tc>
          <w:tcPr>
            <w:tcW w:w="2279"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7"/>
              </w:rPr>
              <w:t>Mortgage Note – Founders Square – Dallas, TX</w:t>
            </w:r>
            <w:r>
              <w:rPr>
                <w:rFonts w:ascii="Times New Roman;Times;serif" w:hAnsi="Times New Roman;Times;serif"/>
                <w:sz w:val="16"/>
              </w:rPr>
              <w:t xml:space="preserve"> </w:t>
            </w:r>
          </w:p>
        </w:tc>
        <w:tc>
          <w:tcPr>
            <w:tcW w:w="346" w:type="dxa"/>
            <w:tcBorders/>
            <w:shd w:fill="CCEEFF" w:val="clear"/>
            <w:vAlign w:val="center"/>
          </w:tcPr>
          <w:p>
            <w:pPr>
              <w:pStyle w:val="TableContents"/>
              <w:bidi w:val="0"/>
              <w:spacing w:before="0" w:after="0"/>
              <w:ind w:left="0" w:right="0" w:hanging="0"/>
              <w:jc w:val="left"/>
              <w:rPr/>
            </w:pPr>
            <w:r>
              <w:rPr/>
              <w:t>​</w:t>
            </w:r>
          </w:p>
        </w:tc>
        <w:tc>
          <w:tcPr>
            <w:tcW w:w="1025"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2023</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2027</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15,000</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15,000</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14,957</w:t>
            </w:r>
          </w:p>
        </w:tc>
        <w:tc>
          <w:tcPr>
            <w:tcW w:w="346"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9.50%</w:t>
            </w:r>
          </w:p>
        </w:tc>
      </w:tr>
      <w:tr>
        <w:trPr/>
        <w:tc>
          <w:tcPr>
            <w:tcW w:w="227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Series A Preferred Investment </w:t>
            </w:r>
          </w:p>
        </w:tc>
        <w:tc>
          <w:tcPr>
            <w:tcW w:w="346" w:type="dxa"/>
            <w:tcBorders/>
            <w:vAlign w:val="center"/>
          </w:tcPr>
          <w:p>
            <w:pPr>
              <w:pStyle w:val="TableContents"/>
              <w:bidi w:val="0"/>
              <w:spacing w:before="0" w:after="0"/>
              <w:ind w:left="0" w:right="0" w:hanging="0"/>
              <w:jc w:val="left"/>
              <w:rPr/>
            </w:pPr>
            <w:r>
              <w:rPr/>
              <w:t>​</w:t>
            </w:r>
          </w:p>
        </w:tc>
        <w:tc>
          <w:tcPr>
            <w:tcW w:w="102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2024</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2029</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10,000</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10,000</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9,939</w:t>
            </w:r>
          </w:p>
        </w:tc>
        <w:tc>
          <w:tcPr>
            <w:tcW w:w="346"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14.00%</w:t>
            </w:r>
          </w:p>
        </w:tc>
      </w:tr>
      <w:tr>
        <w:trPr/>
        <w:tc>
          <w:tcPr>
            <w:tcW w:w="2279"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7"/>
              </w:rPr>
              <w:t xml:space="preserve">Construction Loan - Rivana - Herndon, VA </w:t>
            </w:r>
            <w:r>
              <w:rPr>
                <w:rFonts w:ascii="Times New Roman;Times;serif" w:hAnsi="Times New Roman;Times;serif"/>
                <w:sz w:val="13"/>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025"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2024</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2028</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59,450</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44,130</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42,780</w:t>
            </w:r>
          </w:p>
        </w:tc>
        <w:tc>
          <w:tcPr>
            <w:tcW w:w="346"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11.62%</w:t>
            </w:r>
          </w:p>
        </w:tc>
      </w:tr>
      <w:tr>
        <w:trPr/>
        <w:tc>
          <w:tcPr>
            <w:tcW w:w="227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Whole Foods - Forsyth, GA</w:t>
            </w:r>
          </w:p>
        </w:tc>
        <w:tc>
          <w:tcPr>
            <w:tcW w:w="346" w:type="dxa"/>
            <w:tcBorders/>
            <w:vAlign w:val="center"/>
          </w:tcPr>
          <w:p>
            <w:pPr>
              <w:pStyle w:val="TableContents"/>
              <w:bidi w:val="0"/>
              <w:spacing w:before="0" w:after="0"/>
              <w:ind w:left="0" w:right="0" w:hanging="0"/>
              <w:jc w:val="left"/>
              <w:rPr/>
            </w:pPr>
            <w:r>
              <w:rPr/>
              <w:t>​</w:t>
            </w:r>
          </w:p>
        </w:tc>
        <w:tc>
          <w:tcPr>
            <w:tcW w:w="102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November 2024</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May 2027</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40,200</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21,268</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21,132</w:t>
            </w:r>
          </w:p>
        </w:tc>
        <w:tc>
          <w:tcPr>
            <w:tcW w:w="346"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12.15%</w:t>
            </w:r>
          </w:p>
        </w:tc>
      </w:tr>
      <w:tr>
        <w:trPr/>
        <w:tc>
          <w:tcPr>
            <w:tcW w:w="227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Mortgage Note - Mainstreet - Daytona Beach, FL </w:t>
            </w:r>
          </w:p>
        </w:tc>
        <w:tc>
          <w:tcPr>
            <w:tcW w:w="346" w:type="dxa"/>
            <w:tcBorders/>
            <w:shd w:fill="CCEEFF" w:val="clear"/>
            <w:vAlign w:val="center"/>
          </w:tcPr>
          <w:p>
            <w:pPr>
              <w:pStyle w:val="TableContents"/>
              <w:bidi w:val="0"/>
              <w:spacing w:before="0" w:after="0"/>
              <w:ind w:left="0" w:right="0" w:hanging="0"/>
              <w:jc w:val="left"/>
              <w:rPr/>
            </w:pPr>
            <w:r>
              <w:rPr/>
              <w:t>​</w:t>
            </w:r>
          </w:p>
        </w:tc>
        <w:tc>
          <w:tcPr>
            <w:tcW w:w="1025"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2025</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2030</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5,000</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5,000</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4,979</w:t>
            </w:r>
          </w:p>
        </w:tc>
        <w:tc>
          <w:tcPr>
            <w:tcW w:w="346"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6.50%</w:t>
            </w:r>
          </w:p>
        </w:tc>
      </w:tr>
      <w:tr>
        <w:trPr/>
        <w:tc>
          <w:tcPr>
            <w:tcW w:w="227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Class A Premier Retail Preferred Investment – Southwest</w:t>
            </w:r>
          </w:p>
        </w:tc>
        <w:tc>
          <w:tcPr>
            <w:tcW w:w="346" w:type="dxa"/>
            <w:tcBorders/>
            <w:vAlign w:val="center"/>
          </w:tcPr>
          <w:p>
            <w:pPr>
              <w:pStyle w:val="TableContents"/>
              <w:bidi w:val="0"/>
              <w:spacing w:before="0" w:after="0"/>
              <w:ind w:left="0" w:right="0" w:hanging="0"/>
              <w:jc w:val="left"/>
              <w:rPr/>
            </w:pPr>
            <w:r>
              <w:rPr/>
              <w:t>​</w:t>
            </w:r>
          </w:p>
        </w:tc>
        <w:tc>
          <w:tcPr>
            <w:tcW w:w="102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April 2026</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April 2028</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75,750</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75,750</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74,235</w:t>
            </w:r>
          </w:p>
        </w:tc>
        <w:tc>
          <w:tcPr>
            <w:tcW w:w="346"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12.00 %</w:t>
            </w:r>
          </w:p>
        </w:tc>
      </w:tr>
      <w:tr>
        <w:trPr/>
        <w:tc>
          <w:tcPr>
            <w:tcW w:w="2279"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7"/>
              </w:rPr>
              <w:t xml:space="preserve">Grocery-Anchored Retail Development Preferred Investment – Northeast </w:t>
            </w:r>
            <w:r>
              <w:rPr>
                <w:rFonts w:ascii="Times New Roman;Times;serif" w:hAnsi="Times New Roman;Times;serif"/>
                <w:sz w:val="13"/>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1025"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May 2026</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2027</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21,363</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21,460</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21,269</w:t>
            </w:r>
          </w:p>
        </w:tc>
        <w:tc>
          <w:tcPr>
            <w:tcW w:w="346"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12.00 %</w:t>
            </w:r>
          </w:p>
        </w:tc>
      </w:tr>
      <w:tr>
        <w:trPr/>
        <w:tc>
          <w:tcPr>
            <w:tcW w:w="22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2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226,763</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192,608</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189,291</w:t>
            </w:r>
          </w:p>
        </w:tc>
        <w:tc>
          <w:tcPr>
            <w:tcW w:w="346"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center"/>
              <w:rPr/>
            </w:pPr>
            <w:r>
              <w:rPr/>
              <w:t>​</w:t>
            </w:r>
          </w:p>
        </w:tc>
      </w:tr>
      <w:tr>
        <w:trPr/>
        <w:tc>
          <w:tcPr>
            <w:tcW w:w="227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CECL Reserve</w:t>
            </w:r>
          </w:p>
        </w:tc>
        <w:tc>
          <w:tcPr>
            <w:tcW w:w="346" w:type="dxa"/>
            <w:tcBorders/>
            <w:shd w:fill="CCEEFF" w:val="clear"/>
            <w:vAlign w:val="center"/>
          </w:tcPr>
          <w:p>
            <w:pPr>
              <w:pStyle w:val="TableContents"/>
              <w:bidi w:val="0"/>
              <w:spacing w:before="0" w:after="0"/>
              <w:ind w:left="0" w:right="0" w:hanging="0"/>
              <w:jc w:val="left"/>
              <w:rPr/>
            </w:pPr>
            <w:r>
              <w:rPr/>
              <w:t>​</w:t>
            </w:r>
          </w:p>
        </w:tc>
        <w:tc>
          <w:tcPr>
            <w:tcW w:w="102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(1,903)</w:t>
            </w:r>
          </w:p>
        </w:tc>
        <w:tc>
          <w:tcPr>
            <w:tcW w:w="346"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left"/>
              <w:rPr/>
            </w:pPr>
            <w:r>
              <w:rPr/>
              <w:t>​</w:t>
            </w:r>
          </w:p>
        </w:tc>
      </w:tr>
      <w:tr>
        <w:trPr/>
        <w:tc>
          <w:tcPr>
            <w:tcW w:w="227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Commercial Loans and Investments</w:t>
            </w:r>
          </w:p>
        </w:tc>
        <w:tc>
          <w:tcPr>
            <w:tcW w:w="346" w:type="dxa"/>
            <w:tcBorders/>
            <w:vAlign w:val="center"/>
          </w:tcPr>
          <w:p>
            <w:pPr>
              <w:pStyle w:val="TableContents"/>
              <w:bidi w:val="0"/>
              <w:spacing w:before="0" w:after="0"/>
              <w:ind w:left="0" w:right="0" w:hanging="0"/>
              <w:jc w:val="left"/>
              <w:rPr/>
            </w:pPr>
            <w:r>
              <w:rPr/>
              <w:t>​</w:t>
            </w:r>
          </w:p>
        </w:tc>
        <w:tc>
          <w:tcPr>
            <w:tcW w:w="102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187,388</w:t>
            </w:r>
          </w:p>
        </w:tc>
        <w:tc>
          <w:tcPr>
            <w:tcW w:w="346"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28" w:type="dxa"/>
          <w:left w:w="28" w:type="dxa"/>
          <w:bottom w:w="28" w:type="dxa"/>
          <w:right w:w="28" w:type="dxa"/>
        </w:tblCellMar>
      </w:tblPr>
      <w:tblGrid>
        <w:gridCol w:w="124"/>
        <w:gridCol w:w="230"/>
        <w:gridCol w:w="9851"/>
      </w:tblGrid>
      <w:tr>
        <w:trPr/>
        <w:tc>
          <w:tcPr>
            <w:tcW w:w="124" w:type="dxa"/>
            <w:tcBorders/>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85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Amounts funded prior to December 31, 2025 carry a coupon rate of 11.50%, while draws subsequent to that date have a 12.00%</w:t>
            </w:r>
            <w:r>
              <w:rPr>
                <w:caps w:val="false"/>
                <w:smallCaps w:val="false"/>
              </w:rPr>
              <w:t xml:space="preserve"> </w:t>
            </w:r>
            <w:r>
              <w:rPr>
                <w:rFonts w:ascii="Times New Roman;Times;serif" w:hAnsi="Times New Roman;Times;serif"/>
                <w:b w:val="false"/>
                <w:i w:val="false"/>
                <w:caps w:val="false"/>
                <w:smallCaps w:val="false"/>
                <w:sz w:val="16"/>
              </w:rPr>
              <w:t>coupon rate, including 10.00%</w:t>
            </w:r>
            <w:r>
              <w:rPr>
                <w:caps w:val="false"/>
                <w:smallCaps w:val="false"/>
              </w:rPr>
              <w:t xml:space="preserve"> </w:t>
            </w:r>
            <w:r>
              <w:rPr>
                <w:rFonts w:ascii="Times New Roman;Times;serif" w:hAnsi="Times New Roman;Times;serif"/>
                <w:b w:val="false"/>
                <w:i w:val="false"/>
                <w:caps w:val="false"/>
                <w:smallCaps w:val="false"/>
                <w:sz w:val="16"/>
              </w:rPr>
              <w:t>cash and 2.00%</w:t>
            </w:r>
            <w:r>
              <w:rPr>
                <w:caps w:val="false"/>
                <w:smallCaps w:val="false"/>
              </w:rPr>
              <w:t xml:space="preserve"> </w:t>
            </w:r>
            <w:r>
              <w:rPr>
                <w:rFonts w:ascii="Times New Roman;Times;serif" w:hAnsi="Times New Roman;Times;serif"/>
                <w:b w:val="false"/>
                <w:i w:val="false"/>
                <w:caps w:val="false"/>
                <w:smallCaps w:val="false"/>
                <w:sz w:val="16"/>
              </w:rPr>
              <w:t>accrued paid-in-kind interest. The disclosed rate of 11.62%</w:t>
            </w:r>
            <w:r>
              <w:rPr>
                <w:caps w:val="false"/>
                <w:smallCaps w:val="false"/>
              </w:rPr>
              <w:t xml:space="preserve"> </w:t>
            </w:r>
            <w:r>
              <w:rPr>
                <w:rFonts w:ascii="Times New Roman;Times;serif" w:hAnsi="Times New Roman;Times;serif"/>
                <w:b w:val="false"/>
                <w:i w:val="false"/>
                <w:caps w:val="false"/>
                <w:smallCaps w:val="false"/>
                <w:sz w:val="16"/>
              </w:rPr>
              <w:t>represents the weighted average coupon rate as of June 30, 2026.</w:t>
            </w:r>
          </w:p>
        </w:tc>
      </w:tr>
    </w:tbl>
    <w:tbl>
      <w:tblPr>
        <w:tblW w:w="5946" w:type="dxa"/>
        <w:jc w:val="left"/>
        <w:tblInd w:w="0" w:type="dxa"/>
        <w:tblLayout w:type="fixed"/>
        <w:tblCellMar>
          <w:top w:w="28" w:type="dxa"/>
          <w:left w:w="28" w:type="dxa"/>
          <w:bottom w:w="28" w:type="dxa"/>
          <w:right w:w="28" w:type="dxa"/>
        </w:tblCellMar>
      </w:tblPr>
      <w:tblGrid>
        <w:gridCol w:w="124"/>
        <w:gridCol w:w="256"/>
        <w:gridCol w:w="5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556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coupon rate is comprised of 9.00%</w:t>
            </w:r>
            <w:r>
              <w:rPr>
                <w:caps w:val="false"/>
                <w:smallCaps w:val="false"/>
              </w:rPr>
              <w:t xml:space="preserve"> </w:t>
            </w:r>
            <w:r>
              <w:rPr>
                <w:rFonts w:ascii="Times New Roman;Times;serif" w:hAnsi="Times New Roman;Times;serif"/>
                <w:b w:val="false"/>
                <w:i w:val="false"/>
                <w:caps w:val="false"/>
                <w:smallCaps w:val="false"/>
                <w:sz w:val="16"/>
              </w:rPr>
              <w:t>cash interest and 3.00%</w:t>
            </w:r>
            <w:r>
              <w:rPr>
                <w:caps w:val="false"/>
                <w:smallCaps w:val="false"/>
              </w:rPr>
              <w:t xml:space="preserve"> </w:t>
            </w:r>
            <w:r>
              <w:rPr>
                <w:rFonts w:ascii="Times New Roman;Times;serif" w:hAnsi="Times New Roman;Times;serif"/>
                <w:b w:val="false"/>
                <w:i w:val="false"/>
                <w:caps w:val="false"/>
                <w:smallCaps w:val="false"/>
                <w:sz w:val="16"/>
              </w:rPr>
              <w:t>paid-in-kind.</w:t>
            </w:r>
          </w:p>
        </w:tc>
      </w:tr>
    </w:tbl>
    <w:p>
      <w:pPr>
        <w:pStyle w:val="TextBody"/>
        <w:bidi w:val="0"/>
        <w:spacing w:lineRule="auto" w:line="266" w:before="0" w:after="0"/>
        <w:ind w:left="0" w:right="0" w:hanging="0"/>
        <w:jc w:val="both"/>
        <w:rPr/>
      </w:pPr>
      <w:r>
        <w:rPr/>
        <w:t> </w:t>
      </w:r>
    </w:p>
    <w:p>
      <w:pPr>
        <w:pStyle w:val="TextBody"/>
        <w:bidi w:val="0"/>
        <w:spacing w:lineRule="auto" w:line="266" w:before="0" w:after="200"/>
        <w:ind w:left="0" w:right="0" w:firstLine="490"/>
        <w:jc w:val="both"/>
        <w:rPr>
          <w:rFonts w:ascii="Times New Roman;Times;serif" w:hAnsi="Times New Roman;Times;serif"/>
          <w:sz w:val="20"/>
        </w:rPr>
      </w:pPr>
      <w:r>
        <w:rPr>
          <w:rFonts w:ascii="Times New Roman;Times;serif" w:hAnsi="Times New Roman;Times;serif"/>
          <w:sz w:val="20"/>
        </w:rPr>
        <w:t>The Company’s commercial loans and investments were comprised of the following at December 31, 2025 (in thousands):</w:t>
      </w:r>
    </w:p>
    <w:tbl>
      <w:tblPr>
        <w:tblW w:w="10205" w:type="dxa"/>
        <w:jc w:val="left"/>
        <w:tblInd w:w="0" w:type="dxa"/>
        <w:tblLayout w:type="fixed"/>
        <w:tblCellMar>
          <w:top w:w="0" w:type="dxa"/>
          <w:left w:w="0" w:type="dxa"/>
          <w:bottom w:w="0" w:type="dxa"/>
          <w:right w:w="0" w:type="dxa"/>
        </w:tblCellMar>
      </w:tblPr>
      <w:tblGrid>
        <w:gridCol w:w="1874"/>
        <w:gridCol w:w="346"/>
        <w:gridCol w:w="1094"/>
        <w:gridCol w:w="346"/>
        <w:gridCol w:w="975"/>
        <w:gridCol w:w="346"/>
        <w:gridCol w:w="258"/>
        <w:gridCol w:w="911"/>
        <w:gridCol w:w="346"/>
        <w:gridCol w:w="256"/>
        <w:gridCol w:w="903"/>
        <w:gridCol w:w="346"/>
        <w:gridCol w:w="222"/>
        <w:gridCol w:w="783"/>
        <w:gridCol w:w="346"/>
        <w:gridCol w:w="853"/>
      </w:tblGrid>
      <w:tr>
        <w:trPr/>
        <w:tc>
          <w:tcPr>
            <w:tcW w:w="1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189990" cy="175260"/>
                      <wp:effectExtent l="0" t="0" r="0" b="0"/>
                      <wp:wrapNone/>
                      <wp:docPr id="154" name="Frame154"/>
                      <a:graphic xmlns:a="http://schemas.openxmlformats.org/drawingml/2006/main">
                        <a:graphicData uri="http://schemas.microsoft.com/office/word/2010/wordprocessingShape">
                          <wps:wsp>
                            <wps:cNvSpPr txBox="1"/>
                            <wps:spPr>
                              <a:xfrm>
                                <a:off x="0" y="0"/>
                                <a:ext cx="1189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94690" cy="175260"/>
                      <wp:effectExtent l="0" t="0" r="0" b="0"/>
                      <wp:wrapNone/>
                      <wp:docPr id="156" name="Frame156"/>
                      <a:graphic xmlns:a="http://schemas.openxmlformats.org/drawingml/2006/main">
                        <a:graphicData uri="http://schemas.microsoft.com/office/word/2010/wordprocessingShape">
                          <wps:wsp>
                            <wps:cNvSpPr txBox="1"/>
                            <wps:spPr>
                              <a:xfrm>
                                <a:off x="0" y="0"/>
                                <a:ext cx="694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19125" cy="175260"/>
                      <wp:effectExtent l="0" t="0" r="0" b="0"/>
                      <wp:wrapNone/>
                      <wp:docPr id="158" name="Frame158"/>
                      <a:graphic xmlns:a="http://schemas.openxmlformats.org/drawingml/2006/main">
                        <a:graphicData uri="http://schemas.microsoft.com/office/word/2010/wordprocessingShape">
                          <wps:wsp>
                            <wps:cNvSpPr txBox="1"/>
                            <wps:spPr>
                              <a:xfrm>
                                <a:off x="0" y="0"/>
                                <a:ext cx="619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63830" cy="175260"/>
                      <wp:effectExtent l="0" t="0" r="0" b="0"/>
                      <wp:wrapNone/>
                      <wp:docPr id="160" name="Frame160"/>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78485" cy="175260"/>
                      <wp:effectExtent l="0" t="0" r="0" b="0"/>
                      <wp:wrapNone/>
                      <wp:docPr id="161" name="Frame161"/>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62560" cy="175260"/>
                      <wp:effectExtent l="0" t="0" r="0" b="0"/>
                      <wp:wrapNone/>
                      <wp:docPr id="163" name="Frame163"/>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73405" cy="175260"/>
                      <wp:effectExtent l="0" t="0" r="0" b="0"/>
                      <wp:wrapNone/>
                      <wp:docPr id="164" name="Frame164"/>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5"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40970" cy="175260"/>
                      <wp:effectExtent l="0" t="0" r="0" b="0"/>
                      <wp:wrapNone/>
                      <wp:docPr id="166" name="Frame166"/>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97205" cy="175260"/>
                      <wp:effectExtent l="0" t="0" r="0" b="0"/>
                      <wp:wrapNone/>
                      <wp:docPr id="167" name="Frame167"/>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41655" cy="175260"/>
                      <wp:effectExtent l="0" t="0" r="0" b="0"/>
                      <wp:wrapNone/>
                      <wp:docPr id="169" name="Frame169"/>
                      <a:graphic xmlns:a="http://schemas.openxmlformats.org/drawingml/2006/main">
                        <a:graphicData uri="http://schemas.microsoft.com/office/word/2010/wordprocessingShape">
                          <wps:wsp>
                            <wps:cNvSpPr txBox="1"/>
                            <wps:spPr>
                              <a:xfrm>
                                <a:off x="0" y="0"/>
                                <a:ext cx="541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7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Description</w:t>
            </w:r>
          </w:p>
        </w:tc>
        <w:tc>
          <w:tcPr>
            <w:tcW w:w="346" w:type="dxa"/>
            <w:tcBorders/>
            <w:vAlign w:val="center"/>
          </w:tcPr>
          <w:p>
            <w:pPr>
              <w:pStyle w:val="TableContents"/>
              <w:bidi w:val="0"/>
              <w:spacing w:before="0" w:after="0"/>
              <w:ind w:left="0" w:right="0" w:hanging="0"/>
              <w:jc w:val="left"/>
              <w:rPr/>
            </w:pPr>
            <w:r>
              <w:rPr/>
              <w:t>  ​ ​ ​</w:t>
            </w:r>
          </w:p>
        </w:tc>
        <w:tc>
          <w:tcPr>
            <w:tcW w:w="109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Date of Investment</w:t>
            </w:r>
          </w:p>
        </w:tc>
        <w:tc>
          <w:tcPr>
            <w:tcW w:w="346" w:type="dxa"/>
            <w:tcBorders/>
            <w:vAlign w:val="center"/>
          </w:tcPr>
          <w:p>
            <w:pPr>
              <w:pStyle w:val="TableContents"/>
              <w:bidi w:val="0"/>
              <w:spacing w:before="0" w:after="0"/>
              <w:ind w:left="0" w:right="0" w:hanging="0"/>
              <w:jc w:val="left"/>
              <w:rPr/>
            </w:pPr>
            <w:r>
              <w:rPr/>
              <w:t>  ​ ​ ​</w:t>
            </w:r>
          </w:p>
        </w:tc>
        <w:tc>
          <w:tcPr>
            <w:tcW w:w="9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Maturity Date</w:t>
            </w:r>
          </w:p>
        </w:tc>
        <w:tc>
          <w:tcPr>
            <w:tcW w:w="346" w:type="dxa"/>
            <w:tcBorders/>
            <w:vAlign w:val="center"/>
          </w:tcPr>
          <w:p>
            <w:pPr>
              <w:pStyle w:val="TableContents"/>
              <w:bidi w:val="0"/>
              <w:spacing w:before="0" w:after="0"/>
              <w:ind w:left="0" w:right="0" w:hanging="0"/>
              <w:jc w:val="left"/>
              <w:rPr/>
            </w:pPr>
            <w:r>
              <w:rPr/>
              <w:t>  ​ ​ ​</w:t>
            </w:r>
          </w:p>
        </w:tc>
        <w:tc>
          <w:tcPr>
            <w:tcW w:w="11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Original Face Amount</w:t>
            </w:r>
          </w:p>
        </w:tc>
        <w:tc>
          <w:tcPr>
            <w:tcW w:w="346" w:type="dxa"/>
            <w:tcBorders/>
            <w:vAlign w:val="center"/>
          </w:tcPr>
          <w:p>
            <w:pPr>
              <w:pStyle w:val="TableContents"/>
              <w:bidi w:val="0"/>
              <w:spacing w:before="0" w:after="0"/>
              <w:ind w:left="0" w:right="0" w:hanging="0"/>
              <w:jc w:val="left"/>
              <w:rPr/>
            </w:pPr>
            <w:r>
              <w:rPr/>
              <w:t>  ​ ​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Current Face Amount</w:t>
            </w:r>
          </w:p>
        </w:tc>
        <w:tc>
          <w:tcPr>
            <w:tcW w:w="346" w:type="dxa"/>
            <w:tcBorders/>
            <w:vAlign w:val="center"/>
          </w:tcPr>
          <w:p>
            <w:pPr>
              <w:pStyle w:val="TableContents"/>
              <w:bidi w:val="0"/>
              <w:spacing w:before="0" w:after="0"/>
              <w:ind w:left="0" w:right="0" w:hanging="0"/>
              <w:jc w:val="left"/>
              <w:rPr/>
            </w:pPr>
            <w:r>
              <w:rPr/>
              <w:t>  ​ ​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Carrying Value</w:t>
            </w:r>
          </w:p>
        </w:tc>
        <w:tc>
          <w:tcPr>
            <w:tcW w:w="346" w:type="dxa"/>
            <w:tcBorders/>
            <w:vAlign w:val="center"/>
          </w:tcPr>
          <w:p>
            <w:pPr>
              <w:pStyle w:val="TableContents"/>
              <w:bidi w:val="0"/>
              <w:spacing w:before="0" w:after="0"/>
              <w:ind w:left="0" w:right="0" w:hanging="0"/>
              <w:jc w:val="left"/>
              <w:rPr/>
            </w:pPr>
            <w:r>
              <w:rPr/>
              <w:t>  ​ ​ ​</w:t>
            </w:r>
          </w:p>
        </w:tc>
        <w:tc>
          <w:tcPr>
            <w:tcW w:w="85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Coupon Rate</w:t>
            </w:r>
          </w:p>
        </w:tc>
      </w:tr>
      <w:tr>
        <w:trPr/>
        <w:tc>
          <w:tcPr>
            <w:tcW w:w="1874"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Preferred Investment – Watters Creek – Allen, TX</w:t>
            </w:r>
          </w:p>
        </w:tc>
        <w:tc>
          <w:tcPr>
            <w:tcW w:w="346" w:type="dxa"/>
            <w:tcBorders/>
            <w:shd w:fill="CCEEFF" w:val="clear"/>
            <w:vAlign w:val="center"/>
          </w:tcPr>
          <w:p>
            <w:pPr>
              <w:pStyle w:val="TableContents"/>
              <w:bidi w:val="0"/>
              <w:spacing w:before="0" w:after="0"/>
              <w:ind w:left="0" w:right="0" w:hanging="0"/>
              <w:jc w:val="left"/>
              <w:rPr/>
            </w:pPr>
            <w:r>
              <w:rPr/>
              <w:t>​</w:t>
            </w:r>
          </w:p>
        </w:tc>
        <w:tc>
          <w:tcPr>
            <w:tcW w:w="1094"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April 2022</w:t>
            </w:r>
          </w:p>
        </w:tc>
        <w:tc>
          <w:tcPr>
            <w:tcW w:w="346"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April 2026</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30,000</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30,000</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29,980</w:t>
            </w:r>
          </w:p>
        </w:tc>
        <w:tc>
          <w:tcPr>
            <w:tcW w:w="346" w:type="dxa"/>
            <w:tcBorders/>
            <w:shd w:fill="CCEEFF" w:val="clear"/>
            <w:vAlign w:val="center"/>
          </w:tcPr>
          <w:p>
            <w:pPr>
              <w:pStyle w:val="TableContents"/>
              <w:bidi w:val="0"/>
              <w:spacing w:before="0" w:after="0"/>
              <w:ind w:left="0" w:right="0" w:hanging="0"/>
              <w:jc w:val="left"/>
              <w:rPr/>
            </w:pPr>
            <w:r>
              <w:rPr/>
              <w:t>​</w:t>
            </w:r>
          </w:p>
        </w:tc>
        <w:tc>
          <w:tcPr>
            <w:tcW w:w="853"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9.50%</w:t>
            </w:r>
          </w:p>
        </w:tc>
      </w:tr>
      <w:tr>
        <w:trPr/>
        <w:tc>
          <w:tcPr>
            <w:tcW w:w="1874"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7"/>
              </w:rPr>
              <w:t>Mortgage Note – Founders Square – Dallas, TX</w:t>
            </w:r>
            <w:r>
              <w:rPr>
                <w:rFonts w:ascii="Times New Roman;Times;serif" w:hAnsi="Times New Roman;Times;serif"/>
                <w:sz w:val="16"/>
              </w:rPr>
              <w:t xml:space="preserve"> </w:t>
            </w:r>
            <w:r>
              <w:rPr>
                <w:rFonts w:ascii="Times New Roman;Times;serif" w:hAnsi="Times New Roman;Times;serif"/>
                <w:sz w:val="13"/>
              </w:rPr>
              <w:t>(1)</w:t>
            </w:r>
          </w:p>
        </w:tc>
        <w:tc>
          <w:tcPr>
            <w:tcW w:w="346" w:type="dxa"/>
            <w:tcBorders/>
            <w:vAlign w:val="center"/>
          </w:tcPr>
          <w:p>
            <w:pPr>
              <w:pStyle w:val="TableContents"/>
              <w:bidi w:val="0"/>
              <w:spacing w:before="0" w:after="0"/>
              <w:ind w:left="0" w:right="0" w:hanging="0"/>
              <w:jc w:val="left"/>
              <w:rPr/>
            </w:pPr>
            <w:r>
              <w:rPr/>
              <w:t>​</w:t>
            </w:r>
          </w:p>
        </w:tc>
        <w:tc>
          <w:tcPr>
            <w:tcW w:w="1094"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2023</w:t>
            </w:r>
          </w:p>
        </w:tc>
        <w:tc>
          <w:tcPr>
            <w:tcW w:w="346"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2027</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15,000</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15,000</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14,992</w:t>
            </w:r>
          </w:p>
        </w:tc>
        <w:tc>
          <w:tcPr>
            <w:tcW w:w="346"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8.75%</w:t>
            </w:r>
          </w:p>
        </w:tc>
      </w:tr>
      <w:tr>
        <w:trPr/>
        <w:tc>
          <w:tcPr>
            <w:tcW w:w="1874"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Series A Preferred Investment </w:t>
            </w:r>
          </w:p>
        </w:tc>
        <w:tc>
          <w:tcPr>
            <w:tcW w:w="346" w:type="dxa"/>
            <w:tcBorders/>
            <w:shd w:fill="CCEEFF" w:val="clear"/>
            <w:vAlign w:val="center"/>
          </w:tcPr>
          <w:p>
            <w:pPr>
              <w:pStyle w:val="TableContents"/>
              <w:bidi w:val="0"/>
              <w:spacing w:before="0" w:after="0"/>
              <w:ind w:left="0" w:right="0" w:hanging="0"/>
              <w:jc w:val="left"/>
              <w:rPr/>
            </w:pPr>
            <w:r>
              <w:rPr/>
              <w:t>​</w:t>
            </w:r>
          </w:p>
        </w:tc>
        <w:tc>
          <w:tcPr>
            <w:tcW w:w="1094"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2024</w:t>
            </w:r>
          </w:p>
        </w:tc>
        <w:tc>
          <w:tcPr>
            <w:tcW w:w="346"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2029</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10,000</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10,000</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9,929</w:t>
            </w:r>
          </w:p>
        </w:tc>
        <w:tc>
          <w:tcPr>
            <w:tcW w:w="346" w:type="dxa"/>
            <w:tcBorders/>
            <w:shd w:fill="CCEEFF" w:val="clear"/>
            <w:vAlign w:val="center"/>
          </w:tcPr>
          <w:p>
            <w:pPr>
              <w:pStyle w:val="TableContents"/>
              <w:bidi w:val="0"/>
              <w:spacing w:before="0" w:after="0"/>
              <w:ind w:left="0" w:right="0" w:hanging="0"/>
              <w:jc w:val="left"/>
              <w:rPr/>
            </w:pPr>
            <w:r>
              <w:rPr/>
              <w:t>​</w:t>
            </w:r>
          </w:p>
        </w:tc>
        <w:tc>
          <w:tcPr>
            <w:tcW w:w="853"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14.00%</w:t>
            </w:r>
          </w:p>
        </w:tc>
      </w:tr>
      <w:tr>
        <w:trPr/>
        <w:tc>
          <w:tcPr>
            <w:tcW w:w="1874"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7"/>
              </w:rPr>
              <w:t xml:space="preserve">Construction Loan - Rivana - Herndon, VA </w:t>
            </w:r>
            <w:r>
              <w:rPr>
                <w:rFonts w:ascii="Times New Roman;Times;serif" w:hAnsi="Times New Roman;Times;serif"/>
                <w:sz w:val="13"/>
              </w:rPr>
              <w:t>(2)</w:t>
            </w:r>
          </w:p>
        </w:tc>
        <w:tc>
          <w:tcPr>
            <w:tcW w:w="346" w:type="dxa"/>
            <w:tcBorders/>
            <w:vAlign w:val="center"/>
          </w:tcPr>
          <w:p>
            <w:pPr>
              <w:pStyle w:val="TableContents"/>
              <w:bidi w:val="0"/>
              <w:spacing w:before="0" w:after="0"/>
              <w:ind w:left="0" w:right="0" w:hanging="0"/>
              <w:jc w:val="left"/>
              <w:rPr/>
            </w:pPr>
            <w:r>
              <w:rPr/>
              <w:t>​</w:t>
            </w:r>
          </w:p>
        </w:tc>
        <w:tc>
          <w:tcPr>
            <w:tcW w:w="1094"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2024</w:t>
            </w:r>
          </w:p>
        </w:tc>
        <w:tc>
          <w:tcPr>
            <w:tcW w:w="346"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2028</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59,450</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34,246</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32,478</w:t>
            </w:r>
          </w:p>
        </w:tc>
        <w:tc>
          <w:tcPr>
            <w:tcW w:w="346"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11.50%</w:t>
            </w:r>
          </w:p>
        </w:tc>
      </w:tr>
      <w:tr>
        <w:trPr/>
        <w:tc>
          <w:tcPr>
            <w:tcW w:w="1874"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Whole Foods - Forsyth, GA</w:t>
            </w:r>
          </w:p>
        </w:tc>
        <w:tc>
          <w:tcPr>
            <w:tcW w:w="346" w:type="dxa"/>
            <w:tcBorders/>
            <w:shd w:fill="CCEEFF" w:val="clear"/>
            <w:vAlign w:val="center"/>
          </w:tcPr>
          <w:p>
            <w:pPr>
              <w:pStyle w:val="TableContents"/>
              <w:bidi w:val="0"/>
              <w:spacing w:before="0" w:after="0"/>
              <w:ind w:left="0" w:right="0" w:hanging="0"/>
              <w:jc w:val="left"/>
              <w:rPr/>
            </w:pPr>
            <w:r>
              <w:rPr/>
              <w:t>​</w:t>
            </w:r>
          </w:p>
        </w:tc>
        <w:tc>
          <w:tcPr>
            <w:tcW w:w="1094"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November 2024</w:t>
            </w:r>
          </w:p>
        </w:tc>
        <w:tc>
          <w:tcPr>
            <w:tcW w:w="346"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May 2027</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40,200</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13,804</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13,588</w:t>
            </w:r>
          </w:p>
        </w:tc>
        <w:tc>
          <w:tcPr>
            <w:tcW w:w="346" w:type="dxa"/>
            <w:tcBorders/>
            <w:shd w:fill="CCEEFF" w:val="clear"/>
            <w:vAlign w:val="center"/>
          </w:tcPr>
          <w:p>
            <w:pPr>
              <w:pStyle w:val="TableContents"/>
              <w:bidi w:val="0"/>
              <w:spacing w:before="0" w:after="0"/>
              <w:ind w:left="0" w:right="0" w:hanging="0"/>
              <w:jc w:val="left"/>
              <w:rPr/>
            </w:pPr>
            <w:r>
              <w:rPr/>
              <w:t>​</w:t>
            </w:r>
          </w:p>
        </w:tc>
        <w:tc>
          <w:tcPr>
            <w:tcW w:w="853"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12.15%</w:t>
            </w:r>
          </w:p>
        </w:tc>
      </w:tr>
      <w:tr>
        <w:trPr/>
        <w:tc>
          <w:tcPr>
            <w:tcW w:w="1874"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Mortgage Note - Mainstreet - Daytona Beach, FL </w:t>
            </w:r>
          </w:p>
        </w:tc>
        <w:tc>
          <w:tcPr>
            <w:tcW w:w="346" w:type="dxa"/>
            <w:tcBorders/>
            <w:vAlign w:val="center"/>
          </w:tcPr>
          <w:p>
            <w:pPr>
              <w:pStyle w:val="TableContents"/>
              <w:bidi w:val="0"/>
              <w:spacing w:before="0" w:after="0"/>
              <w:ind w:left="0" w:right="0" w:hanging="0"/>
              <w:jc w:val="left"/>
              <w:rPr/>
            </w:pPr>
            <w:r>
              <w:rPr/>
              <w:t>​</w:t>
            </w:r>
          </w:p>
        </w:tc>
        <w:tc>
          <w:tcPr>
            <w:tcW w:w="1094"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2025</w:t>
            </w:r>
          </w:p>
        </w:tc>
        <w:tc>
          <w:tcPr>
            <w:tcW w:w="346"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2030</w:t>
            </w:r>
          </w:p>
        </w:tc>
        <w:tc>
          <w:tcPr>
            <w:tcW w:w="346"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5,000</w:t>
            </w:r>
          </w:p>
        </w:tc>
        <w:tc>
          <w:tcPr>
            <w:tcW w:w="34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5,000</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4,977</w:t>
            </w:r>
          </w:p>
        </w:tc>
        <w:tc>
          <w:tcPr>
            <w:tcW w:w="346"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6.50%</w:t>
            </w:r>
          </w:p>
        </w:tc>
      </w:tr>
      <w:tr>
        <w:trPr/>
        <w:tc>
          <w:tcPr>
            <w:tcW w:w="18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4"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159,650</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108,050</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105,944</w:t>
            </w:r>
          </w:p>
        </w:tc>
        <w:tc>
          <w:tcPr>
            <w:tcW w:w="346" w:type="dxa"/>
            <w:tcBorders/>
            <w:shd w:fill="CCEEFF" w:val="clear"/>
            <w:vAlign w:val="center"/>
          </w:tcPr>
          <w:p>
            <w:pPr>
              <w:pStyle w:val="TableContents"/>
              <w:bidi w:val="0"/>
              <w:spacing w:before="0" w:after="0"/>
              <w:ind w:left="0" w:right="0" w:hanging="0"/>
              <w:jc w:val="left"/>
              <w:rPr/>
            </w:pPr>
            <w:r>
              <w:rPr/>
              <w:t>​</w:t>
            </w:r>
          </w:p>
        </w:tc>
        <w:tc>
          <w:tcPr>
            <w:tcW w:w="853" w:type="dxa"/>
            <w:tcBorders/>
            <w:shd w:fill="CCEEFF" w:val="clear"/>
            <w:vAlign w:val="center"/>
          </w:tcPr>
          <w:p>
            <w:pPr>
              <w:pStyle w:val="TableContents"/>
              <w:bidi w:val="0"/>
              <w:spacing w:before="0" w:after="0"/>
              <w:ind w:left="0" w:right="0" w:hanging="0"/>
              <w:jc w:val="center"/>
              <w:rPr/>
            </w:pPr>
            <w:r>
              <w:rPr/>
              <w:t>​</w:t>
            </w:r>
          </w:p>
        </w:tc>
      </w:tr>
      <w:tr>
        <w:trPr/>
        <w:tc>
          <w:tcPr>
            <w:tcW w:w="1874"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CECL Reserve</w:t>
            </w:r>
          </w:p>
        </w:tc>
        <w:tc>
          <w:tcPr>
            <w:tcW w:w="346" w:type="dxa"/>
            <w:tcBorders/>
            <w:vAlign w:val="center"/>
          </w:tcPr>
          <w:p>
            <w:pPr>
              <w:pStyle w:val="TableContents"/>
              <w:bidi w:val="0"/>
              <w:spacing w:before="0" w:after="0"/>
              <w:ind w:left="0" w:right="0" w:hanging="0"/>
              <w:jc w:val="left"/>
              <w:rPr/>
            </w:pPr>
            <w:r>
              <w:rPr/>
              <w:t>​</w:t>
            </w:r>
          </w:p>
        </w:tc>
        <w:tc>
          <w:tcPr>
            <w:tcW w:w="109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(1,140)</w:t>
            </w:r>
          </w:p>
        </w:tc>
        <w:tc>
          <w:tcPr>
            <w:tcW w:w="346"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left"/>
              <w:rPr/>
            </w:pPr>
            <w:r>
              <w:rPr/>
              <w:t>​</w:t>
            </w:r>
          </w:p>
        </w:tc>
      </w:tr>
      <w:tr>
        <w:trPr/>
        <w:tc>
          <w:tcPr>
            <w:tcW w:w="1874"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Commercial Loans and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09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104,804</w:t>
            </w:r>
          </w:p>
        </w:tc>
        <w:tc>
          <w:tcPr>
            <w:tcW w:w="346" w:type="dxa"/>
            <w:tcBorders/>
            <w:shd w:fill="CCEEFF" w:val="clear"/>
            <w:vAlign w:val="center"/>
          </w:tcPr>
          <w:p>
            <w:pPr>
              <w:pStyle w:val="TableContents"/>
              <w:bidi w:val="0"/>
              <w:spacing w:before="0" w:after="0"/>
              <w:ind w:left="0" w:right="0" w:hanging="0"/>
              <w:jc w:val="left"/>
              <w:rPr/>
            </w:pPr>
            <w:r>
              <w:rPr/>
              <w:t>​</w:t>
            </w:r>
          </w:p>
        </w:tc>
        <w:tc>
          <w:tcPr>
            <w:tcW w:w="853" w:type="dxa"/>
            <w:tcBorders/>
            <w:shd w:fill="CCEEFF" w:val="clear"/>
            <w:vAlign w:val="center"/>
          </w:tcPr>
          <w:p>
            <w:pPr>
              <w:pStyle w:val="TableContents"/>
              <w:bidi w:val="0"/>
              <w:spacing w:before="0" w:after="0"/>
              <w:ind w:left="0" w:right="0" w:hanging="0"/>
              <w:jc w:val="left"/>
              <w:rPr/>
            </w:pPr>
            <w:r>
              <w:rPr/>
              <w:t>​</w:t>
            </w:r>
          </w:p>
        </w:tc>
      </w:tr>
      <w:tr>
        <w:trPr/>
        <w:tc>
          <w:tcPr>
            <w:tcW w:w="18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left"/>
              <w:rPr/>
            </w:pPr>
            <w:r>
              <w:rPr/>
              <w:t>​</w:t>
            </w:r>
          </w:p>
        </w:tc>
      </w:tr>
    </w:tbl>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415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Coupon rate increased to 9.5%</w:t>
            </w:r>
            <w:r>
              <w:rPr>
                <w:caps w:val="false"/>
                <w:smallCaps w:val="false"/>
              </w:rPr>
              <w:t xml:space="preserve"> </w:t>
            </w:r>
            <w:r>
              <w:rPr>
                <w:rFonts w:ascii="Times New Roman;Times;serif" w:hAnsi="Times New Roman;Times;serif"/>
                <w:b w:val="false"/>
                <w:i w:val="false"/>
                <w:caps w:val="false"/>
                <w:smallCaps w:val="false"/>
                <w:sz w:val="16"/>
              </w:rPr>
              <w:t>effective January 1, 2026.</w:t>
            </w:r>
          </w:p>
        </w:tc>
      </w:tr>
    </w:tbl>
    <w:tbl>
      <w:tblPr>
        <w:tblW w:w="8376" w:type="dxa"/>
        <w:jc w:val="left"/>
        <w:tblInd w:w="0" w:type="dxa"/>
        <w:tblLayout w:type="fixed"/>
        <w:tblCellMar>
          <w:top w:w="28" w:type="dxa"/>
          <w:left w:w="28" w:type="dxa"/>
          <w:bottom w:w="28" w:type="dxa"/>
          <w:right w:w="28" w:type="dxa"/>
        </w:tblCellMar>
      </w:tblPr>
      <w:tblGrid>
        <w:gridCol w:w="124"/>
        <w:gridCol w:w="256"/>
        <w:gridCol w:w="7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799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Future draws funded will have a 12.0%</w:t>
            </w:r>
            <w:r>
              <w:rPr>
                <w:caps w:val="false"/>
                <w:smallCaps w:val="false"/>
              </w:rPr>
              <w:t xml:space="preserve"> </w:t>
            </w:r>
            <w:r>
              <w:rPr>
                <w:rFonts w:ascii="Times New Roman;Times;serif" w:hAnsi="Times New Roman;Times;serif"/>
                <w:b w:val="false"/>
                <w:i w:val="false"/>
                <w:caps w:val="false"/>
                <w:smallCaps w:val="false"/>
                <w:sz w:val="16"/>
              </w:rPr>
              <w:t>coupon rate including 10%</w:t>
            </w:r>
            <w:r>
              <w:rPr>
                <w:caps w:val="false"/>
                <w:smallCaps w:val="false"/>
              </w:rPr>
              <w:t xml:space="preserve"> </w:t>
            </w:r>
            <w:r>
              <w:rPr>
                <w:rFonts w:ascii="Times New Roman;Times;serif" w:hAnsi="Times New Roman;Times;serif"/>
                <w:b w:val="false"/>
                <w:i w:val="false"/>
                <w:caps w:val="false"/>
                <w:smallCaps w:val="false"/>
                <w:sz w:val="16"/>
              </w:rPr>
              <w:t>cash and 2.0%</w:t>
            </w:r>
            <w:r>
              <w:rPr>
                <w:caps w:val="false"/>
                <w:smallCaps w:val="false"/>
              </w:rPr>
              <w:t xml:space="preserve"> </w:t>
            </w:r>
            <w:r>
              <w:rPr>
                <w:rFonts w:ascii="Times New Roman;Times;serif" w:hAnsi="Times New Roman;Times;serif"/>
                <w:b w:val="false"/>
                <w:i w:val="false"/>
                <w:caps w:val="false"/>
                <w:smallCaps w:val="false"/>
                <w:sz w:val="16"/>
              </w:rPr>
              <w:t>accrued paid-in-kind interest</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490"/>
        <w:jc w:val="both"/>
        <w:rPr>
          <w:rFonts w:ascii="Times New Roman;Times;serif" w:hAnsi="Times New Roman;Times;serif"/>
          <w:sz w:val="20"/>
        </w:rPr>
      </w:pPr>
      <w:bookmarkStart w:id="1168" w:name="Tc_YzYrXBwLCEadl4uTA3-WMg_7_5"/>
      <w:bookmarkStart w:id="1169" w:name="Tc_FdeEbymakEmp1ufwHOEyLw_7_2"/>
      <w:bookmarkStart w:id="1170" w:name="Tc_3Wj4pm3XGECIPbQNBQ_78Q_7_0"/>
      <w:bookmarkStart w:id="1171" w:name="Tc_XkH1kGP7gkqIzt_WBWLM-g_6_0"/>
      <w:bookmarkStart w:id="1172" w:name="Tc_F_21wQkQUUOa5n13aIKA1Q_5_0"/>
      <w:bookmarkStart w:id="1173" w:name="Tc_LHv25G7lzEmEUJgKClw_jg_4_0"/>
      <w:bookmarkStart w:id="1174" w:name="Tc_IxWZbo6iREmPI1Nn9rWpxw_3_5"/>
      <w:bookmarkStart w:id="1175" w:name="Tc_nabOth-qR0C_l6wsW_Mueg_3_2"/>
      <w:bookmarkStart w:id="1176" w:name="Tc_KIUNbeRrfke9oMIcEf1q1Q_3_0"/>
      <w:bookmarkStart w:id="1177" w:name="Tc_WneD2IoU5E6IvhfvDh7lJQ_2_5"/>
      <w:bookmarkStart w:id="1178" w:name="Tc_NAUB3MxCckKotxVETNA2Xg_2_2"/>
      <w:bookmarkStart w:id="1179" w:name="Tc_m9hS-8LE4EauW3rrVMrD0g_1_2"/>
      <w:bookmarkStart w:id="1180" w:name="_0fccdaeb_0787_4b4a_9657_6e74fb017f2b"/>
      <w:bookmarkEnd w:id="1168"/>
      <w:bookmarkEnd w:id="1169"/>
      <w:bookmarkEnd w:id="1170"/>
      <w:bookmarkEnd w:id="1171"/>
      <w:bookmarkEnd w:id="1172"/>
      <w:bookmarkEnd w:id="1173"/>
      <w:bookmarkEnd w:id="1174"/>
      <w:bookmarkEnd w:id="1175"/>
      <w:bookmarkEnd w:id="1176"/>
      <w:bookmarkEnd w:id="1177"/>
      <w:bookmarkEnd w:id="1178"/>
      <w:bookmarkEnd w:id="1179"/>
      <w:bookmarkEnd w:id="1180"/>
      <w:r>
        <w:rPr>
          <w:rFonts w:ascii="Times New Roman;Times;serif" w:hAnsi="Times New Roman;Times;serif"/>
          <w:sz w:val="20"/>
        </w:rPr>
        <w:t>The carrying value of the commercial loans and investments portfolio at June 30, 2026 and December 31, 2025 consisted of the following (in thousands):</w:t>
      </w:r>
    </w:p>
    <w:tbl>
      <w:tblPr>
        <w:tblW w:w="7233" w:type="dxa"/>
        <w:jc w:val="left"/>
        <w:tblInd w:w="0" w:type="dxa"/>
        <w:tblLayout w:type="fixed"/>
        <w:tblCellMar>
          <w:top w:w="0" w:type="dxa"/>
          <w:left w:w="0" w:type="dxa"/>
          <w:bottom w:w="0" w:type="dxa"/>
          <w:right w:w="0" w:type="dxa"/>
        </w:tblCellMar>
      </w:tblPr>
      <w:tblGrid>
        <w:gridCol w:w="3496"/>
        <w:gridCol w:w="346"/>
        <w:gridCol w:w="271"/>
        <w:gridCol w:w="1004"/>
        <w:gridCol w:w="346"/>
        <w:gridCol w:w="340"/>
        <w:gridCol w:w="1430"/>
      </w:tblGrid>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72085" cy="175260"/>
                      <wp:effectExtent l="0" t="0" r="0" b="0"/>
                      <wp:wrapNone/>
                      <wp:docPr id="171" name="Frame17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37540" cy="175260"/>
                      <wp:effectExtent l="0" t="0" r="0" b="0"/>
                      <wp:wrapNone/>
                      <wp:docPr id="172" name="Frame172"/>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5900" cy="175260"/>
                      <wp:effectExtent l="0" t="0" r="0" b="0"/>
                      <wp:wrapNone/>
                      <wp:docPr id="174" name="Frame174"/>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908050" cy="175260"/>
                      <wp:effectExtent l="0" t="0" r="0" b="0"/>
                      <wp:wrapNone/>
                      <wp:docPr id="175" name="Frame175"/>
                      <a:graphic xmlns:a="http://schemas.openxmlformats.org/drawingml/2006/main">
                        <a:graphicData uri="http://schemas.microsoft.com/office/word/2010/wordprocessingShape">
                          <wps:wsp>
                            <wps:cNvSpPr txBox="1"/>
                            <wps:spPr>
                              <a:xfrm>
                                <a:off x="0" y="0"/>
                                <a:ext cx="908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9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346" w:type="dxa"/>
            <w:tcBorders/>
            <w:vAlign w:val="center"/>
          </w:tcPr>
          <w:p>
            <w:pPr>
              <w:pStyle w:val="TableContents"/>
              <w:bidi w:val="0"/>
              <w:spacing w:before="0" w:after="0"/>
              <w:ind w:left="0" w:right="0" w:hanging="0"/>
              <w:jc w:val="left"/>
              <w:rPr/>
            </w:pPr>
            <w:r>
              <w:rPr/>
              <w:t>  ​ ​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Face Amount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192,608</w:t>
            </w:r>
          </w:p>
        </w:tc>
        <w:tc>
          <w:tcPr>
            <w:tcW w:w="34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108,050</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Unaccreted Origination Fees</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(1,760)</w:t>
            </w:r>
          </w:p>
        </w:tc>
        <w:tc>
          <w:tcPr>
            <w:tcW w:w="34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14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Unaccreted Exit Fees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(1,557)</w:t>
            </w:r>
          </w:p>
        </w:tc>
        <w:tc>
          <w:tcPr>
            <w:tcW w:w="34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1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(1,328)</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CECL Reserve</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(1,903)</w:t>
            </w:r>
          </w:p>
        </w:tc>
        <w:tc>
          <w:tcPr>
            <w:tcW w:w="346" w:type="dxa"/>
            <w:tcBorders/>
            <w:vAlign w:val="center"/>
          </w:tcPr>
          <w:p>
            <w:pPr>
              <w:pStyle w:val="TableContents"/>
              <w:bidi w:val="0"/>
              <w:spacing w:before="0" w:after="0"/>
              <w:ind w:left="0" w:right="0" w:hanging="0"/>
              <w:jc w:val="left"/>
              <w:rPr/>
            </w:pPr>
            <w:r>
              <w:rPr/>
              <w:t>​</w:t>
            </w:r>
          </w:p>
        </w:tc>
        <w:tc>
          <w:tcPr>
            <w:tcW w:w="3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Commercial Loans and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187,388</w:t>
            </w:r>
          </w:p>
        </w:tc>
        <w:tc>
          <w:tcPr>
            <w:tcW w:w="346" w:type="dxa"/>
            <w:tcBorders/>
            <w:shd w:fill="CCEEFF" w:val="clear"/>
            <w:vAlign w:val="center"/>
          </w:tcPr>
          <w:p>
            <w:pPr>
              <w:pStyle w:val="TableContents"/>
              <w:bidi w:val="0"/>
              <w:spacing w:before="0" w:after="0"/>
              <w:ind w:left="0" w:right="0" w:hanging="0"/>
              <w:jc w:val="left"/>
              <w:rPr/>
            </w:pPr>
            <w:r>
              <w:rPr/>
              <w:t>​</w:t>
            </w:r>
          </w:p>
        </w:tc>
        <w:tc>
          <w:tcPr>
            <w:tcW w:w="3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104,804</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1181" w:name="Tc_odADy8japkGKGtPpxIzaQw_6_5"/>
      <w:bookmarkStart w:id="1182" w:name="Tc_6-wUDUJy2UeNkgKpGXzBHQ_6_2"/>
      <w:bookmarkStart w:id="1183" w:name="Tc_50g7NAqqVUeEnyRKvI_4aw_6_0"/>
      <w:bookmarkStart w:id="1184" w:name="Tc_P7ovs-8bK0-yzR06Vh6wcg_5_0"/>
      <w:bookmarkStart w:id="1185" w:name="Tc_NLlkdm_hCEGM7_EngGFleQ_4_0"/>
      <w:bookmarkStart w:id="1186" w:name="Tc_H_55Bu2WwUSArPi9MlSg7Q_3_5"/>
      <w:bookmarkStart w:id="1187" w:name="Tc_5ap4bt5i4UC5pPKrbJYq-Q_3_2"/>
      <w:bookmarkStart w:id="1188" w:name="Tc_KyA50alqOUCzkHU8FMovfA_3_0"/>
      <w:bookmarkStart w:id="1189" w:name="Tc_YS6YlMmm_UGYrkHIr5GZtA_2_5"/>
      <w:bookmarkStart w:id="1190" w:name="Tc_mgNaK8dCDkmA0fBqK4jMcw_2_2"/>
      <w:bookmarkStart w:id="1191" w:name="Tc_Rdl2SIaMD0KwT8sKbr50tg_2_0"/>
      <w:bookmarkStart w:id="1192" w:name="Tc_BRkiJnjY_UyGLKJtmROJVA_1_2"/>
      <w:bookmarkStart w:id="1193" w:name="_fb79294d_c712_4aa2_b943_483ec32b6de3"/>
      <w:bookmarkStart w:id="1194" w:name="_a8b83604_0d1c_41ff_ae79_b75c29c3f237_5"/>
      <w:bookmarkStart w:id="1195" w:name="_a8b83604_0d1c_41ff_ae79_b75c29c3f237_4"/>
      <w:bookmarkStart w:id="1196" w:name="_a8b83604_0d1c_41ff_ae79_b75c29c3f237_3"/>
      <w:bookmarkStart w:id="1197" w:name="_a8b83604_0d1c_41ff_ae79_b75c29c3f237_2"/>
      <w:bookmarkStart w:id="1198" w:name="_a8b83604_0d1c_41ff_ae79_b75c29c3f237"/>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r>
        <w:rPr>
          <w:rFonts w:ascii="Times New Roman;Times;serif" w:hAnsi="Times New Roman;Times;serif"/>
          <w:b/>
          <w:sz w:val="20"/>
        </w:rPr>
        <w:t>NOTE 5. MANAGEMENT SERVICES BUSINESS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The Company’s management fee income is within the scope of FASB ASC Topic 606, </w:t>
      </w:r>
      <w:r>
        <w:rPr>
          <w:rFonts w:ascii="Times New Roman;Times;serif" w:hAnsi="Times New Roman;Times;serif"/>
          <w:i/>
          <w:sz w:val="20"/>
        </w:rPr>
        <w:t>Revenue from Contracts with Customers</w:t>
      </w:r>
      <w:r>
        <w:rPr>
          <w:rFonts w:ascii="Times New Roman;Times;serif" w:hAnsi="Times New Roman;Times;serif"/>
          <w:sz w:val="20"/>
        </w:rPr>
        <w:t>. Management fee income is recognized as revenue over time, over the period the services are performed.</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Related Party Management of Alpine Income Property Trust.</w:t>
      </w:r>
      <w:r>
        <w:rPr>
          <w:rFonts w:ascii="Times New Roman;Times;serif" w:hAnsi="Times New Roman;Times;serif"/>
          <w:sz w:val="20"/>
        </w:rPr>
        <w:t xml:space="preserve"> Pursuant to the Company’s management agreement with PINE, the Company generates a base management fee equal to 0.375% per quarter of PINE’s total equity (as defined in the management agreement and based on a 1.5% annual rate), calculated and payable in cash, quarterly in arrears. The Company has waived a portion of the base management fee attributable to the inclusion of the net cash proceeds from the issuance of PINE’s Series A Preferred Stock in PINE’s “total equity” (the “Incremental Equity Base”), such that the base management fee rate on the Incremental Equity Base is equal to 0.75% per annum (0.1875% per fiscal quarter), instead of 1.50% per annum (0.375% per fiscal quarter), as provided in the management agreement. The Company also has an opportunity to achieve additional cash flows as manager of PINE pursuant to an annual incentive fee based on PINE’s total stockholder return exceeding an 8% cumulative annual hurdle rate (the “Outperformance Amount”) subject to a high-water mark price. PINE would pay the Company an incentive fee with respect to each annual measurement period in an amount equal to the greater of (i) $0.00 and (ii) the product of (a) 15% multiplied by (b) the Outperformance Amount multiplied by (c) the weighted average shares. No incentive fee was earned for the year ended December 31, 2025.</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The Company earned management fees from PINE of $1.4 million and $1.1 million for the three months ended June 30, 2026 and 2025, respectively. </w:t>
      </w:r>
      <w:r>
        <w:rPr>
          <w:rFonts w:ascii="Times New Roman;Times;serif" w:hAnsi="Times New Roman;Times;serif"/>
          <w:sz w:val="20"/>
          <w:shd w:fill="FFFFFF" w:val="clear"/>
        </w:rPr>
        <w:t>During the six months ended June 30, 2026 and 2025, the Company earned management fee revenue from PINE totaling $</w:t>
      </w:r>
      <w:r>
        <w:rPr>
          <w:rFonts w:ascii="Times New Roman;Times;serif" w:hAnsi="Times New Roman;Times;serif"/>
          <w:sz w:val="20"/>
        </w:rPr>
        <w:t>2.7</w:t>
      </w:r>
      <w:r>
        <w:rPr>
          <w:rFonts w:ascii="Times New Roman;Times;serif" w:hAnsi="Times New Roman;Times;serif"/>
          <w:sz w:val="20"/>
          <w:shd w:fill="FFFFFF" w:val="clear"/>
        </w:rPr>
        <w:t> million and $</w:t>
      </w:r>
      <w:r>
        <w:rPr>
          <w:rFonts w:ascii="Times New Roman;Times;serif" w:hAnsi="Times New Roman;Times;serif"/>
          <w:sz w:val="20"/>
        </w:rPr>
        <w:t>2.2</w:t>
      </w:r>
      <w:r>
        <w:rPr>
          <w:rFonts w:ascii="Times New Roman;Times;serif" w:hAnsi="Times New Roman;Times;serif"/>
          <w:sz w:val="20"/>
          <w:shd w:fill="FFFFFF" w:val="clear"/>
        </w:rPr>
        <w:t> million, respectively. </w:t>
      </w:r>
      <w:r>
        <w:rPr>
          <w:rFonts w:ascii="Times New Roman;Times;serif" w:hAnsi="Times New Roman;Times;serif"/>
          <w:sz w:val="20"/>
        </w:rPr>
        <w:t xml:space="preserve">Dividend income for each of the three month periods ended June 30, 2026 and 2025 totaled $0.7 million. Dividend income for the six month periods ended June 30, 2026 and 2025 totaled $1.5 million and $1.3 million, respectively. </w:t>
      </w:r>
      <w:r>
        <w:rPr>
          <w:rFonts w:ascii="Times New Roman;Times;serif" w:hAnsi="Times New Roman;Times;serif"/>
          <w:sz w:val="20"/>
          <w:shd w:fill="FFFFFF" w:val="clear"/>
        </w:rPr>
        <w:t>Management fee revenue from PINE, included in management services, and dividend income, included in investment and other income, are reflected in the accompanying consolidated statements of operations.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following table represents amounts due from PINE as of June 30, 2026 and December 31, 2025 which are included in other assets on the consolidated balance sheets (in thousands):</w:t>
      </w:r>
    </w:p>
    <w:p>
      <w:pPr>
        <w:pStyle w:val="TextBody"/>
        <w:bidi w:val="0"/>
        <w:spacing w:before="0" w:after="0"/>
        <w:ind w:left="0" w:right="0" w:hanging="0"/>
        <w:jc w:val="left"/>
        <w:rPr/>
      </w:pPr>
      <w:r>
        <w:rPr/>
        <w:t>​</w:t>
      </w:r>
    </w:p>
    <w:tbl>
      <w:tblPr>
        <w:tblW w:w="7041" w:type="dxa"/>
        <w:jc w:val="left"/>
        <w:tblInd w:w="0" w:type="dxa"/>
        <w:tblLayout w:type="fixed"/>
        <w:tblCellMar>
          <w:top w:w="0" w:type="dxa"/>
          <w:left w:w="0" w:type="dxa"/>
          <w:bottom w:w="0" w:type="dxa"/>
          <w:right w:w="0" w:type="dxa"/>
        </w:tblCellMar>
      </w:tblPr>
      <w:tblGrid>
        <w:gridCol w:w="3541"/>
        <w:gridCol w:w="346"/>
        <w:gridCol w:w="342"/>
        <w:gridCol w:w="933"/>
        <w:gridCol w:w="109"/>
        <w:gridCol w:w="420"/>
        <w:gridCol w:w="1350"/>
      </w:tblGrid>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92455" cy="175260"/>
                      <wp:effectExtent l="0" t="0" r="0" b="0"/>
                      <wp:wrapNone/>
                      <wp:docPr id="176" name="Frame176"/>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9215" cy="175260"/>
                      <wp:effectExtent l="0" t="0" r="0" b="0"/>
                      <wp:wrapNone/>
                      <wp:docPr id="177" name="Frame1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857250" cy="175260"/>
                      <wp:effectExtent l="0" t="0" r="0" b="0"/>
                      <wp:wrapNone/>
                      <wp:docPr id="178" name="Frame178"/>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5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5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c>
          <w:tcPr>
            <w:tcW w:w="346" w:type="dxa"/>
            <w:tcBorders/>
            <w:vAlign w:val="center"/>
          </w:tcPr>
          <w:p>
            <w:pPr>
              <w:pStyle w:val="TableContents"/>
              <w:bidi w:val="0"/>
              <w:spacing w:before="0" w:after="0"/>
              <w:ind w:left="0" w:right="0" w:hanging="0"/>
              <w:jc w:val="left"/>
              <w:rPr/>
            </w:pPr>
            <w:r>
              <w:rPr/>
              <w:t>  ​ ​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109" w:type="dxa"/>
            <w:tcBorders/>
            <w:vAlign w:val="center"/>
          </w:tcPr>
          <w:p>
            <w:pPr>
              <w:pStyle w:val="TableContents"/>
              <w:bidi w:val="0"/>
              <w:spacing w:before="0" w:after="0"/>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Services Fee Due From PINE</w:t>
            </w:r>
          </w:p>
        </w:tc>
        <w:tc>
          <w:tcPr>
            <w:tcW w:w="34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1,389</w:t>
            </w:r>
          </w:p>
        </w:tc>
        <w:tc>
          <w:tcPr>
            <w:tcW w:w="109" w:type="dxa"/>
            <w:tcBorders/>
            <w:shd w:fill="CCEEFF" w:val="clear"/>
            <w:vAlign w:val="center"/>
          </w:tcPr>
          <w:p>
            <w:pPr>
              <w:pStyle w:val="TableContents"/>
              <w:bidi w:val="0"/>
              <w:spacing w:before="0" w:after="0"/>
              <w:ind w:left="0" w:right="0" w:hanging="0"/>
              <w:jc w:val="righ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Receivable</w:t>
            </w:r>
          </w:p>
        </w:tc>
        <w:tc>
          <w:tcPr>
            <w:tcW w:w="34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c>
          <w:tcPr>
            <w:tcW w:w="109" w:type="dxa"/>
            <w:tcBorders/>
            <w:vAlign w:val="center"/>
          </w:tcPr>
          <w:p>
            <w:pPr>
              <w:pStyle w:val="TableContents"/>
              <w:bidi w:val="0"/>
              <w:spacing w:before="0" w:after="0"/>
              <w:ind w:left="0" w:right="0" w:hanging="0"/>
              <w:jc w:val="righ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3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109" w:type="dxa"/>
            <w:tcBorders/>
            <w:shd w:fill="CCEEFF" w:val="clear"/>
            <w:vAlign w:val="center"/>
          </w:tcPr>
          <w:p>
            <w:pPr>
              <w:pStyle w:val="TableContents"/>
              <w:bidi w:val="0"/>
              <w:spacing w:before="0" w:after="0"/>
              <w:ind w:left="0" w:right="0" w:hanging="0"/>
              <w:jc w:val="righ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3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1,834</w:t>
            </w:r>
          </w:p>
        </w:tc>
        <w:tc>
          <w:tcPr>
            <w:tcW w:w="109" w:type="dxa"/>
            <w:tcBorders/>
            <w:vAlign w:val="center"/>
          </w:tcPr>
          <w:p>
            <w:pPr>
              <w:pStyle w:val="TableContents"/>
              <w:bidi w:val="0"/>
              <w:spacing w:before="0" w:after="0"/>
              <w:ind w:left="0" w:right="0" w:hanging="0"/>
              <w:jc w:val="righ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2,379</w:t>
            </w:r>
          </w:p>
        </w:tc>
      </w:tr>
    </w:tbl>
    <w:p>
      <w:pPr>
        <w:pStyle w:val="TextBody"/>
        <w:shd w:fill="FFFFFF" w:val="clear"/>
        <w:bidi w:val="0"/>
        <w:spacing w:before="0" w:after="0"/>
        <w:ind w:left="0" w:right="0" w:hanging="0"/>
        <w:jc w:val="both"/>
        <w:rPr/>
      </w:pPr>
      <w:r>
        <w:rPr/>
        <w:t> </w:t>
      </w:r>
    </w:p>
    <w:p>
      <w:pPr>
        <w:pStyle w:val="TextBody"/>
        <w:pBdr/>
        <w:shd w:fill="FFFFFF" w:val="clear"/>
        <w:bidi w:val="0"/>
        <w:spacing w:before="0" w:after="0"/>
        <w:ind w:left="0" w:right="0" w:hanging="0"/>
        <w:jc w:val="both"/>
        <w:rPr/>
      </w:pPr>
      <w:r>
        <w:rPr/>
        <w:t> </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November 26, 2019, as part of PINE’s IPO, the Company sold PINE 15 properties for aggregate cash consideration of $125.9 million. In connection with the IPO, the Company contributed to the PINE Operating Partnership five properties in exchange for an aggregate of 1,223,854 OP Units, which had an initial value of $23.3 million. Additionally, on November 26, 2019, the Company purchased 394,737 shares of PINE common stock for a total purchase price of $7.5 million in a private placement and 421,053 shares of PINE common stock in the IPO for a total purchase price of $8.0 million.</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From time to time following PINE’s IPO, the Company’s Board of Directors has authorized the purchase by the Company of additional shares of common stock of PINE. Pursuant to these authorizations, the Company has purchased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431,912 shares of PINE common stock on the open market subsequent to PINE’s IPO for a total cost of $7.0 million, including fees, or a weighted average gross price of $16.15 per share. No purchases of PINE common stock were completed during the three months ended June 30, 2026.</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As of June 30, 2026, the Company owns, in the aggregate, 1,223,854 OP Units and 1,247,702 shares of PINE common stock, representing an investment totaling $51.3 million, or 13.1% of PINE’s outstanding equity.</w:t>
      </w:r>
    </w:p>
    <w:p>
      <w:pPr>
        <w:pStyle w:val="TextBody"/>
        <w:shd w:fill="FFFFFF" w:val="clear"/>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Portfolio Management Agreement. </w:t>
      </w:r>
      <w:r>
        <w:rPr>
          <w:rFonts w:ascii="Times New Roman;Times;serif" w:hAnsi="Times New Roman;Times;serif"/>
          <w:sz w:val="20"/>
        </w:rPr>
        <w:t>On December 4, 2023, the Company entered into an asset management agreement with a third party to manage a portfolio of multi-tenant and single-tenant assets (the “Portfolio Management Agreement”). Although the Company has no direct relationship with the third party, PINE is a lender to the third-party pursuant to a mortgage note originated by PINE which is secured by the portfolio. The Company receives (or expects to receive) asset management fees, disposition management fees, leasing commissions, and other fees related to the Company’s management and administration of the portfolio pursuant to the Portfolio Management Agreement. The Company also entered into a revenue sharing agreement with PINE whereby PINE will receive the portion of fees earned by the Company under the Portfolio Management Agreement which are attributable to the single tenant properties within the portfolio. Pursuant to the Portfolio Management Agreement, which is included in management fee income on the Company’s consolidated statements of operations, the Company recognized less than $0.1 million and $0.1 million of revenue during the three months ended June 30, 2026 and June 30, 2025, respectively. During the six months ended June 30, 2026 and 2025, the Company recognized revenue of $0.1 million and $0.2 million, respectively, pursuant to the Portfolio Management Agreement.</w:t>
      </w:r>
    </w:p>
    <w:p>
      <w:pPr>
        <w:pStyle w:val="TextBody"/>
        <w:bidi w:val="0"/>
        <w:spacing w:before="0" w:after="0"/>
        <w:ind w:left="0" w:right="0" w:firstLine="490"/>
        <w:jc w:val="both"/>
        <w:rPr>
          <w:rFonts w:ascii="Times New Roman;Times;serif" w:hAnsi="Times New Roman;Times;serif"/>
          <w:sz w:val="2"/>
        </w:rPr>
      </w:pPr>
      <w:r>
        <w:rPr>
          <w:rFonts w:ascii="Times New Roman;Times;serif" w:hAnsi="Times New Roman;Times;serif"/>
          <w:i/>
          <w:sz w:val="20"/>
        </w:rPr>
        <w:t xml:space="preserve">Asset Management Agreement. </w:t>
      </w:r>
      <w:r>
        <w:rPr>
          <w:rFonts w:ascii="Times New Roman;Times;serif" w:hAnsi="Times New Roman;Times;serif"/>
          <w:sz w:val="20"/>
        </w:rPr>
        <w:t>The Company receives management and other fees pursuant to a subsurface management agreement. The Company recognized less than $0.1</w:t>
      </w:r>
      <w:r>
        <w:rPr>
          <w:rFonts w:ascii="Times New Roman;Times;serif" w:hAnsi="Times New Roman;Times;serif"/>
          <w:sz w:val="2"/>
        </w:rPr>
        <w:t xml:space="preserve"> </w:t>
      </w:r>
      <w:r>
        <w:rPr>
          <w:rFonts w:ascii="Times New Roman;Times;serif" w:hAnsi="Times New Roman;Times;serif"/>
          <w:sz w:val="20"/>
        </w:rPr>
        <w:t>million of revenue during each of the three and six month periods ended June 30, 2026 and 2025 pursuant to this agreement, which is included in management fee income on the Company’s consolidated statements of operations.</w:t>
      </w:r>
      <w:r>
        <w:rPr>
          <w:rFonts w:ascii="Times New Roman;Times;serif" w:hAnsi="Times New Roman;Times;serif"/>
          <w:sz w:val="2"/>
        </w:rPr>
        <w:t> </w:t>
      </w:r>
    </w:p>
    <w:p>
      <w:pPr>
        <w:pStyle w:val="TextBody"/>
        <w:bidi w:val="0"/>
        <w:spacing w:before="100" w:after="100"/>
        <w:ind w:left="0" w:right="0" w:hanging="0"/>
        <w:jc w:val="both"/>
        <w:rPr/>
      </w:pPr>
      <w:r>
        <w:rPr/>
        <w:t>​</w:t>
      </w:r>
    </w:p>
    <w:p>
      <w:pPr>
        <w:pStyle w:val="TextBody"/>
        <w:pBdr/>
        <w:bidi w:val="0"/>
        <w:spacing w:before="0" w:after="240"/>
        <w:ind w:left="0" w:right="0" w:hanging="490"/>
        <w:jc w:val="both"/>
        <w:rPr>
          <w:rFonts w:ascii="Times New Roman;Times;serif" w:hAnsi="Times New Roman;Times;serif"/>
          <w:b/>
          <w:sz w:val="20"/>
        </w:rPr>
      </w:pPr>
      <w:bookmarkStart w:id="1199" w:name="Tc_wH40ViiIF0yr0JovgqOmew_10_11"/>
      <w:bookmarkStart w:id="1200" w:name="Tc_mjDjtCDUBEGblxsumikfow_10_8"/>
      <w:bookmarkStart w:id="1201" w:name="Tc_Sr-61SzZekaJMFzvNm3n5A_10_6"/>
      <w:bookmarkStart w:id="1202" w:name="Tc_c4slggUPHUW6WJbBCkzQnA_10_5"/>
      <w:bookmarkStart w:id="1203" w:name="Tc_QCyKmo8Aak-9pSuSYHyyUQ_10_2"/>
      <w:bookmarkStart w:id="1204" w:name="Tc_wAIRbTHbTk2Mec0jruZspg_10_0"/>
      <w:bookmarkStart w:id="1205" w:name="Tc_8WNpv3wR9kCmad51PXJEKA_9_6"/>
      <w:bookmarkStart w:id="1206" w:name="Tc_sr9MR6Wce0imLyvLB04PDA_9_0"/>
      <w:bookmarkStart w:id="1207" w:name="Tc_3UEtOhwP_UiLdl18-thj_w_8_11"/>
      <w:bookmarkStart w:id="1208" w:name="Tc_qE_p8JpFcUaoJmQ6xJbRCQ_8_8"/>
      <w:bookmarkStart w:id="1209" w:name="Tc_TYV4zjnBh0CzQjrqrZm_8w_8_6"/>
      <w:bookmarkStart w:id="1210" w:name="Tc_TCixIcFn9U6fkvGwm4Xzjg_8_5"/>
      <w:bookmarkStart w:id="1211" w:name="Tc_WGSn5fujFUCBDdq9k-4F4Q_8_2"/>
      <w:bookmarkStart w:id="1212" w:name="Tc_26Vxosc9rk-etyZuCqADtg_8_0"/>
      <w:bookmarkStart w:id="1213" w:name="Tc_YaTRwFMIhkK9P8OiD7FgVA_7_0"/>
      <w:bookmarkStart w:id="1214" w:name="Tc_Tk1GxAwOgEKJ0f1H0kZYUw_5_11"/>
      <w:bookmarkStart w:id="1215" w:name="Tc_jxsOOWf7w0y9oOiTzGVLfA_5_9"/>
      <w:bookmarkStart w:id="1216" w:name="Tc_dlA5DHpEn0qNC3SXoyKTQQ_5_8"/>
      <w:bookmarkStart w:id="1217" w:name="Tc_RkDpxidWeUyKI5KgE61sNg_5_5"/>
      <w:bookmarkStart w:id="1218" w:name="Tc_bdBtUc8no0akiUv3W4NGHA_5_2"/>
      <w:bookmarkStart w:id="1219" w:name="Tc_6A8PEqIU2kGxfPA23ojPEw_5_0"/>
      <w:bookmarkStart w:id="1220" w:name="Tc_FJc2zfccYUCcUe8glpUMlg_4_9"/>
      <w:bookmarkStart w:id="1221" w:name="Tc_hNvUVzOerUeJ1wj4NkVwgg_4_0"/>
      <w:bookmarkStart w:id="1222" w:name="Tc_JAtARUVwuUGgqNYYY3xdZw_3_11"/>
      <w:bookmarkStart w:id="1223" w:name="Tc_zLHBYpvra0CTGVBB8Ipbxw_3_9"/>
      <w:bookmarkStart w:id="1224" w:name="Tc_efECZywt4EOahI3guE47Cg_3_8"/>
      <w:bookmarkStart w:id="1225" w:name="Tc_aUhRRx8YHEOydACVBbMNpg_3_5"/>
      <w:bookmarkStart w:id="1226" w:name="Tc_O_i18i187EacdsbhX_2XdQ_3_2"/>
      <w:bookmarkStart w:id="1227" w:name="Tc_L-afdDQGpkKfPa2irz20eg_3_0"/>
      <w:bookmarkStart w:id="1228" w:name="Tc_JPWj5dIhmkCwkcPidttlrA_2_0"/>
      <w:bookmarkStart w:id="1229" w:name="Tc_PG92SBYgDk251uJexvbdCQ_1_11"/>
      <w:bookmarkStart w:id="1230" w:name="Tc_V7N1mOOnkkanyHtH2-T1zg_1_8"/>
      <w:bookmarkStart w:id="1231" w:name="Tc_2gCF1MDTgE-J9W4UtTIH_w_1_5"/>
      <w:bookmarkStart w:id="1232" w:name="Tc_H3Y5pAQaaUmO2mRckEVNqQ_1_2"/>
      <w:bookmarkStart w:id="1233" w:name="_99aa4e26_e848_4ba6_84e6_387b5aca6730"/>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r>
        <w:rPr>
          <w:rFonts w:ascii="Times New Roman;Times;serif" w:hAnsi="Times New Roman;Times;serif"/>
          <w:b/>
          <w:sz w:val="20"/>
        </w:rPr>
        <w:t>NOTE 6. INVESTMENT SECURITIES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As of June 30, 2026, the Company owns, in the aggregate and on a fully diluted basis, 2.47 million shares of PINE, or 13.1% of PINE’s total common shares outstanding for an investment value of $51.3 million, which total includes 1.2 million OP Units, or 6.5%, which the Company received in exchange for the contribution of certain income properties to the PINE Operating Partnership, in addition to 1,247,702 shares of common stock owned by the Company, or 6.6%. The Company has elected the fair value option related to the aggregate investment in securities of PINE pursuant to ASC 825. For detailed financial information regarding PINE, please refer to its financial statements, which are publicly available on the website of the Securities and Exchange Commission at http://www.sec.gov under the ticker symbol “PINE.”</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Company calculates the unrealized gain or loss based on the closing stock price of PINE at each respective balance sheet date. The unrealized, non-cash gains and losses resulting from the changes in the closing stock price of PINE are included in investment and other income (loss) in the accompanying consolidated statements of operations.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Company’s available-for-sale securities as of June 30, 2026 and December 31, 2025 are summarized below (in thousands):</w:t>
      </w:r>
    </w:p>
    <w:p>
      <w:pPr>
        <w:pStyle w:val="TextBody"/>
        <w:bidi w:val="0"/>
        <w:spacing w:before="0" w:after="0"/>
        <w:ind w:left="0" w:right="0" w:hanging="0"/>
        <w:jc w:val="left"/>
        <w:rPr/>
      </w:pPr>
      <w:r>
        <w:rPr/>
        <w:t>​</w:t>
      </w:r>
    </w:p>
    <w:tbl>
      <w:tblPr>
        <w:tblW w:w="9232" w:type="dxa"/>
        <w:jc w:val="left"/>
        <w:tblInd w:w="0" w:type="dxa"/>
        <w:tblLayout w:type="fixed"/>
        <w:tblCellMar>
          <w:top w:w="0" w:type="dxa"/>
          <w:left w:w="0" w:type="dxa"/>
          <w:bottom w:w="0" w:type="dxa"/>
          <w:right w:w="0" w:type="dxa"/>
        </w:tblCellMar>
      </w:tblPr>
      <w:tblGrid>
        <w:gridCol w:w="1996"/>
        <w:gridCol w:w="346"/>
        <w:gridCol w:w="211"/>
        <w:gridCol w:w="676"/>
        <w:gridCol w:w="346"/>
        <w:gridCol w:w="480"/>
        <w:gridCol w:w="1305"/>
        <w:gridCol w:w="346"/>
        <w:gridCol w:w="427"/>
        <w:gridCol w:w="1283"/>
        <w:gridCol w:w="346"/>
        <w:gridCol w:w="311"/>
        <w:gridCol w:w="1159"/>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267460" cy="175260"/>
                      <wp:effectExtent l="0" t="0" r="0" b="0"/>
                      <wp:wrapNone/>
                      <wp:docPr id="179" name="Frame179"/>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33985" cy="175260"/>
                      <wp:effectExtent l="0" t="0" r="0" b="0"/>
                      <wp:wrapNone/>
                      <wp:docPr id="181" name="Frame1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29260" cy="175260"/>
                      <wp:effectExtent l="0" t="0" r="0" b="0"/>
                      <wp:wrapNone/>
                      <wp:docPr id="182" name="Frame18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304800" cy="175260"/>
                      <wp:effectExtent l="0" t="0" r="0" b="0"/>
                      <wp:wrapNone/>
                      <wp:docPr id="184" name="Frame184"/>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828675" cy="175260"/>
                      <wp:effectExtent l="0" t="0" r="0" b="0"/>
                      <wp:wrapNone/>
                      <wp:docPr id="185" name="Frame185"/>
                      <a:graphic xmlns:a="http://schemas.openxmlformats.org/drawingml/2006/main">
                        <a:graphicData uri="http://schemas.microsoft.com/office/word/2010/wordprocessingShape">
                          <wps:wsp>
                            <wps:cNvSpPr txBox="1"/>
                            <wps:spPr>
                              <a:xfrm>
                                <a:off x="0" y="0"/>
                                <a:ext cx="828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6"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71145" cy="175260"/>
                      <wp:effectExtent l="0" t="0" r="0" b="0"/>
                      <wp:wrapNone/>
                      <wp:docPr id="187" name="Frame187"/>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814705" cy="175260"/>
                      <wp:effectExtent l="0" t="0" r="0" b="0"/>
                      <wp:wrapNone/>
                      <wp:docPr id="188" name="Frame188"/>
                      <a:graphic xmlns:a="http://schemas.openxmlformats.org/drawingml/2006/main">
                        <a:graphicData uri="http://schemas.microsoft.com/office/word/2010/wordprocessingShape">
                          <wps:wsp>
                            <wps:cNvSpPr txBox="1"/>
                            <wps:spPr>
                              <a:xfrm>
                                <a:off x="0" y="0"/>
                                <a:ext cx="814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9"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97485" cy="175260"/>
                      <wp:effectExtent l="0" t="0" r="0" b="0"/>
                      <wp:wrapNone/>
                      <wp:docPr id="190" name="Frame190"/>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735965" cy="175260"/>
                      <wp:effectExtent l="0" t="0" r="0" b="0"/>
                      <wp:wrapNone/>
                      <wp:docPr id="191" name="Frame191"/>
                      <a:graphic xmlns:a="http://schemas.openxmlformats.org/drawingml/2006/main">
                        <a:graphicData uri="http://schemas.microsoft.com/office/word/2010/wordprocessingShape">
                          <wps:wsp>
                            <wps:cNvSpPr txBox="1"/>
                            <wps:spPr>
                              <a:xfrm>
                                <a:off x="0" y="0"/>
                                <a:ext cx="735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Cost</w:t>
            </w:r>
          </w:p>
        </w:tc>
        <w:tc>
          <w:tcPr>
            <w:tcW w:w="346" w:type="dxa"/>
            <w:tcBorders/>
            <w:vAlign w:val="center"/>
          </w:tcPr>
          <w:p>
            <w:pPr>
              <w:pStyle w:val="TableContents"/>
              <w:bidi w:val="0"/>
              <w:spacing w:before="0" w:after="0"/>
              <w:ind w:left="0" w:right="0" w:hanging="0"/>
              <w:jc w:val="left"/>
              <w:rPr/>
            </w:pPr>
            <w:r>
              <w:rPr/>
              <w:t>  ​ ​ ​</w:t>
            </w:r>
          </w:p>
        </w:tc>
        <w:tc>
          <w:tcPr>
            <w:tcW w:w="1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Unrealized Gains in</w:t>
              <w:br/>
              <w:t>Investment Income</w:t>
            </w:r>
          </w:p>
        </w:tc>
        <w:tc>
          <w:tcPr>
            <w:tcW w:w="346" w:type="dxa"/>
            <w:tcBorders/>
            <w:vAlign w:val="center"/>
          </w:tcPr>
          <w:p>
            <w:pPr>
              <w:pStyle w:val="TableContents"/>
              <w:bidi w:val="0"/>
              <w:spacing w:before="0" w:after="0"/>
              <w:ind w:left="0" w:right="0" w:hanging="0"/>
              <w:jc w:val="left"/>
              <w:rPr/>
            </w:pPr>
            <w:r>
              <w:rPr/>
              <w:t>  ​ ​ ​</w:t>
            </w:r>
          </w:p>
        </w:tc>
        <w:tc>
          <w:tcPr>
            <w:tcW w:w="1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Unrealized</w:t>
              <w:br/>
              <w:t>Losses in</w:t>
              <w:br/>
              <w:t>Investment Income</w:t>
            </w:r>
          </w:p>
        </w:tc>
        <w:tc>
          <w:tcPr>
            <w:tcW w:w="346" w:type="dxa"/>
            <w:tcBorders/>
            <w:vAlign w:val="center"/>
          </w:tcPr>
          <w:p>
            <w:pPr>
              <w:pStyle w:val="TableContents"/>
              <w:bidi w:val="0"/>
              <w:spacing w:before="0" w:after="0"/>
              <w:ind w:left="0" w:right="0" w:hanging="0"/>
              <w:jc w:val="left"/>
              <w:rPr/>
            </w:pPr>
            <w:r>
              <w:rPr/>
              <w:t>  ​ ​ ​</w:t>
            </w:r>
          </w:p>
        </w:tc>
        <w:tc>
          <w:tcPr>
            <w:tcW w:w="1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Estimated</w:t>
              <w:br/>
              <w:t>Fair Value</w:t>
              <w:br/>
              <w:t>(Level 1 Inputs)</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center"/>
              <w:rPr/>
            </w:pPr>
            <w:r>
              <w:rPr/>
              <w:t>​</w:t>
            </w:r>
          </w:p>
        </w:tc>
        <w:tc>
          <w:tcPr>
            <w:tcW w:w="130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center"/>
              <w:rPr/>
            </w:pPr>
            <w:r>
              <w:rPr/>
              <w:t>​</w:t>
            </w:r>
          </w:p>
        </w:tc>
        <w:tc>
          <w:tcPr>
            <w:tcW w:w="1283"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center"/>
              <w:rPr/>
            </w:pPr>
            <w:r>
              <w:rPr/>
              <w:t>​</w:t>
            </w:r>
          </w:p>
        </w:tc>
        <w:tc>
          <w:tcPr>
            <w:tcW w:w="1159" w:type="dxa"/>
            <w:tcBorders/>
            <w:shd w:fill="CCEEFF" w:val="clear"/>
            <w:vAlign w:val="center"/>
          </w:tcPr>
          <w:p>
            <w:pPr>
              <w:pStyle w:val="TableContents"/>
              <w:bidi w:val="0"/>
              <w:spacing w:before="0" w:after="0"/>
              <w:ind w:left="0" w:right="0" w:hanging="0"/>
              <w:jc w:val="center"/>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22,486</w:t>
            </w:r>
          </w:p>
        </w:tc>
        <w:tc>
          <w:tcPr>
            <w:tcW w:w="346"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3,416</w:t>
            </w:r>
          </w:p>
        </w:tc>
        <w:tc>
          <w:tcPr>
            <w:tcW w:w="34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25,902</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Units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23,253</w:t>
            </w:r>
          </w:p>
        </w:tc>
        <w:tc>
          <w:tcPr>
            <w:tcW w:w="346" w:type="dxa"/>
            <w:tcBorders/>
            <w:shd w:fill="CCEEFF" w:val="clear"/>
            <w:vAlign w:val="center"/>
          </w:tcPr>
          <w:p>
            <w:pPr>
              <w:pStyle w:val="TableContents"/>
              <w:bidi w:val="0"/>
              <w:spacing w:before="0" w:after="0"/>
              <w:ind w:left="0" w:right="0" w:hanging="0"/>
              <w:jc w:val="left"/>
              <w:rPr/>
            </w:pPr>
            <w:r>
              <w:rPr/>
              <w:t>​</w:t>
            </w:r>
          </w:p>
        </w:tc>
        <w:tc>
          <w:tcPr>
            <w:tcW w:w="4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2,155</w:t>
            </w:r>
          </w:p>
        </w:tc>
        <w:tc>
          <w:tcPr>
            <w:tcW w:w="346" w:type="dxa"/>
            <w:tcBorders/>
            <w:shd w:fill="CCEEFF" w:val="clear"/>
            <w:vAlign w:val="center"/>
          </w:tcPr>
          <w:p>
            <w:pPr>
              <w:pStyle w:val="TableContents"/>
              <w:bidi w:val="0"/>
              <w:spacing w:before="0" w:after="0"/>
              <w:ind w:left="0" w:right="0" w:hanging="0"/>
              <w:jc w:val="left"/>
              <w:rPr/>
            </w:pPr>
            <w:r>
              <w:rPr/>
              <w:t>​</w:t>
            </w:r>
          </w:p>
        </w:tc>
        <w:tc>
          <w:tcPr>
            <w:tcW w:w="4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25,408</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45,739</w:t>
            </w:r>
          </w:p>
        </w:tc>
        <w:tc>
          <w:tcPr>
            <w:tcW w:w="346" w:type="dxa"/>
            <w:tcBorders/>
            <w:vAlign w:val="center"/>
          </w:tcPr>
          <w:p>
            <w:pPr>
              <w:pStyle w:val="TableContents"/>
              <w:bidi w:val="0"/>
              <w:spacing w:before="0" w:after="0"/>
              <w:ind w:left="0" w:right="0" w:hanging="0"/>
              <w:jc w:val="left"/>
              <w:rPr/>
            </w:pPr>
            <w:r>
              <w:rPr/>
              <w:t>​</w:t>
            </w:r>
          </w:p>
        </w:tc>
        <w:tc>
          <w:tcPr>
            <w:tcW w:w="4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5,571</w:t>
            </w:r>
          </w:p>
        </w:tc>
        <w:tc>
          <w:tcPr>
            <w:tcW w:w="346" w:type="dxa"/>
            <w:tcBorders/>
            <w:vAlign w:val="center"/>
          </w:tcPr>
          <w:p>
            <w:pPr>
              <w:pStyle w:val="TableContents"/>
              <w:bidi w:val="0"/>
              <w:spacing w:before="0" w:after="0"/>
              <w:ind w:left="0" w:right="0" w:hanging="0"/>
              <w:jc w:val="left"/>
              <w:rPr/>
            </w:pPr>
            <w:r>
              <w:rPr/>
              <w:t>​</w:t>
            </w:r>
          </w:p>
        </w:tc>
        <w:tc>
          <w:tcPr>
            <w:tcW w:w="4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51,310</w:t>
            </w:r>
          </w:p>
        </w:tc>
      </w:tr>
      <w:tr>
        <w:trPr/>
        <w:tc>
          <w:tcPr>
            <w:tcW w:w="19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left"/>
              <w:rPr/>
            </w:pPr>
            <w:r>
              <w:rPr/>
              <w:t>​</w:t>
            </w:r>
          </w:p>
        </w:tc>
        <w:tc>
          <w:tcPr>
            <w:tcW w:w="13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1159" w:type="dxa"/>
            <w:tcBorders/>
            <w:shd w:fill="CCEEFF" w:val="clear"/>
            <w:vAlign w:val="center"/>
          </w:tcPr>
          <w:p>
            <w:pPr>
              <w:pStyle w:val="TableContents"/>
              <w:bidi w:val="0"/>
              <w:spacing w:before="0" w:after="0"/>
              <w:ind w:left="0" w:right="0" w:hanging="0"/>
              <w:jc w:val="right"/>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left"/>
              <w:rPr/>
            </w:pPr>
            <w:r>
              <w:rPr/>
              <w:t>​</w:t>
            </w:r>
          </w:p>
        </w:tc>
        <w:tc>
          <w:tcPr>
            <w:tcW w:w="13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12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w:t>
            </w:r>
          </w:p>
        </w:tc>
        <w:tc>
          <w:tcPr>
            <w:tcW w:w="1159" w:type="dxa"/>
            <w:tcBorders/>
            <w:vAlign w:val="center"/>
          </w:tcPr>
          <w:p>
            <w:pPr>
              <w:pStyle w:val="TableContents"/>
              <w:bidi w:val="0"/>
              <w:spacing w:before="0" w:after="0"/>
              <w:ind w:left="0" w:right="0" w:hanging="0"/>
              <w:jc w:val="right"/>
              <w:rPr/>
            </w:pPr>
            <w:r>
              <w:rPr/>
              <w:t>​</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22,486</w:t>
            </w:r>
          </w:p>
        </w:tc>
        <w:tc>
          <w:tcPr>
            <w:tcW w:w="346"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(1,625)</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20,861</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Units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23,253</w:t>
            </w:r>
          </w:p>
        </w:tc>
        <w:tc>
          <w:tcPr>
            <w:tcW w:w="346" w:type="dxa"/>
            <w:tcBorders/>
            <w:vAlign w:val="center"/>
          </w:tcPr>
          <w:p>
            <w:pPr>
              <w:pStyle w:val="TableContents"/>
              <w:bidi w:val="0"/>
              <w:spacing w:before="0" w:after="0"/>
              <w:ind w:left="0" w:right="0" w:hanging="0"/>
              <w:jc w:val="left"/>
              <w:rPr/>
            </w:pPr>
            <w:r>
              <w:rPr/>
              <w:t>​</w:t>
            </w:r>
          </w:p>
        </w:tc>
        <w:tc>
          <w:tcPr>
            <w:tcW w:w="4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(2,790)</w:t>
            </w:r>
          </w:p>
        </w:tc>
        <w:tc>
          <w:tcPr>
            <w:tcW w:w="346" w:type="dxa"/>
            <w:tcBorders/>
            <w:vAlign w:val="center"/>
          </w:tcPr>
          <w:p>
            <w:pPr>
              <w:pStyle w:val="TableContents"/>
              <w:bidi w:val="0"/>
              <w:spacing w:before="0" w:after="0"/>
              <w:ind w:left="0" w:right="0" w:hanging="0"/>
              <w:jc w:val="left"/>
              <w:rPr/>
            </w:pPr>
            <w:r>
              <w:rPr/>
              <w:t>​</w:t>
            </w:r>
          </w:p>
        </w:tc>
        <w:tc>
          <w:tcPr>
            <w:tcW w:w="3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20,463</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45,739</w:t>
            </w:r>
          </w:p>
        </w:tc>
        <w:tc>
          <w:tcPr>
            <w:tcW w:w="346" w:type="dxa"/>
            <w:tcBorders/>
            <w:shd w:fill="CCEEFF" w:val="clear"/>
            <w:vAlign w:val="center"/>
          </w:tcPr>
          <w:p>
            <w:pPr>
              <w:pStyle w:val="TableContents"/>
              <w:bidi w:val="0"/>
              <w:spacing w:before="0" w:after="0"/>
              <w:ind w:left="0" w:right="0" w:hanging="0"/>
              <w:jc w:val="left"/>
              <w:rPr/>
            </w:pPr>
            <w:r>
              <w:rPr/>
              <w:t>​</w:t>
            </w:r>
          </w:p>
        </w:tc>
        <w:tc>
          <w:tcPr>
            <w:tcW w:w="4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(4,415)</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41,324</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1" w:before="0" w:after="240"/>
        <w:ind w:left="0" w:right="0" w:hanging="0"/>
        <w:jc w:val="left"/>
        <w:rPr>
          <w:rFonts w:ascii="Times New Roman;Times;serif" w:hAnsi="Times New Roman;Times;serif"/>
          <w:b/>
          <w:sz w:val="20"/>
        </w:rPr>
      </w:pPr>
      <w:bookmarkStart w:id="1234" w:name="Tc_xSFG89mEzkKPCHhMWa92VQ_16_12"/>
      <w:bookmarkStart w:id="1235" w:name="Tc_ZWisV9Mzkk2ZZfYpzQtr0g_16_11"/>
      <w:bookmarkStart w:id="1236" w:name="Tc_eLHpMu2o1EywTBIQBulwSQ_16_9"/>
      <w:bookmarkStart w:id="1237" w:name="Tc_ng094nVol0yqKFpDm1VZbg_16_8"/>
      <w:bookmarkStart w:id="1238" w:name="Tc_P5BY1sc2y0-_RGqsoshfNA_16_5"/>
      <w:bookmarkStart w:id="1239" w:name="Tc_oldjo9MyT0GmHPb94TIYjg_16_2"/>
      <w:bookmarkStart w:id="1240" w:name="Tc_Zc8XPOYX_02VmFpXa2JgiQ_16_0"/>
      <w:bookmarkStart w:id="1241" w:name="Tc_deOD96O5zUa9lD4D7Kdv9A_15_12"/>
      <w:bookmarkStart w:id="1242" w:name="Tc_GinaO5eRUUKMHVNOIUsfkw_15_11"/>
      <w:bookmarkStart w:id="1243" w:name="Tc_aAAphQ6CKkeA0rQooEfYeg_15_8"/>
      <w:bookmarkStart w:id="1244" w:name="Tc_x_t2kRsAqkevNykNcz6Rjw_15_6"/>
      <w:bookmarkStart w:id="1245" w:name="Tc_Q744mCmPLkG_1EuXGfn8hg_15_5"/>
      <w:bookmarkStart w:id="1246" w:name="Tc_hqawqIYQnU6iMfQPJG-_bw_15_2"/>
      <w:bookmarkStart w:id="1247" w:name="Tc_J9N_ucC3u0iB_g_snEtraA_15_0"/>
      <w:bookmarkStart w:id="1248" w:name="Tc_J4HjCnetAEW-d4PXpk7_qA_14_12"/>
      <w:bookmarkStart w:id="1249" w:name="Tc_yXuSUToGYk6UMF_uzlR6KQ_14_11"/>
      <w:bookmarkStart w:id="1250" w:name="Tc_jA_lhHvkT0GCYVaKIqg-Kw_14_8"/>
      <w:bookmarkStart w:id="1251" w:name="Tc_EIUTfZzfMkmsdvnxrbngSg_14_6"/>
      <w:bookmarkStart w:id="1252" w:name="Tc_m_0VDncV9EWajo0Bq6hwSg_14_5"/>
      <w:bookmarkStart w:id="1253" w:name="Tc_O39W9YStt0Sxniv5FuY8HA_14_2"/>
      <w:bookmarkStart w:id="1254" w:name="Tc_76sJC8yJD0arVaacb39X9Q_14_0"/>
      <w:bookmarkStart w:id="1255" w:name="Tc_Gv5EpcwlFk6021yqjieOTw_13_12"/>
      <w:bookmarkStart w:id="1256" w:name="Tc_ZUq53paZnE2vkiEewRyyjQ_13_11"/>
      <w:bookmarkStart w:id="1257" w:name="Tc_zSa43B-eqUGJWzoyUOFWBQ_13_8"/>
      <w:bookmarkStart w:id="1258" w:name="Tc_3lAiHsRAB0irO9hHdgy88w_13_6"/>
      <w:bookmarkStart w:id="1259" w:name="Tc_J2cJ9aLid0ixcMXgH7kr_g_13_5"/>
      <w:bookmarkStart w:id="1260" w:name="Tc_5BNs_Azuz0u3G0FqWNGaNg_13_2"/>
      <w:bookmarkStart w:id="1261" w:name="Tc_jC0hm2FJ9kqRVRjfmxIITw_13_0"/>
      <w:bookmarkStart w:id="1262" w:name="Tc_cSnOgYpBTUSdFZCE_x7PIQ_12_12"/>
      <w:bookmarkStart w:id="1263" w:name="Tc_eyX_jlswg0Sl0SyBieEx7Q_12_11"/>
      <w:bookmarkStart w:id="1264" w:name="Tc_yPGylICLsE2lAnoKFr8n3w_12_8"/>
      <w:bookmarkStart w:id="1265" w:name="Tc_JD0AZ1HDOEKVatYC81yfEg_12_6"/>
      <w:bookmarkStart w:id="1266" w:name="Tc_IEtYH7mFXUCLSR_X4v2GLA_12_5"/>
      <w:bookmarkStart w:id="1267" w:name="Tc_SvRTrosg5EKdCh5vihW_sA_12_2"/>
      <w:bookmarkStart w:id="1268" w:name="Tc_tezdYajG4UevYoDzn1e5Mg_12_0"/>
      <w:bookmarkStart w:id="1269" w:name="Tc_fwWJNw-pG02MzmesZWnm6g_11_12"/>
      <w:bookmarkStart w:id="1270" w:name="Tc_Zt3otkkXpUmAPGnloXX7oA_11_11"/>
      <w:bookmarkStart w:id="1271" w:name="Tc_pJu7UcTFOkeiAA2DJVyTMg_11_8"/>
      <w:bookmarkStart w:id="1272" w:name="Tc_CuDK75m22ESM1h7XWXCkYQ_11_6"/>
      <w:bookmarkStart w:id="1273" w:name="Tc_gRSGCWSZwEua0iDUeVMpZg_11_5"/>
      <w:bookmarkStart w:id="1274" w:name="Tc_sntUthx-6UOk0Q1INUMGtw_11_2"/>
      <w:bookmarkStart w:id="1275" w:name="Tc_GroxMhdGxUWVKQfBZONwFw_11_0"/>
      <w:bookmarkStart w:id="1276" w:name="Tc_bccsCvdTIku4P4JEgyNQtA_10_0"/>
      <w:bookmarkStart w:id="1277" w:name="Tc__uvDt3LO4EaZoR6MwFnU-w_9_12"/>
      <w:bookmarkStart w:id="1278" w:name="Tc_kRUnXcvJOk-PNsa52fzVdw_9_11"/>
      <w:bookmarkStart w:id="1279" w:name="Tc_tZWeTb4SwECZhL3LaOsKHg_9_9"/>
      <w:bookmarkStart w:id="1280" w:name="Tc_yHMYFto5a0GitU7xgS-xZQ_9_8"/>
      <w:bookmarkStart w:id="1281" w:name="Tc_baoLNJSgek-SjlbzB8K3SQ_9_5"/>
      <w:bookmarkStart w:id="1282" w:name="Tc_VL7Ce4R6qEOp0FDluagqXA_9_2"/>
      <w:bookmarkStart w:id="1283" w:name="Tc_8SmOYb5pIkCuZygRTCzXpw_9_0"/>
      <w:bookmarkStart w:id="1284" w:name="Tc_lhYny-SHs0aVmA9cJqqjkg_8_12"/>
      <w:bookmarkStart w:id="1285" w:name="Tc_S9xsxBqBhEGVXA8NZjtNbg_8_11"/>
      <w:bookmarkStart w:id="1286" w:name="Tc_FTrU68oXzUawbdcweMuONQ_8_8"/>
      <w:bookmarkStart w:id="1287" w:name="Tc_eovOF3jEcU6V1LEEBHaODQ_8_6"/>
      <w:bookmarkStart w:id="1288" w:name="Tc_45TIQDwmdkm9Ji9ehzTvoQ_8_5"/>
      <w:bookmarkStart w:id="1289" w:name="Tc_qL91snUgfU6AZhWv2TctxQ_8_2"/>
      <w:bookmarkStart w:id="1290" w:name="Tc_a3IFEtdefkWBzMpmqjVFUQ_8_0"/>
      <w:bookmarkStart w:id="1291" w:name="Tc_f8-O0rwLhku2eWAMPrM0Qw_7_12"/>
      <w:bookmarkStart w:id="1292" w:name="Tc_c42OibUZokqhnTEos7S_HQ_7_11"/>
      <w:bookmarkStart w:id="1293" w:name="Tc_AUXpMuUitU60q-OUpk-NPg_7_8"/>
      <w:bookmarkStart w:id="1294" w:name="Tc_kWpABq4U002bFMedVRGd8w_7_6"/>
      <w:bookmarkStart w:id="1295" w:name="Tc_pisn89bCgUiW0N-F0jc7Tg_7_5"/>
      <w:bookmarkStart w:id="1296" w:name="Tc_mY1zGdb-qUyH1uptEHApAQ_7_2"/>
      <w:bookmarkStart w:id="1297" w:name="Tc_CwSwcsGRIU-vzjpJybLiPw_7_0"/>
      <w:bookmarkStart w:id="1298" w:name="Tc_sIy6i5B1h0qJKj5mf-ZIkA_6_12"/>
      <w:bookmarkStart w:id="1299" w:name="Tc_vcIcTeIcR06Hg-7Mkzp7GA_6_11"/>
      <w:bookmarkStart w:id="1300" w:name="Tc_LCVKYsWDR0ysHzqOZqIi1w_6_8"/>
      <w:bookmarkStart w:id="1301" w:name="Tc_7PvNlRqtYEaiMJAcN7Oksg_6_6"/>
      <w:bookmarkStart w:id="1302" w:name="Tc_GMK681FX0kuGJLW9-6eycQ_6_5"/>
      <w:bookmarkStart w:id="1303" w:name="Tc_drETpiOzyEijbffiv4q-fA_6_2"/>
      <w:bookmarkStart w:id="1304" w:name="Tc_4LEkA7H6c0ytkURY5EkTuA_6_0"/>
      <w:bookmarkStart w:id="1305" w:name="Tc_JRhnczGcYkGZ5lwMwFVVqQ_5_12"/>
      <w:bookmarkStart w:id="1306" w:name="Tc_6UR-ljwFRUqUGdw1sLLFDA_5_11"/>
      <w:bookmarkStart w:id="1307" w:name="Tc_5PBL08--Qkelq704iHp9sQ_5_8"/>
      <w:bookmarkStart w:id="1308" w:name="Tc_ArgdpSgHSkOpRVQG-TTP6Q_5_6"/>
      <w:bookmarkStart w:id="1309" w:name="Tc_ZKK8b58vUEGQx7yU23kcWw_5_5"/>
      <w:bookmarkStart w:id="1310" w:name="Tc_JSrz6GTOHE-Huog_KEBsXA_5_2"/>
      <w:bookmarkStart w:id="1311" w:name="Tc_9Wmbts3aSkeO-scSe7TwnQ_5_0"/>
      <w:bookmarkStart w:id="1312" w:name="Tc_Yv7LYmHTPUuqN-7M6MJHRA_4_12"/>
      <w:bookmarkStart w:id="1313" w:name="Tc_ha6G_HVInE-x93LzhZv8Xg_4_11"/>
      <w:bookmarkStart w:id="1314" w:name="Tc_0kMACYpIDEaG9FSxyHG8CQ_4_8"/>
      <w:bookmarkStart w:id="1315" w:name="Tc_oGj3HdKf_E-PTqFcVMzd0w_4_6"/>
      <w:bookmarkStart w:id="1316" w:name="Tc_eC_8Vec0aE-csx6W3HyXgg_4_5"/>
      <w:bookmarkStart w:id="1317" w:name="Tc_c80QziFfgkejXitdiQnbcA_4_2"/>
      <w:bookmarkStart w:id="1318" w:name="Tc_n20az34PTk2dtAyoHssnLg_4_0"/>
      <w:bookmarkStart w:id="1319" w:name="Tc_hQScFQoNM0-u2yVvweocSA_3_0"/>
      <w:bookmarkStart w:id="1320" w:name="Tc_h_6JYb7y8k6zTesVWFR23w_2_11"/>
      <w:bookmarkStart w:id="1321" w:name="Tc_g6TnXIHwtkOEEOfVAB2MxQ_2_8"/>
      <w:bookmarkStart w:id="1322" w:name="Tc_1OMkz2rbk0y5d7e9QlDV3Q_2_5"/>
      <w:bookmarkStart w:id="1323" w:name="Tc_9JGZsqg-d0eNO1sOAJGkMA_2_2"/>
      <w:bookmarkStart w:id="1324" w:name="Tc_m3EmDW5lhU2l671V2L2mZQ_1_5"/>
      <w:bookmarkStart w:id="1325" w:name="_401b5851_70ab_4f36_9a0e_c5ffec8f9aa4"/>
      <w:bookmarkStart w:id="1326" w:name="Tc_QkGrr_0CbUGwbqvu8-IQRA_6_11"/>
      <w:bookmarkStart w:id="1327" w:name="Tc_1R5bgSyGLkWb2h2jnGX19Q_6_8"/>
      <w:bookmarkStart w:id="1328" w:name="Tc_3_hajnQn50mT4CnBrVSirw_6_5"/>
      <w:bookmarkStart w:id="1329" w:name="Tc_rZ3yD0WTDUK7_6OcXCkyxA_6_2"/>
      <w:bookmarkStart w:id="1330" w:name="Tc_Wq4fuD0Z9EK6dLSBq4eZww_6_0"/>
      <w:bookmarkStart w:id="1331" w:name="Tc_xBXTbsL0o0qsJb4Ahxqnfw_5_11"/>
      <w:bookmarkStart w:id="1332" w:name="Tc_jIlSAewEwkmj0hHAofE8Fw_5_8"/>
      <w:bookmarkStart w:id="1333" w:name="Tc_NOVqfyN2S0WXwlEpufbGlA_5_5"/>
      <w:bookmarkStart w:id="1334" w:name="Tc_weNflfEln0qqDqf6lozVcw_5_2"/>
      <w:bookmarkStart w:id="1335" w:name="Tc_qdsVQp-6sE-TcyEnTHYYpw_5_0"/>
      <w:bookmarkStart w:id="1336" w:name="Tc_0HNL-YmuU0mxx4HFQFuyqQ_4_11"/>
      <w:bookmarkStart w:id="1337" w:name="Tc_sFWhix_mREmNLRKazdch5Q_4_8"/>
      <w:bookmarkStart w:id="1338" w:name="Tc_Y_EmOQftw0q0Hq2xY6ytOg_4_5"/>
      <w:bookmarkStart w:id="1339" w:name="Tc_2I8Zogq9k0e-HkNd7QhLfA_4_2"/>
      <w:bookmarkStart w:id="1340" w:name="Tc_RV4ufyluckCrYflbKD9NSg_4_0"/>
      <w:bookmarkStart w:id="1341" w:name="Tc_vqP-MH1ucUOS0OL6jzBPhg_3_11"/>
      <w:bookmarkStart w:id="1342" w:name="Tc_0LZg4G5OkUmBTEOOfJYbYw_3_8"/>
      <w:bookmarkStart w:id="1343" w:name="Tc_G_gDhNpvvke7yNcFkI3K6g_3_5"/>
      <w:bookmarkStart w:id="1344" w:name="Tc_CyA3tzE7CkCv0BbgTwoCaw_3_2"/>
      <w:bookmarkStart w:id="1345" w:name="Tc_G4M0MuPEtkiF1NEL9BDzxQ_3_0"/>
      <w:bookmarkStart w:id="1346" w:name="Tc_tDoKV6stXEukCcZ09TqpQA_2_11"/>
      <w:bookmarkStart w:id="1347" w:name="Tc_yUM8DlwCHU6QLvDuOrVNMg_2_8"/>
      <w:bookmarkStart w:id="1348" w:name="Tc_IYvi_89jTEOkD0RkbeSmYw_2_5"/>
      <w:bookmarkStart w:id="1349" w:name="Tc_ztoAi7TzC0ue0DGmFpS0mw_2_2"/>
      <w:bookmarkStart w:id="1350" w:name="Tc_qP3vMEacPkWSeUN27oemSw_1_8"/>
      <w:bookmarkStart w:id="1351" w:name="Tc_RL0hng9W20quABCxVavO7Q_1_2"/>
      <w:bookmarkStart w:id="1352" w:name="_b282e86b_cc08_44b8_9236_752c254c20f1"/>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r>
        <w:rPr>
          <w:rFonts w:ascii="Times New Roman;Times;serif" w:hAnsi="Times New Roman;Times;serif"/>
          <w:b/>
          <w:sz w:val="20"/>
        </w:rPr>
        <w:t>NOTE 7. FAIR VALUE OF FINANCIAL INSTRUMENTS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following table presents the carrying value and estimated fair value of the Company’s financial instruments not carried at fair value on the consolidated balance sheets at June 30, 2026 and December 31, 2025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17"/>
        <w:gridCol w:w="346"/>
        <w:gridCol w:w="275"/>
        <w:gridCol w:w="1019"/>
        <w:gridCol w:w="346"/>
        <w:gridCol w:w="346"/>
        <w:gridCol w:w="1282"/>
        <w:gridCol w:w="346"/>
        <w:gridCol w:w="275"/>
        <w:gridCol w:w="1019"/>
        <w:gridCol w:w="346"/>
        <w:gridCol w:w="323"/>
        <w:gridCol w:w="1365"/>
      </w:tblGrid>
      <w:tr>
        <w:trPr/>
        <w:tc>
          <w:tcPr>
            <w:tcW w:w="29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92"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74625" cy="175260"/>
                      <wp:effectExtent l="0" t="0" r="0" b="0"/>
                      <wp:wrapNone/>
                      <wp:docPr id="193" name="Frame193"/>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7065" cy="175260"/>
                      <wp:effectExtent l="0" t="0" r="0" b="0"/>
                      <wp:wrapNone/>
                      <wp:docPr id="194" name="Frame194"/>
                      <a:graphic xmlns:a="http://schemas.openxmlformats.org/drawingml/2006/main">
                        <a:graphicData uri="http://schemas.microsoft.com/office/word/2010/wordprocessingShape">
                          <wps:wsp>
                            <wps:cNvSpPr txBox="1"/>
                            <wps:spPr>
                              <a:xfrm>
                                <a:off x="0" y="0"/>
                                <a:ext cx="647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814070" cy="175260"/>
                      <wp:effectExtent l="0" t="0" r="0" b="0"/>
                      <wp:wrapNone/>
                      <wp:docPr id="197" name="Frame197"/>
                      <a:graphic xmlns:a="http://schemas.openxmlformats.org/drawingml/2006/main">
                        <a:graphicData uri="http://schemas.microsoft.com/office/word/2010/wordprocessingShape">
                          <wps:wsp>
                            <wps:cNvSpPr txBox="1"/>
                            <wps:spPr>
                              <a:xfrm>
                                <a:off x="0" y="0"/>
                                <a:ext cx="814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8"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74625" cy="175260"/>
                      <wp:effectExtent l="0" t="0" r="0" b="0"/>
                      <wp:wrapNone/>
                      <wp:docPr id="199" name="Frame199"/>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7065" cy="175260"/>
                      <wp:effectExtent l="0" t="0" r="0" b="0"/>
                      <wp:wrapNone/>
                      <wp:docPr id="200" name="Frame200"/>
                      <a:graphic xmlns:a="http://schemas.openxmlformats.org/drawingml/2006/main">
                        <a:graphicData uri="http://schemas.microsoft.com/office/word/2010/wordprocessingShape">
                          <wps:wsp>
                            <wps:cNvSpPr txBox="1"/>
                            <wps:spPr>
                              <a:xfrm>
                                <a:off x="0" y="0"/>
                                <a:ext cx="647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201"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5105" cy="175260"/>
                      <wp:effectExtent l="0" t="0" r="0" b="0"/>
                      <wp:wrapNone/>
                      <wp:docPr id="202" name="Frame202"/>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866775" cy="175260"/>
                      <wp:effectExtent l="0" t="0" r="0" b="0"/>
                      <wp:wrapNone/>
                      <wp:docPr id="203" name="Frame203"/>
                      <a:graphic xmlns:a="http://schemas.openxmlformats.org/drawingml/2006/main">
                        <a:graphicData uri="http://schemas.microsoft.com/office/word/2010/wordprocessingShape">
                          <wps:wsp>
                            <wps:cNvSpPr txBox="1"/>
                            <wps:spPr>
                              <a:xfrm>
                                <a:off x="0" y="0"/>
                                <a:ext cx="866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346" w:type="dxa"/>
            <w:tcBorders/>
            <w:vAlign w:val="center"/>
          </w:tcPr>
          <w:p>
            <w:pPr>
              <w:pStyle w:val="TableContents"/>
              <w:bidi w:val="0"/>
              <w:spacing w:before="0" w:after="0"/>
              <w:ind w:left="0" w:right="0" w:hanging="0"/>
              <w:jc w:val="left"/>
              <w:rPr/>
            </w:pPr>
            <w:r>
              <w:rPr/>
              <w:t>​</w:t>
            </w:r>
          </w:p>
        </w:tc>
        <w:tc>
          <w:tcPr>
            <w:tcW w:w="33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29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 Value</w:t>
            </w:r>
          </w:p>
        </w:tc>
        <w:tc>
          <w:tcPr>
            <w:tcW w:w="346" w:type="dxa"/>
            <w:tcBorders/>
            <w:vAlign w:val="center"/>
          </w:tcPr>
          <w:p>
            <w:pPr>
              <w:pStyle w:val="TableContents"/>
              <w:bidi w:val="0"/>
              <w:spacing w:before="0" w:after="0"/>
              <w:ind w:left="0" w:right="0" w:hanging="0"/>
              <w:jc w:val="left"/>
              <w:rPr/>
            </w:pPr>
            <w:r>
              <w:rPr/>
              <w:t>  ​ ​ ​</w:t>
            </w:r>
          </w:p>
        </w:tc>
        <w:tc>
          <w:tcPr>
            <w:tcW w:w="16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Estimated Fair Value</w:t>
            </w:r>
          </w:p>
        </w:tc>
        <w:tc>
          <w:tcPr>
            <w:tcW w:w="346" w:type="dxa"/>
            <w:tcBorders/>
            <w:vAlign w:val="center"/>
          </w:tcPr>
          <w:p>
            <w:pPr>
              <w:pStyle w:val="TableContents"/>
              <w:bidi w:val="0"/>
              <w:spacing w:before="0" w:after="0"/>
              <w:ind w:left="0" w:right="0" w:hanging="0"/>
              <w:jc w:val="left"/>
              <w:rPr/>
            </w:pPr>
            <w:r>
              <w:rPr/>
              <w:t>  ​ ​ ​</w:t>
            </w:r>
          </w:p>
        </w:tc>
        <w:tc>
          <w:tcPr>
            <w:tcW w:w="12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 Value</w:t>
            </w:r>
          </w:p>
        </w:tc>
        <w:tc>
          <w:tcPr>
            <w:tcW w:w="346" w:type="dxa"/>
            <w:tcBorders/>
            <w:vAlign w:val="center"/>
          </w:tcPr>
          <w:p>
            <w:pPr>
              <w:pStyle w:val="TableContents"/>
              <w:bidi w:val="0"/>
              <w:spacing w:before="0" w:after="0"/>
              <w:ind w:left="0" w:right="0" w:hanging="0"/>
              <w:jc w:val="left"/>
              <w:rPr/>
            </w:pPr>
            <w:r>
              <w:rPr/>
              <w:t>  ​ ​ ​</w:t>
            </w:r>
          </w:p>
        </w:tc>
        <w:tc>
          <w:tcPr>
            <w:tcW w:w="16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Estimated Fair Value</w:t>
            </w:r>
          </w:p>
        </w:tc>
      </w:tr>
      <w:tr>
        <w:trPr/>
        <w:tc>
          <w:tcPr>
            <w:tcW w:w="29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 Level 1</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8,056</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8,056</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6,467</w:t>
            </w:r>
          </w:p>
        </w:tc>
        <w:tc>
          <w:tcPr>
            <w:tcW w:w="34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6,467</w:t>
            </w:r>
          </w:p>
        </w:tc>
      </w:tr>
      <w:tr>
        <w:trPr/>
        <w:tc>
          <w:tcPr>
            <w:tcW w:w="29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 Level 1</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35,447</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35,447</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34,652</w:t>
            </w:r>
          </w:p>
        </w:tc>
        <w:tc>
          <w:tcPr>
            <w:tcW w:w="34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34,652</w:t>
            </w:r>
          </w:p>
        </w:tc>
      </w:tr>
      <w:tr>
        <w:trPr/>
        <w:tc>
          <w:tcPr>
            <w:tcW w:w="29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 - Level 2</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187,388</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194,905</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104,804</w:t>
            </w:r>
          </w:p>
        </w:tc>
        <w:tc>
          <w:tcPr>
            <w:tcW w:w="34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109,828</w:t>
            </w:r>
          </w:p>
        </w:tc>
      </w:tr>
      <w:tr>
        <w:trPr/>
        <w:tc>
          <w:tcPr>
            <w:tcW w:w="29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 Level 2</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658,705</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658,872</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616,345</w:t>
            </w:r>
          </w:p>
        </w:tc>
        <w:tc>
          <w:tcPr>
            <w:tcW w:w="34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5"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608,419</w:t>
            </w:r>
          </w:p>
        </w:tc>
      </w:tr>
    </w:tbl>
    <w:p>
      <w:pPr>
        <w:pStyle w:val="TextBody"/>
        <w:bidi w:val="0"/>
        <w:spacing w:lineRule="auto" w:line="271" w:before="0" w:after="0"/>
        <w:ind w:left="0" w:right="0" w:hanging="0"/>
        <w:jc w:val="both"/>
        <w:rPr/>
      </w:pPr>
      <w:r>
        <w:rPr/>
        <w:t> </w:t>
      </w:r>
    </w:p>
    <w:p>
      <w:pPr>
        <w:pStyle w:val="TextBody"/>
        <w:bidi w:val="0"/>
        <w:spacing w:before="0" w:after="200"/>
        <w:ind w:left="0" w:right="0" w:hanging="0"/>
        <w:jc w:val="left"/>
        <w:rPr/>
      </w:pPr>
      <w:r>
        <w:rPr/>
        <w:t>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To determine estimated fair values of the financial instruments listed above, market rates of interest, which include credit assumptions, were used to discount contractual cash flows. 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pStyle w:val="TextBody"/>
        <w:bidi w:val="0"/>
        <w:spacing w:lineRule="auto" w:line="271" w:before="0" w:after="240"/>
        <w:ind w:left="0" w:right="0" w:firstLine="490"/>
        <w:jc w:val="both"/>
        <w:rPr>
          <w:rFonts w:ascii="Times New Roman;Times;serif" w:hAnsi="Times New Roman;Times;serif"/>
          <w:sz w:val="20"/>
        </w:rPr>
      </w:pPr>
      <w:r>
        <w:rPr>
          <w:rFonts w:ascii="Times New Roman;Times;serif" w:hAnsi="Times New Roman;Times;serif"/>
          <w:sz w:val="20"/>
        </w:rPr>
        <w:t>The following table presents the fair value of assets (liabilities) measured on a recurring basis by level as of June 30, 2026 and December 31, 2025 (in thousands). See Note 15, “Interest Rate Swaps” for further disclosure related to the Company’s interest rate swaps.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91"/>
        <w:gridCol w:w="109"/>
        <w:gridCol w:w="204"/>
        <w:gridCol w:w="639"/>
        <w:gridCol w:w="346"/>
        <w:gridCol w:w="516"/>
        <w:gridCol w:w="1585"/>
        <w:gridCol w:w="346"/>
        <w:gridCol w:w="443"/>
        <w:gridCol w:w="1294"/>
        <w:gridCol w:w="346"/>
        <w:gridCol w:w="539"/>
        <w:gridCol w:w="1247"/>
      </w:tblGrid>
      <w:tr>
        <w:trPr/>
        <w:tc>
          <w:tcPr>
            <w:tcW w:w="2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645285" cy="175260"/>
                      <wp:effectExtent l="0" t="0" r="0" b="0"/>
                      <wp:wrapNone/>
                      <wp:docPr id="204" name="Frame204"/>
                      <a:graphic xmlns:a="http://schemas.openxmlformats.org/drawingml/2006/main">
                        <a:graphicData uri="http://schemas.microsoft.com/office/word/2010/wordprocessingShape">
                          <wps:wsp>
                            <wps:cNvSpPr txBox="1"/>
                            <wps:spPr>
                              <a:xfrm>
                                <a:off x="0" y="0"/>
                                <a:ext cx="164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9215" cy="175260"/>
                      <wp:effectExtent l="0" t="0" r="0" b="0"/>
                      <wp:wrapNone/>
                      <wp:docPr id="205" name="Frame2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29540" cy="175260"/>
                      <wp:effectExtent l="0" t="0" r="0" b="0"/>
                      <wp:wrapNone/>
                      <wp:docPr id="206" name="Frame206"/>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05765" cy="175260"/>
                      <wp:effectExtent l="0" t="0" r="0" b="0"/>
                      <wp:wrapNone/>
                      <wp:docPr id="207" name="Frame207"/>
                      <a:graphic xmlns:a="http://schemas.openxmlformats.org/drawingml/2006/main">
                        <a:graphicData uri="http://schemas.microsoft.com/office/word/2010/wordprocessingShape">
                          <wps:wsp>
                            <wps:cNvSpPr txBox="1"/>
                            <wps:spPr>
                              <a:xfrm>
                                <a:off x="0" y="0"/>
                                <a:ext cx="405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327660" cy="175260"/>
                      <wp:effectExtent l="0" t="0" r="0" b="0"/>
                      <wp:wrapNone/>
                      <wp:docPr id="209" name="Frame209"/>
                      <a:graphic xmlns:a="http://schemas.openxmlformats.org/drawingml/2006/main">
                        <a:graphicData uri="http://schemas.microsoft.com/office/word/2010/wordprocessingShape">
                          <wps:wsp>
                            <wps:cNvSpPr txBox="1"/>
                            <wps:spPr>
                              <a:xfrm>
                                <a:off x="0" y="0"/>
                                <a:ext cx="327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006475" cy="175260"/>
                      <wp:effectExtent l="0" t="0" r="0" b="0"/>
                      <wp:wrapNone/>
                      <wp:docPr id="210" name="Frame210"/>
                      <a:graphic xmlns:a="http://schemas.openxmlformats.org/drawingml/2006/main">
                        <a:graphicData uri="http://schemas.microsoft.com/office/word/2010/wordprocessingShape">
                          <wps:wsp>
                            <wps:cNvSpPr txBox="1"/>
                            <wps:spPr>
                              <a:xfrm>
                                <a:off x="0" y="0"/>
                                <a:ext cx="1006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81305" cy="175260"/>
                      <wp:effectExtent l="0" t="0" r="0" b="0"/>
                      <wp:wrapNone/>
                      <wp:docPr id="212" name="Frame212"/>
                      <a:graphic xmlns:a="http://schemas.openxmlformats.org/drawingml/2006/main">
                        <a:graphicData uri="http://schemas.microsoft.com/office/word/2010/wordprocessingShape">
                          <wps:wsp>
                            <wps:cNvSpPr txBox="1"/>
                            <wps:spPr>
                              <a:xfrm>
                                <a:off x="0" y="0"/>
                                <a:ext cx="281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821690" cy="175260"/>
                      <wp:effectExtent l="0" t="0" r="0" b="0"/>
                      <wp:wrapNone/>
                      <wp:docPr id="213" name="Frame213"/>
                      <a:graphic xmlns:a="http://schemas.openxmlformats.org/drawingml/2006/main">
                        <a:graphicData uri="http://schemas.microsoft.com/office/word/2010/wordprocessingShape">
                          <wps:wsp>
                            <wps:cNvSpPr txBox="1"/>
                            <wps:spPr>
                              <a:xfrm>
                                <a:off x="0" y="0"/>
                                <a:ext cx="821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342265" cy="175260"/>
                      <wp:effectExtent l="0" t="0" r="0" b="0"/>
                      <wp:wrapNone/>
                      <wp:docPr id="215" name="Frame215"/>
                      <a:graphic xmlns:a="http://schemas.openxmlformats.org/drawingml/2006/main">
                        <a:graphicData uri="http://schemas.microsoft.com/office/word/2010/wordprocessingShape">
                          <wps:wsp>
                            <wps:cNvSpPr txBox="1"/>
                            <wps:spPr>
                              <a:xfrm>
                                <a:off x="0" y="0"/>
                                <a:ext cx="342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791845" cy="175260"/>
                      <wp:effectExtent l="0" t="0" r="0" b="0"/>
                      <wp:wrapNone/>
                      <wp:docPr id="216" name="Frame216"/>
                      <a:graphic xmlns:a="http://schemas.openxmlformats.org/drawingml/2006/main">
                        <a:graphicData uri="http://schemas.microsoft.com/office/word/2010/wordprocessingShape">
                          <wps:wsp>
                            <wps:cNvSpPr txBox="1"/>
                            <wps:spPr>
                              <a:xfrm>
                                <a:off x="0" y="0"/>
                                <a:ext cx="791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6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 at Reporting Date Using</w:t>
            </w:r>
          </w:p>
        </w:tc>
      </w:tr>
      <w:tr>
        <w:trPr/>
        <w:tc>
          <w:tcPr>
            <w:tcW w:w="25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346" w:type="dxa"/>
            <w:tcBorders/>
            <w:vAlign w:val="center"/>
          </w:tcPr>
          <w:p>
            <w:pPr>
              <w:pStyle w:val="TableContents"/>
              <w:bidi w:val="0"/>
              <w:spacing w:before="0" w:after="0"/>
              <w:ind w:left="0" w:right="0" w:hanging="0"/>
              <w:jc w:val="left"/>
              <w:rPr/>
            </w:pPr>
            <w:r>
              <w:rPr/>
              <w:t>  ​ ​ ​</w:t>
            </w:r>
          </w:p>
        </w:tc>
        <w:tc>
          <w:tcPr>
            <w:tcW w:w="21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Quoted Prices in Active Markets for Identical Assets</w:t>
              <w:br/>
              <w:t>(Level 1)</w:t>
            </w:r>
          </w:p>
        </w:tc>
        <w:tc>
          <w:tcPr>
            <w:tcW w:w="346" w:type="dxa"/>
            <w:tcBorders/>
            <w:vAlign w:val="center"/>
          </w:tcPr>
          <w:p>
            <w:pPr>
              <w:pStyle w:val="TableContents"/>
              <w:bidi w:val="0"/>
              <w:spacing w:before="0" w:after="0"/>
              <w:ind w:left="0" w:right="0" w:hanging="0"/>
              <w:jc w:val="left"/>
              <w:rPr/>
            </w:pPr>
            <w:r>
              <w:rPr/>
              <w:t>  ​ ​ ​</w:t>
            </w:r>
          </w:p>
        </w:tc>
        <w:tc>
          <w:tcPr>
            <w:tcW w:w="1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Significant Other Observable Inputs</w:t>
              <w:br/>
              <w:t>(Level 2)</w:t>
            </w:r>
          </w:p>
        </w:tc>
        <w:tc>
          <w:tcPr>
            <w:tcW w:w="346" w:type="dxa"/>
            <w:tcBorders/>
            <w:vAlign w:val="center"/>
          </w:tcPr>
          <w:p>
            <w:pPr>
              <w:pStyle w:val="TableContents"/>
              <w:bidi w:val="0"/>
              <w:spacing w:before="0" w:after="0"/>
              <w:ind w:left="0" w:right="0" w:hanging="0"/>
              <w:jc w:val="left"/>
              <w:rPr/>
            </w:pPr>
            <w:r>
              <w:rPr/>
              <w:t>  ​ ​ ​</w:t>
            </w:r>
          </w:p>
        </w:tc>
        <w:tc>
          <w:tcPr>
            <w:tcW w:w="17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Significant Unobservable Inputs</w:t>
              <w:br/>
              <w:t>(Level 3)</w:t>
            </w:r>
          </w:p>
        </w:tc>
      </w:tr>
      <w:tr>
        <w:trPr/>
        <w:tc>
          <w:tcPr>
            <w:tcW w:w="259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June 30, 2026</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center"/>
              <w:rPr/>
            </w:pPr>
            <w:r>
              <w:rPr/>
              <w:t>​</w:t>
            </w:r>
          </w:p>
        </w:tc>
        <w:tc>
          <w:tcPr>
            <w:tcW w:w="63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6" w:type="dxa"/>
            <w:tcBorders/>
            <w:shd w:fill="CCEEFF" w:val="clear"/>
            <w:vAlign w:val="center"/>
          </w:tcPr>
          <w:p>
            <w:pPr>
              <w:pStyle w:val="TableContents"/>
              <w:bidi w:val="0"/>
              <w:spacing w:before="0" w:after="0"/>
              <w:ind w:left="0" w:right="0" w:hanging="0"/>
              <w:jc w:val="center"/>
              <w:rPr/>
            </w:pPr>
            <w:r>
              <w:rPr/>
              <w:t>​</w:t>
            </w:r>
          </w:p>
        </w:tc>
        <w:tc>
          <w:tcPr>
            <w:tcW w:w="158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43" w:type="dxa"/>
            <w:tcBorders/>
            <w:shd w:fill="CCEEFF" w:val="clear"/>
            <w:vAlign w:val="center"/>
          </w:tcPr>
          <w:p>
            <w:pPr>
              <w:pStyle w:val="TableContents"/>
              <w:bidi w:val="0"/>
              <w:spacing w:before="0" w:after="0"/>
              <w:ind w:left="0" w:right="0" w:hanging="0"/>
              <w:jc w:val="center"/>
              <w:rPr/>
            </w:pPr>
            <w:r>
              <w:rPr/>
              <w:t>​</w:t>
            </w:r>
          </w:p>
        </w:tc>
        <w:tc>
          <w:tcPr>
            <w:tcW w:w="1294"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39" w:type="dxa"/>
            <w:tcBorders/>
            <w:shd w:fill="CCEEFF" w:val="clear"/>
            <w:vAlign w:val="center"/>
          </w:tcPr>
          <w:p>
            <w:pPr>
              <w:pStyle w:val="TableContents"/>
              <w:bidi w:val="0"/>
              <w:spacing w:before="0" w:after="0"/>
              <w:ind w:left="0" w:right="0" w:hanging="0"/>
              <w:jc w:val="center"/>
              <w:rPr/>
            </w:pPr>
            <w:r>
              <w:rPr/>
              <w:t>​</w:t>
            </w:r>
          </w:p>
        </w:tc>
        <w:tc>
          <w:tcPr>
            <w:tcW w:w="1247" w:type="dxa"/>
            <w:tcBorders/>
            <w:shd w:fill="CCEEFF" w:val="clear"/>
            <w:vAlign w:val="center"/>
          </w:tcPr>
          <w:p>
            <w:pPr>
              <w:pStyle w:val="TableContents"/>
              <w:bidi w:val="0"/>
              <w:spacing w:before="0" w:after="0"/>
              <w:ind w:left="0" w:right="0" w:hanging="0"/>
              <w:jc w:val="center"/>
              <w:rPr/>
            </w:pPr>
            <w:r>
              <w:rPr/>
              <w:t>​</w:t>
            </w:r>
          </w:p>
        </w:tc>
      </w:tr>
      <w:tr>
        <w:trPr/>
        <w:tc>
          <w:tcPr>
            <w:tcW w:w="25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- 2027 Term Loan Interest Rate Swaps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1,684</w:t>
            </w:r>
          </w:p>
        </w:tc>
        <w:tc>
          <w:tcPr>
            <w:tcW w:w="346" w:type="dxa"/>
            <w:tcBorders/>
            <w:vAlign w:val="center"/>
          </w:tcPr>
          <w:p>
            <w:pPr>
              <w:pStyle w:val="TableContents"/>
              <w:bidi w:val="0"/>
              <w:spacing w:before="0" w:after="0"/>
              <w:ind w:left="0" w:right="0" w:hanging="0"/>
              <w:jc w:val="left"/>
              <w:rPr/>
            </w:pPr>
            <w:r>
              <w:rPr/>
              <w:t>  ​ ​ ​</w:t>
            </w:r>
          </w:p>
        </w:tc>
        <w:tc>
          <w:tcPr>
            <w:tcW w:w="5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8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 ​ ​</w:t>
            </w:r>
          </w:p>
        </w:tc>
        <w:tc>
          <w:tcPr>
            <w:tcW w:w="4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9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1,684</w:t>
            </w:r>
          </w:p>
        </w:tc>
        <w:tc>
          <w:tcPr>
            <w:tcW w:w="346" w:type="dxa"/>
            <w:tcBorders/>
            <w:vAlign w:val="center"/>
          </w:tcPr>
          <w:p>
            <w:pPr>
              <w:pStyle w:val="TableContents"/>
              <w:bidi w:val="0"/>
              <w:spacing w:before="0" w:after="0"/>
              <w:ind w:left="0" w:right="0" w:hanging="0"/>
              <w:jc w:val="left"/>
              <w:rPr/>
            </w:pPr>
            <w:r>
              <w:rPr/>
              <w:t>  ​ ​ ​</w:t>
            </w:r>
          </w:p>
        </w:tc>
        <w:tc>
          <w:tcPr>
            <w:tcW w:w="53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7" w:type="dxa"/>
            <w:tcBorders/>
            <w:vAlign w:val="center"/>
          </w:tcPr>
          <w:p>
            <w:pPr>
              <w:pStyle w:val="TableContents"/>
              <w:bidi w:val="0"/>
              <w:spacing w:before="0" w:after="0"/>
              <w:ind w:left="0" w:right="0" w:hanging="0"/>
              <w:jc w:val="right"/>
              <w:rPr/>
            </w:pPr>
            <w:r>
              <w:rPr/>
              <w:t>—</w:t>
            </w:r>
          </w:p>
        </w:tc>
      </w:tr>
      <w:tr>
        <w:trPr/>
        <w:tc>
          <w:tcPr>
            <w:tcW w:w="25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- 2028 Term Loan 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w:t>
            </w:r>
          </w:p>
        </w:tc>
        <w:tc>
          <w:tcPr>
            <w:tcW w:w="346" w:type="dxa"/>
            <w:tcBorders/>
            <w:shd w:fill="CCEEFF" w:val="clear"/>
            <w:vAlign w:val="center"/>
          </w:tcPr>
          <w:p>
            <w:pPr>
              <w:pStyle w:val="TableContents"/>
              <w:bidi w:val="0"/>
              <w:spacing w:before="0" w:after="0"/>
              <w:ind w:left="0" w:right="0" w:hanging="0"/>
              <w:jc w:val="left"/>
              <w:rPr/>
            </w:pPr>
            <w:r>
              <w:rPr/>
              <w:t>  ​ ​ ​</w:t>
            </w:r>
          </w:p>
        </w:tc>
        <w:tc>
          <w:tcPr>
            <w:tcW w:w="5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44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w:t>
            </w:r>
          </w:p>
        </w:tc>
        <w:tc>
          <w:tcPr>
            <w:tcW w:w="346" w:type="dxa"/>
            <w:tcBorders/>
            <w:shd w:fill="CCEEFF" w:val="clear"/>
            <w:vAlign w:val="center"/>
          </w:tcPr>
          <w:p>
            <w:pPr>
              <w:pStyle w:val="TableContents"/>
              <w:bidi w:val="0"/>
              <w:spacing w:before="0" w:after="0"/>
              <w:ind w:left="0" w:right="0" w:hanging="0"/>
              <w:jc w:val="left"/>
              <w:rPr/>
            </w:pPr>
            <w:r>
              <w:rPr/>
              <w:t>  ​ ​ ​</w:t>
            </w:r>
          </w:p>
        </w:tc>
        <w:tc>
          <w:tcPr>
            <w:tcW w:w="53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7" w:type="dxa"/>
            <w:tcBorders/>
            <w:shd w:fill="CCEEFF" w:val="clear"/>
            <w:vAlign w:val="center"/>
          </w:tcPr>
          <w:p>
            <w:pPr>
              <w:pStyle w:val="TableContents"/>
              <w:bidi w:val="0"/>
              <w:spacing w:before="0" w:after="0"/>
              <w:ind w:left="0" w:right="0" w:hanging="0"/>
              <w:jc w:val="right"/>
              <w:rPr/>
            </w:pPr>
            <w:r>
              <w:rPr/>
              <w:t>—</w:t>
            </w:r>
          </w:p>
        </w:tc>
      </w:tr>
      <w:tr>
        <w:trPr/>
        <w:tc>
          <w:tcPr>
            <w:tcW w:w="25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- 2029 Term Loan Interest Rate Swaps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1,996</w:t>
            </w:r>
          </w:p>
        </w:tc>
        <w:tc>
          <w:tcPr>
            <w:tcW w:w="346" w:type="dxa"/>
            <w:tcBorders/>
            <w:vAlign w:val="center"/>
          </w:tcPr>
          <w:p>
            <w:pPr>
              <w:pStyle w:val="TableContents"/>
              <w:bidi w:val="0"/>
              <w:spacing w:before="0" w:after="0"/>
              <w:ind w:left="0" w:right="0" w:hanging="0"/>
              <w:jc w:val="left"/>
              <w:rPr/>
            </w:pPr>
            <w:r>
              <w:rPr/>
              <w:t>  ​ ​ ​</w:t>
            </w:r>
          </w:p>
        </w:tc>
        <w:tc>
          <w:tcPr>
            <w:tcW w:w="5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8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 ​ ​</w:t>
            </w:r>
          </w:p>
        </w:tc>
        <w:tc>
          <w:tcPr>
            <w:tcW w:w="4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9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1,996</w:t>
            </w:r>
          </w:p>
        </w:tc>
        <w:tc>
          <w:tcPr>
            <w:tcW w:w="346" w:type="dxa"/>
            <w:tcBorders/>
            <w:vAlign w:val="center"/>
          </w:tcPr>
          <w:p>
            <w:pPr>
              <w:pStyle w:val="TableContents"/>
              <w:bidi w:val="0"/>
              <w:spacing w:before="0" w:after="0"/>
              <w:ind w:left="0" w:right="0" w:hanging="0"/>
              <w:jc w:val="left"/>
              <w:rPr/>
            </w:pPr>
            <w:r>
              <w:rPr/>
              <w:t>  ​ ​ ​</w:t>
            </w:r>
          </w:p>
        </w:tc>
        <w:tc>
          <w:tcPr>
            <w:tcW w:w="53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7" w:type="dxa"/>
            <w:tcBorders/>
            <w:vAlign w:val="center"/>
          </w:tcPr>
          <w:p>
            <w:pPr>
              <w:pStyle w:val="TableContents"/>
              <w:bidi w:val="0"/>
              <w:spacing w:before="0" w:after="0"/>
              <w:ind w:left="0" w:right="0" w:hanging="0"/>
              <w:jc w:val="right"/>
              <w:rPr/>
            </w:pPr>
            <w:r>
              <w:rPr/>
              <w:t>—</w:t>
            </w:r>
          </w:p>
        </w:tc>
      </w:tr>
      <w:tr>
        <w:trPr/>
        <w:tc>
          <w:tcPr>
            <w:tcW w:w="25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- 2030 Term Loan 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w:t>
            </w:r>
          </w:p>
        </w:tc>
        <w:tc>
          <w:tcPr>
            <w:tcW w:w="346" w:type="dxa"/>
            <w:tcBorders/>
            <w:shd w:fill="CCEEFF" w:val="clear"/>
            <w:vAlign w:val="center"/>
          </w:tcPr>
          <w:p>
            <w:pPr>
              <w:pStyle w:val="TableContents"/>
              <w:bidi w:val="0"/>
              <w:spacing w:before="0" w:after="0"/>
              <w:ind w:left="0" w:right="0" w:hanging="0"/>
              <w:jc w:val="left"/>
              <w:rPr/>
            </w:pPr>
            <w:r>
              <w:rPr/>
              <w:t>  ​ ​ ​</w:t>
            </w:r>
          </w:p>
        </w:tc>
        <w:tc>
          <w:tcPr>
            <w:tcW w:w="5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44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w:t>
            </w:r>
          </w:p>
        </w:tc>
        <w:tc>
          <w:tcPr>
            <w:tcW w:w="346" w:type="dxa"/>
            <w:tcBorders/>
            <w:shd w:fill="CCEEFF" w:val="clear"/>
            <w:vAlign w:val="center"/>
          </w:tcPr>
          <w:p>
            <w:pPr>
              <w:pStyle w:val="TableContents"/>
              <w:bidi w:val="0"/>
              <w:spacing w:before="0" w:after="0"/>
              <w:ind w:left="0" w:right="0" w:hanging="0"/>
              <w:jc w:val="left"/>
              <w:rPr/>
            </w:pPr>
            <w:r>
              <w:rPr/>
              <w:t>  ​ ​ ​</w:t>
            </w:r>
          </w:p>
        </w:tc>
        <w:tc>
          <w:tcPr>
            <w:tcW w:w="53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7" w:type="dxa"/>
            <w:tcBorders/>
            <w:shd w:fill="CCEEFF" w:val="clear"/>
            <w:vAlign w:val="center"/>
          </w:tcPr>
          <w:p>
            <w:pPr>
              <w:pStyle w:val="TableContents"/>
              <w:bidi w:val="0"/>
              <w:spacing w:before="0" w:after="0"/>
              <w:ind w:left="0" w:right="0" w:hanging="0"/>
              <w:jc w:val="right"/>
              <w:rPr/>
            </w:pPr>
            <w:r>
              <w:rPr/>
              <w:t>—</w:t>
            </w:r>
          </w:p>
        </w:tc>
      </w:tr>
      <w:tr>
        <w:trPr/>
        <w:tc>
          <w:tcPr>
            <w:tcW w:w="25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Revolving Credit Facility Interest Rate Swaps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w:t>
            </w:r>
          </w:p>
        </w:tc>
        <w:tc>
          <w:tcPr>
            <w:tcW w:w="346" w:type="dxa"/>
            <w:tcBorders/>
            <w:vAlign w:val="center"/>
          </w:tcPr>
          <w:p>
            <w:pPr>
              <w:pStyle w:val="TableContents"/>
              <w:bidi w:val="0"/>
              <w:spacing w:before="0" w:after="0"/>
              <w:ind w:left="0" w:right="0" w:hanging="0"/>
              <w:jc w:val="left"/>
              <w:rPr/>
            </w:pPr>
            <w:r>
              <w:rPr/>
              <w:t>  ​ ​ ​</w:t>
            </w:r>
          </w:p>
        </w:tc>
        <w:tc>
          <w:tcPr>
            <w:tcW w:w="5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8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 ​ ​</w:t>
            </w:r>
          </w:p>
        </w:tc>
        <w:tc>
          <w:tcPr>
            <w:tcW w:w="4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9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w:t>
            </w:r>
          </w:p>
        </w:tc>
        <w:tc>
          <w:tcPr>
            <w:tcW w:w="346" w:type="dxa"/>
            <w:tcBorders/>
            <w:vAlign w:val="center"/>
          </w:tcPr>
          <w:p>
            <w:pPr>
              <w:pStyle w:val="TableContents"/>
              <w:bidi w:val="0"/>
              <w:spacing w:before="0" w:after="0"/>
              <w:ind w:left="0" w:right="0" w:hanging="0"/>
              <w:jc w:val="left"/>
              <w:rPr/>
            </w:pPr>
            <w:r>
              <w:rPr/>
              <w:t>  ​ ​ ​</w:t>
            </w:r>
          </w:p>
        </w:tc>
        <w:tc>
          <w:tcPr>
            <w:tcW w:w="53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7" w:type="dxa"/>
            <w:tcBorders/>
            <w:vAlign w:val="center"/>
          </w:tcPr>
          <w:p>
            <w:pPr>
              <w:pStyle w:val="TableContents"/>
              <w:bidi w:val="0"/>
              <w:spacing w:before="0" w:after="0"/>
              <w:ind w:left="0" w:right="0" w:hanging="0"/>
              <w:jc w:val="right"/>
              <w:rPr/>
            </w:pPr>
            <w:r>
              <w:rPr/>
              <w:t>—</w:t>
            </w:r>
          </w:p>
        </w:tc>
      </w:tr>
      <w:tr>
        <w:trPr/>
        <w:tc>
          <w:tcPr>
            <w:tcW w:w="25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 Securities</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51,310</w:t>
            </w:r>
          </w:p>
        </w:tc>
        <w:tc>
          <w:tcPr>
            <w:tcW w:w="346" w:type="dxa"/>
            <w:tcBorders/>
            <w:shd w:fill="CCEEFF" w:val="clear"/>
            <w:vAlign w:val="center"/>
          </w:tcPr>
          <w:p>
            <w:pPr>
              <w:pStyle w:val="TableContents"/>
              <w:bidi w:val="0"/>
              <w:spacing w:before="0" w:after="0"/>
              <w:ind w:left="0" w:right="0" w:hanging="0"/>
              <w:jc w:val="left"/>
              <w:rPr/>
            </w:pPr>
            <w:r>
              <w:rPr/>
              <w:t>  ​ ​ ​</w:t>
            </w:r>
          </w:p>
        </w:tc>
        <w:tc>
          <w:tcPr>
            <w:tcW w:w="5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8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51,310</w:t>
            </w:r>
          </w:p>
        </w:tc>
        <w:tc>
          <w:tcPr>
            <w:tcW w:w="346" w:type="dxa"/>
            <w:tcBorders/>
            <w:shd w:fill="CCEEFF" w:val="clear"/>
            <w:vAlign w:val="center"/>
          </w:tcPr>
          <w:p>
            <w:pPr>
              <w:pStyle w:val="TableContents"/>
              <w:bidi w:val="0"/>
              <w:spacing w:before="0" w:after="0"/>
              <w:ind w:left="0" w:right="0" w:hanging="0"/>
              <w:jc w:val="left"/>
              <w:rPr/>
            </w:pPr>
            <w:r>
              <w:rPr/>
              <w:t>  ​ ​ ​</w:t>
            </w:r>
          </w:p>
        </w:tc>
        <w:tc>
          <w:tcPr>
            <w:tcW w:w="44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9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53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7" w:type="dxa"/>
            <w:tcBorders/>
            <w:shd w:fill="CCEEFF" w:val="clear"/>
            <w:vAlign w:val="center"/>
          </w:tcPr>
          <w:p>
            <w:pPr>
              <w:pStyle w:val="TableContents"/>
              <w:bidi w:val="0"/>
              <w:spacing w:before="0" w:after="0"/>
              <w:ind w:left="0" w:right="0" w:hanging="0"/>
              <w:jc w:val="right"/>
              <w:rPr/>
            </w:pPr>
            <w:r>
              <w:rPr/>
              <w:t>—</w:t>
            </w:r>
          </w:p>
        </w:tc>
      </w:tr>
      <w:tr>
        <w:trPr/>
        <w:tc>
          <w:tcPr>
            <w:tcW w:w="259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December 31, 2025</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center"/>
              <w:rPr/>
            </w:pPr>
            <w:r>
              <w:rPr/>
              <w:t>​</w:t>
            </w:r>
          </w:p>
        </w:tc>
        <w:tc>
          <w:tcPr>
            <w:tcW w:w="63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16" w:type="dxa"/>
            <w:tcBorders/>
            <w:vAlign w:val="center"/>
          </w:tcPr>
          <w:p>
            <w:pPr>
              <w:pStyle w:val="TableContents"/>
              <w:bidi w:val="0"/>
              <w:spacing w:before="0" w:after="0"/>
              <w:ind w:left="0" w:right="0" w:hanging="0"/>
              <w:jc w:val="center"/>
              <w:rPr/>
            </w:pPr>
            <w:r>
              <w:rPr/>
              <w:t>​</w:t>
            </w:r>
          </w:p>
        </w:tc>
        <w:tc>
          <w:tcPr>
            <w:tcW w:w="158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center"/>
              <w:rPr/>
            </w:pPr>
            <w:r>
              <w:rPr/>
              <w:t>​</w:t>
            </w:r>
          </w:p>
        </w:tc>
        <w:tc>
          <w:tcPr>
            <w:tcW w:w="129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39" w:type="dxa"/>
            <w:tcBorders/>
            <w:vAlign w:val="center"/>
          </w:tcPr>
          <w:p>
            <w:pPr>
              <w:pStyle w:val="TableContents"/>
              <w:bidi w:val="0"/>
              <w:spacing w:before="0" w:after="0"/>
              <w:ind w:left="0" w:right="0" w:hanging="0"/>
              <w:jc w:val="center"/>
              <w:rPr/>
            </w:pPr>
            <w:r>
              <w:rPr/>
              <w:t>​</w:t>
            </w:r>
          </w:p>
        </w:tc>
        <w:tc>
          <w:tcPr>
            <w:tcW w:w="1247" w:type="dxa"/>
            <w:tcBorders/>
            <w:vAlign w:val="center"/>
          </w:tcPr>
          <w:p>
            <w:pPr>
              <w:pStyle w:val="TableContents"/>
              <w:bidi w:val="0"/>
              <w:spacing w:before="0" w:after="0"/>
              <w:ind w:left="0" w:right="0" w:hanging="0"/>
              <w:jc w:val="center"/>
              <w:rPr/>
            </w:pPr>
            <w:r>
              <w:rPr/>
              <w:t>​</w:t>
            </w:r>
          </w:p>
        </w:tc>
      </w:tr>
      <w:tr>
        <w:trPr/>
        <w:tc>
          <w:tcPr>
            <w:tcW w:w="25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- 2027 Term Loan 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1,496</w:t>
            </w:r>
          </w:p>
        </w:tc>
        <w:tc>
          <w:tcPr>
            <w:tcW w:w="346" w:type="dxa"/>
            <w:tcBorders/>
            <w:shd w:fill="CCEEFF" w:val="clear"/>
            <w:vAlign w:val="center"/>
          </w:tcPr>
          <w:p>
            <w:pPr>
              <w:pStyle w:val="TableContents"/>
              <w:bidi w:val="0"/>
              <w:spacing w:before="0" w:after="0"/>
              <w:ind w:left="0" w:right="0" w:hanging="0"/>
              <w:jc w:val="left"/>
              <w:rPr/>
            </w:pPr>
            <w:r>
              <w:rPr/>
              <w:t>  ​ ​ ​</w:t>
            </w:r>
          </w:p>
        </w:tc>
        <w:tc>
          <w:tcPr>
            <w:tcW w:w="5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44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1,496</w:t>
            </w:r>
          </w:p>
        </w:tc>
        <w:tc>
          <w:tcPr>
            <w:tcW w:w="346" w:type="dxa"/>
            <w:tcBorders/>
            <w:shd w:fill="CCEEFF" w:val="clear"/>
            <w:vAlign w:val="center"/>
          </w:tcPr>
          <w:p>
            <w:pPr>
              <w:pStyle w:val="TableContents"/>
              <w:bidi w:val="0"/>
              <w:spacing w:before="0" w:after="0"/>
              <w:ind w:left="0" w:right="0" w:hanging="0"/>
              <w:jc w:val="left"/>
              <w:rPr/>
            </w:pPr>
            <w:r>
              <w:rPr/>
              <w:t>  ​ ​ ​</w:t>
            </w:r>
          </w:p>
        </w:tc>
        <w:tc>
          <w:tcPr>
            <w:tcW w:w="53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7" w:type="dxa"/>
            <w:tcBorders/>
            <w:shd w:fill="CCEEFF" w:val="clear"/>
            <w:vAlign w:val="center"/>
          </w:tcPr>
          <w:p>
            <w:pPr>
              <w:pStyle w:val="TableContents"/>
              <w:bidi w:val="0"/>
              <w:spacing w:before="0" w:after="0"/>
              <w:ind w:left="0" w:right="0" w:hanging="0"/>
              <w:jc w:val="right"/>
              <w:rPr/>
            </w:pPr>
            <w:r>
              <w:rPr/>
              <w:t>—</w:t>
            </w:r>
          </w:p>
        </w:tc>
      </w:tr>
      <w:tr>
        <w:trPr/>
        <w:tc>
          <w:tcPr>
            <w:tcW w:w="25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- 2028 Term Loan Interest Rate Swaps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(1,351)</w:t>
            </w:r>
          </w:p>
        </w:tc>
        <w:tc>
          <w:tcPr>
            <w:tcW w:w="346" w:type="dxa"/>
            <w:tcBorders/>
            <w:vAlign w:val="center"/>
          </w:tcPr>
          <w:p>
            <w:pPr>
              <w:pStyle w:val="TableContents"/>
              <w:bidi w:val="0"/>
              <w:spacing w:before="0" w:after="0"/>
              <w:ind w:left="0" w:right="0" w:hanging="0"/>
              <w:jc w:val="left"/>
              <w:rPr/>
            </w:pPr>
            <w:r>
              <w:rPr/>
              <w:t>  ​ ​ ​</w:t>
            </w:r>
          </w:p>
        </w:tc>
        <w:tc>
          <w:tcPr>
            <w:tcW w:w="5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8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 ​ ​</w:t>
            </w:r>
          </w:p>
        </w:tc>
        <w:tc>
          <w:tcPr>
            <w:tcW w:w="4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9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(1,351)</w:t>
            </w:r>
          </w:p>
        </w:tc>
        <w:tc>
          <w:tcPr>
            <w:tcW w:w="346" w:type="dxa"/>
            <w:tcBorders/>
            <w:vAlign w:val="center"/>
          </w:tcPr>
          <w:p>
            <w:pPr>
              <w:pStyle w:val="TableContents"/>
              <w:bidi w:val="0"/>
              <w:spacing w:before="0" w:after="0"/>
              <w:ind w:left="0" w:right="0" w:hanging="0"/>
              <w:jc w:val="left"/>
              <w:rPr/>
            </w:pPr>
            <w:r>
              <w:rPr/>
              <w:t>  ​ ​ ​</w:t>
            </w:r>
          </w:p>
        </w:tc>
        <w:tc>
          <w:tcPr>
            <w:tcW w:w="53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7" w:type="dxa"/>
            <w:tcBorders/>
            <w:vAlign w:val="center"/>
          </w:tcPr>
          <w:p>
            <w:pPr>
              <w:pStyle w:val="TableContents"/>
              <w:bidi w:val="0"/>
              <w:spacing w:before="0" w:after="0"/>
              <w:ind w:left="0" w:right="0" w:hanging="0"/>
              <w:jc w:val="right"/>
              <w:rPr/>
            </w:pPr>
            <w:r>
              <w:rPr/>
              <w:t>—</w:t>
            </w:r>
          </w:p>
        </w:tc>
      </w:tr>
      <w:tr>
        <w:trPr/>
        <w:tc>
          <w:tcPr>
            <w:tcW w:w="25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- 2029 Term Loan 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346" w:type="dxa"/>
            <w:tcBorders/>
            <w:shd w:fill="CCEEFF" w:val="clear"/>
            <w:vAlign w:val="center"/>
          </w:tcPr>
          <w:p>
            <w:pPr>
              <w:pStyle w:val="TableContents"/>
              <w:bidi w:val="0"/>
              <w:spacing w:before="0" w:after="0"/>
              <w:ind w:left="0" w:right="0" w:hanging="0"/>
              <w:jc w:val="left"/>
              <w:rPr/>
            </w:pPr>
            <w:r>
              <w:rPr/>
              <w:t>  ​ ​ ​</w:t>
            </w:r>
          </w:p>
        </w:tc>
        <w:tc>
          <w:tcPr>
            <w:tcW w:w="5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44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346" w:type="dxa"/>
            <w:tcBorders/>
            <w:shd w:fill="CCEEFF" w:val="clear"/>
            <w:vAlign w:val="center"/>
          </w:tcPr>
          <w:p>
            <w:pPr>
              <w:pStyle w:val="TableContents"/>
              <w:bidi w:val="0"/>
              <w:spacing w:before="0" w:after="0"/>
              <w:ind w:left="0" w:right="0" w:hanging="0"/>
              <w:jc w:val="left"/>
              <w:rPr/>
            </w:pPr>
            <w:r>
              <w:rPr/>
              <w:t>  ​ ​ ​</w:t>
            </w:r>
          </w:p>
        </w:tc>
        <w:tc>
          <w:tcPr>
            <w:tcW w:w="53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7" w:type="dxa"/>
            <w:tcBorders/>
            <w:shd w:fill="CCEEFF" w:val="clear"/>
            <w:vAlign w:val="center"/>
          </w:tcPr>
          <w:p>
            <w:pPr>
              <w:pStyle w:val="TableContents"/>
              <w:bidi w:val="0"/>
              <w:spacing w:before="0" w:after="0"/>
              <w:ind w:left="0" w:right="0" w:hanging="0"/>
              <w:jc w:val="right"/>
              <w:rPr/>
            </w:pPr>
            <w:r>
              <w:rPr/>
              <w:t>—</w:t>
            </w:r>
          </w:p>
        </w:tc>
      </w:tr>
      <w:tr>
        <w:trPr/>
        <w:tc>
          <w:tcPr>
            <w:tcW w:w="25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- 2030 Term Loan Interest Rate Swaps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w:t>
            </w:r>
          </w:p>
        </w:tc>
        <w:tc>
          <w:tcPr>
            <w:tcW w:w="346" w:type="dxa"/>
            <w:tcBorders/>
            <w:vAlign w:val="center"/>
          </w:tcPr>
          <w:p>
            <w:pPr>
              <w:pStyle w:val="TableContents"/>
              <w:bidi w:val="0"/>
              <w:spacing w:before="0" w:after="0"/>
              <w:ind w:left="0" w:right="0" w:hanging="0"/>
              <w:jc w:val="left"/>
              <w:rPr/>
            </w:pPr>
            <w:r>
              <w:rPr/>
              <w:t>​</w:t>
            </w:r>
          </w:p>
        </w:tc>
        <w:tc>
          <w:tcPr>
            <w:tcW w:w="5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8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9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w:t>
            </w:r>
          </w:p>
        </w:tc>
        <w:tc>
          <w:tcPr>
            <w:tcW w:w="346" w:type="dxa"/>
            <w:tcBorders/>
            <w:vAlign w:val="center"/>
          </w:tcPr>
          <w:p>
            <w:pPr>
              <w:pStyle w:val="TableContents"/>
              <w:bidi w:val="0"/>
              <w:spacing w:before="0" w:after="0"/>
              <w:ind w:left="0" w:right="0" w:hanging="0"/>
              <w:jc w:val="left"/>
              <w:rPr/>
            </w:pPr>
            <w:r>
              <w:rPr/>
              <w:t>​</w:t>
            </w:r>
          </w:p>
        </w:tc>
        <w:tc>
          <w:tcPr>
            <w:tcW w:w="53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7" w:type="dxa"/>
            <w:tcBorders/>
            <w:vAlign w:val="center"/>
          </w:tcPr>
          <w:p>
            <w:pPr>
              <w:pStyle w:val="TableContents"/>
              <w:bidi w:val="0"/>
              <w:spacing w:before="0" w:after="0"/>
              <w:ind w:left="0" w:right="0" w:hanging="0"/>
              <w:jc w:val="right"/>
              <w:rPr/>
            </w:pPr>
            <w:r>
              <w:rPr/>
              <w:t>—</w:t>
            </w:r>
          </w:p>
        </w:tc>
      </w:tr>
      <w:tr>
        <w:trPr/>
        <w:tc>
          <w:tcPr>
            <w:tcW w:w="25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Revolving Credit Facility 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(497)</w:t>
            </w:r>
          </w:p>
        </w:tc>
        <w:tc>
          <w:tcPr>
            <w:tcW w:w="346" w:type="dxa"/>
            <w:tcBorders/>
            <w:shd w:fill="CCEEFF" w:val="clear"/>
            <w:vAlign w:val="center"/>
          </w:tcPr>
          <w:p>
            <w:pPr>
              <w:pStyle w:val="TableContents"/>
              <w:bidi w:val="0"/>
              <w:spacing w:before="0" w:after="0"/>
              <w:ind w:left="0" w:right="0" w:hanging="0"/>
              <w:jc w:val="left"/>
              <w:rPr/>
            </w:pPr>
            <w:r>
              <w:rPr/>
              <w:t>  ​ ​ ​</w:t>
            </w:r>
          </w:p>
        </w:tc>
        <w:tc>
          <w:tcPr>
            <w:tcW w:w="5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4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(497)</w:t>
            </w:r>
          </w:p>
        </w:tc>
        <w:tc>
          <w:tcPr>
            <w:tcW w:w="346" w:type="dxa"/>
            <w:tcBorders/>
            <w:shd w:fill="CCEEFF" w:val="clear"/>
            <w:vAlign w:val="center"/>
          </w:tcPr>
          <w:p>
            <w:pPr>
              <w:pStyle w:val="TableContents"/>
              <w:bidi w:val="0"/>
              <w:spacing w:before="0" w:after="0"/>
              <w:ind w:left="0" w:right="0" w:hanging="0"/>
              <w:jc w:val="left"/>
              <w:rPr/>
            </w:pPr>
            <w:r>
              <w:rPr/>
              <w:t>​</w:t>
            </w:r>
          </w:p>
        </w:tc>
        <w:tc>
          <w:tcPr>
            <w:tcW w:w="53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7" w:type="dxa"/>
            <w:tcBorders/>
            <w:shd w:fill="CCEEFF" w:val="clear"/>
            <w:vAlign w:val="center"/>
          </w:tcPr>
          <w:p>
            <w:pPr>
              <w:pStyle w:val="TableContents"/>
              <w:bidi w:val="0"/>
              <w:spacing w:before="0" w:after="0"/>
              <w:ind w:left="0" w:right="0" w:hanging="0"/>
              <w:jc w:val="right"/>
              <w:rPr/>
            </w:pPr>
            <w:r>
              <w:rPr/>
              <w:t>—</w:t>
            </w:r>
          </w:p>
        </w:tc>
      </w:tr>
      <w:tr>
        <w:trPr/>
        <w:tc>
          <w:tcPr>
            <w:tcW w:w="25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 Securities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41,324</w:t>
            </w:r>
          </w:p>
        </w:tc>
        <w:tc>
          <w:tcPr>
            <w:tcW w:w="346" w:type="dxa"/>
            <w:tcBorders/>
            <w:vAlign w:val="center"/>
          </w:tcPr>
          <w:p>
            <w:pPr>
              <w:pStyle w:val="TableContents"/>
              <w:bidi w:val="0"/>
              <w:spacing w:before="0" w:after="0"/>
              <w:ind w:left="0" w:right="0" w:hanging="0"/>
              <w:jc w:val="left"/>
              <w:rPr/>
            </w:pPr>
            <w:r>
              <w:rPr/>
              <w:t>  ​ ​ ​</w:t>
            </w:r>
          </w:p>
        </w:tc>
        <w:tc>
          <w:tcPr>
            <w:tcW w:w="5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8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41,324</w:t>
            </w:r>
          </w:p>
        </w:tc>
        <w:tc>
          <w:tcPr>
            <w:tcW w:w="346" w:type="dxa"/>
            <w:tcBorders/>
            <w:vAlign w:val="center"/>
          </w:tcPr>
          <w:p>
            <w:pPr>
              <w:pStyle w:val="TableContents"/>
              <w:bidi w:val="0"/>
              <w:spacing w:before="0" w:after="0"/>
              <w:ind w:left="0" w:right="0" w:hanging="0"/>
              <w:jc w:val="left"/>
              <w:rPr/>
            </w:pPr>
            <w:r>
              <w:rPr/>
              <w:t>  ​ ​ ​</w:t>
            </w:r>
          </w:p>
        </w:tc>
        <w:tc>
          <w:tcPr>
            <w:tcW w:w="4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 ​ ​</w:t>
            </w:r>
          </w:p>
        </w:tc>
        <w:tc>
          <w:tcPr>
            <w:tcW w:w="53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7" w:type="dxa"/>
            <w:tcBorders/>
            <w:vAlign w:val="center"/>
          </w:tcPr>
          <w:p>
            <w:pPr>
              <w:pStyle w:val="TableContents"/>
              <w:bidi w:val="0"/>
              <w:spacing w:before="0" w:after="0"/>
              <w:ind w:left="0" w:right="60" w:hanging="0"/>
              <w:jc w:val="right"/>
              <w:rPr/>
            </w:pPr>
            <w:r>
              <w:rPr/>
              <w:t>—</w:t>
            </w:r>
          </w:p>
        </w:tc>
      </w:tr>
    </w:tbl>
    <w:p>
      <w:pPr>
        <w:pStyle w:val="TextBody"/>
        <w:bidi w:val="0"/>
        <w:spacing w:lineRule="auto" w:line="271" w:before="0" w:after="0"/>
        <w:ind w:left="0" w:right="0" w:hanging="0"/>
        <w:jc w:val="both"/>
        <w:rPr/>
      </w:pPr>
      <w:r>
        <w:rPr/>
        <w:t> </w:t>
      </w:r>
    </w:p>
    <w:p>
      <w:pPr>
        <w:pStyle w:val="TextBody"/>
        <w:bidi w:val="0"/>
        <w:spacing w:lineRule="auto" w:line="271" w:before="0" w:after="0"/>
        <w:ind w:left="0" w:right="0" w:hanging="0"/>
        <w:jc w:val="both"/>
        <w:rPr/>
      </w:pPr>
      <w:r>
        <w:rPr/>
        <w:t> </w:t>
      </w:r>
    </w:p>
    <w:p>
      <w:pPr>
        <w:pStyle w:val="TextBody"/>
        <w:bidi w:val="0"/>
        <w:spacing w:lineRule="auto" w:line="271" w:before="0" w:after="0"/>
        <w:ind w:left="0" w:right="0" w:hanging="0"/>
        <w:jc w:val="both"/>
        <w:rPr/>
      </w:pPr>
      <w:r>
        <w:rPr/>
        <w:t> </w:t>
      </w:r>
    </w:p>
    <w:p>
      <w:pPr>
        <w:pStyle w:val="TextBody"/>
        <w:bidi w:val="0"/>
        <w:spacing w:lineRule="auto" w:line="271"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53" w:name="Tc_vX1CWADi_kSU1K0fWJM6BA_9_8"/>
      <w:bookmarkStart w:id="1354" w:name="Tc_zP3J-Pn1s0aAgzA6DWDKZg_9_5"/>
      <w:bookmarkStart w:id="1355" w:name="Tc_L93NYIM6iEmbKfLMVJi6AQ_9_2"/>
      <w:bookmarkStart w:id="1356" w:name="Tc_lRd5IrIHf0m9chfwB6mRaw_9_0"/>
      <w:bookmarkStart w:id="1357" w:name="Tc_Ki18yEda10mYU8nhGxHpng_8_0"/>
      <w:bookmarkStart w:id="1358" w:name="Tc_pltNnQB4OEmzJrcq09Ie_Q_7_0"/>
      <w:bookmarkStart w:id="1359" w:name="Tc_qiE-q8nnSUuGM9umwaGGGw_6_0"/>
      <w:bookmarkStart w:id="1360" w:name="Tc_lDrUZ33nFkyKOJ7fGpaiag_5_0"/>
      <w:bookmarkStart w:id="1361" w:name="Tc_0Y02imYrKE6Qk587-M-5xQ_4_0"/>
      <w:bookmarkStart w:id="1362" w:name="Tc_F0DQAUIliUqCVRAEkSF_MA_3_0"/>
      <w:bookmarkStart w:id="1363" w:name="Tc_6mfRnNdTpkaxLzmiEYo-eg_2_8"/>
      <w:bookmarkStart w:id="1364" w:name="Tc_opqh2ky870GmowDA0rL2XQ_2_5"/>
      <w:bookmarkStart w:id="1365" w:name="Tc_amELbk5Zq0a98OzOWLyu6Q_2_2"/>
      <w:bookmarkStart w:id="1366" w:name="Tc_a23VFLUs20mV-BKJ6yEI4g_2_0"/>
      <w:bookmarkStart w:id="1367" w:name="Tc_CIFbOazbOkStPW9kojpk7Q_1_8"/>
      <w:bookmarkStart w:id="1368" w:name="Tc_x-W-JgNCcEq1z1YXqhfAMA_1_5"/>
      <w:bookmarkStart w:id="1369" w:name="Tc_FK_h5ugUAkKgGZAhS0ajQQ_1_2"/>
      <w:bookmarkStart w:id="1370" w:name="Tc_bszfsdbMhkW5g2wictPEaA_1_0"/>
      <w:bookmarkStart w:id="1371" w:name="_a7847aee_5da4_40c3_91b8_05ba1a177bd8"/>
      <w:bookmarkStart w:id="1372" w:name="Tc_AJYGnU0CwUeglM3iabp2EA_0_0"/>
      <w:bookmarkStart w:id="1373" w:name="Tc_0vNiAVZ6KE2qRF8DOfzIhg_5_11"/>
      <w:bookmarkStart w:id="1374" w:name="Tc_AZueEzVHYEagcX7mAkIzdA_5_8"/>
      <w:bookmarkStart w:id="1375" w:name="Tc_pXDyUE6LHk-VeazHxj8HRw_5_5"/>
      <w:bookmarkStart w:id="1376" w:name="Tc_SSaSqkFplk6JXoI_7WSDcQ_5_2"/>
      <w:bookmarkStart w:id="1377" w:name="Tc_JLfeCbh-vUqsEnJS2wCE2g_5_0"/>
      <w:bookmarkStart w:id="1378" w:name="Tc_1L9451E-1EiFik_94GvbEQ_4_0"/>
      <w:bookmarkStart w:id="1379" w:name="Tc_82pBe5Al60WzL2Qg1xaR7Q_3_11"/>
      <w:bookmarkStart w:id="1380" w:name="Tc_tjp2Xh9qEEG-qnObq_JyVA_3_8"/>
      <w:bookmarkStart w:id="1381" w:name="Tc_2K9UsyAL9kuf5LT1Hu61PA_3_5"/>
      <w:bookmarkStart w:id="1382" w:name="Tc_weds1a6XQEKOl2L4G5MqPQ_3_2"/>
      <w:bookmarkStart w:id="1383" w:name="Tc_KMCSv_wcY06BybDYRe7jIA_3_0"/>
      <w:bookmarkStart w:id="1384" w:name="Tc_w01E-iY19E68m_69DrrxyQ_2_11"/>
      <w:bookmarkStart w:id="1385" w:name="Tc_zhhrjI5eokW7p7f9KBPysg_2_8"/>
      <w:bookmarkStart w:id="1386" w:name="Tc_owx76ZJyoU-4T7VFtWlTdg_2_5"/>
      <w:bookmarkStart w:id="1387" w:name="Tc_GcENpvib7UGQjWGlouRwDg_2_2"/>
      <w:bookmarkStart w:id="1388" w:name="Tc_-7S-A0QI6UeAUZVR-J5FUg_1_8"/>
      <w:bookmarkStart w:id="1389" w:name="Tc_7EQOdr5WV0eOUB1-v5hJvg_1_2"/>
      <w:bookmarkStart w:id="1390" w:name="_d1b39755_7ac9_4766_9ff3_a2fcab4802d2"/>
      <w:bookmarkStart w:id="1391" w:name="Tc_JiFiXtsXMUqhDv7tI0DsJw_15_5"/>
      <w:bookmarkStart w:id="1392" w:name="Tc_c4hu9NUO1k-tK5rHOlprgw_15_2"/>
      <w:bookmarkStart w:id="1393" w:name="Tc_fPcSUARQXUGC5eD47mTwNQ_15_0"/>
      <w:bookmarkStart w:id="1394" w:name="Tc_AjU1nvtUYEO3m-3RZ5lxKA_14_0"/>
      <w:bookmarkStart w:id="1395" w:name="Tc_5NI_UJC9F0Gfm4vrqgWe8g_13_0"/>
      <w:bookmarkStart w:id="1396" w:name="Tc_pJEclQuyMUi_XgYiEdhclQ_12_0"/>
      <w:bookmarkStart w:id="1397" w:name="Tc_wiYOxhu8sUiAmvSuhYhMoA_11_0"/>
      <w:bookmarkStart w:id="1398" w:name="Tc_XpugIHT7REapmIdDiLu0XA_10_0"/>
      <w:bookmarkStart w:id="1399" w:name="Tc_Jgit05x2EkiqQ1MLp4CVBA_9_0"/>
      <w:bookmarkStart w:id="1400" w:name="Tc_3-239vYFKUu0Fh11dQpPdQ_8_0"/>
      <w:bookmarkStart w:id="1401" w:name="Tc_Iw3kvhQk8UqDZFDD4yO83A_7_0"/>
      <w:bookmarkStart w:id="1402" w:name="Tc__oy72Jwt5Eu3NAfjKgAE2A_6_0"/>
      <w:bookmarkStart w:id="1403" w:name="Tc_DtJ4gcuxF0OB3nfJqi-NOA_5_0"/>
      <w:bookmarkStart w:id="1404" w:name="Tc_4cFgmlwoSUuBdr0_9V3inQ_4_5"/>
      <w:bookmarkStart w:id="1405" w:name="Tc_8N_SobGANkSAH1FLBKysng_4_2"/>
      <w:bookmarkStart w:id="1406" w:name="Tc_Ewwn29dyE0yf3R9zJhYqnw_4_0"/>
      <w:bookmarkStart w:id="1407" w:name="Tc_wfKl9XLqEEq2ZNCN0zhAuA_3_0"/>
      <w:bookmarkStart w:id="1408" w:name="Tc_pVMB5qejW0ulhu41kX6Aww_2_5"/>
      <w:bookmarkStart w:id="1409" w:name="Tc_0SfM4PloxEGVXBjTxW4now_2_2"/>
      <w:bookmarkStart w:id="1410" w:name="Tc_cP25TC7fGEKSJexmqdc88A_1_2"/>
      <w:bookmarkStart w:id="1411" w:name="_d38edbda_4893_4108_87e8_e46191dd7ca5"/>
      <w:bookmarkStart w:id="1412" w:name="_455613f9_a500_44d6_a2bf_5bb39dba63c3"/>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r>
        <w:rPr>
          <w:rFonts w:ascii="Times New Roman;Times;serif" w:hAnsi="Times New Roman;Times;serif"/>
          <w:b/>
          <w:sz w:val="20"/>
        </w:rPr>
        <w:t>NOTE 8. INTANGIBLE ASSETS AND LIABILITIES</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Intangible assets and liabilities consist of the value of above-market and below-market leases, the value of in-place leases, and the value of leasing costs, based in each case on their fair values. Intangible assets and liabilities consisted of the following as of June 30, 2026 and December 31, 2025 (in thousands):</w:t>
      </w:r>
    </w:p>
    <w:p>
      <w:pPr>
        <w:pStyle w:val="TextBody"/>
        <w:bidi w:val="0"/>
        <w:spacing w:before="0" w:after="0"/>
        <w:ind w:left="0" w:right="0" w:hanging="0"/>
        <w:jc w:val="left"/>
        <w:rPr/>
      </w:pPr>
      <w:r>
        <w:rPr/>
        <w:t>​</w:t>
      </w:r>
    </w:p>
    <w:tbl>
      <w:tblPr>
        <w:tblW w:w="6711" w:type="dxa"/>
        <w:jc w:val="left"/>
        <w:tblInd w:w="0" w:type="dxa"/>
        <w:tblLayout w:type="fixed"/>
        <w:tblCellMar>
          <w:top w:w="0" w:type="dxa"/>
          <w:left w:w="0" w:type="dxa"/>
          <w:bottom w:w="0" w:type="dxa"/>
          <w:right w:w="0" w:type="dxa"/>
        </w:tblCellMar>
      </w:tblPr>
      <w:tblGrid>
        <w:gridCol w:w="3706"/>
        <w:gridCol w:w="346"/>
        <w:gridCol w:w="211"/>
        <w:gridCol w:w="796"/>
        <w:gridCol w:w="346"/>
        <w:gridCol w:w="265"/>
        <w:gridCol w:w="1041"/>
      </w:tblGrid>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505460" cy="175260"/>
                      <wp:effectExtent l="0" t="0" r="0" b="0"/>
                      <wp:wrapNone/>
                      <wp:docPr id="219" name="Frame21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20"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68275" cy="175260"/>
                      <wp:effectExtent l="0" t="0" r="0" b="0"/>
                      <wp:wrapNone/>
                      <wp:docPr id="221" name="Frame221"/>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61035" cy="175260"/>
                      <wp:effectExtent l="0" t="0" r="0" b="0"/>
                      <wp:wrapNone/>
                      <wp:docPr id="222" name="Frame222"/>
                      <a:graphic xmlns:a="http://schemas.openxmlformats.org/drawingml/2006/main">
                        <a:graphicData uri="http://schemas.microsoft.com/office/word/2010/wordprocessingShape">
                          <wps:wsp>
                            <wps:cNvSpPr txBox="1"/>
                            <wps:spPr>
                              <a:xfrm>
                                <a:off x="0" y="0"/>
                                <a:ext cx="661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6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w:t>
              <w:br/>
              <w:t>2026</w:t>
            </w:r>
          </w:p>
        </w:tc>
        <w:tc>
          <w:tcPr>
            <w:tcW w:w="346" w:type="dxa"/>
            <w:tcBorders/>
            <w:vAlign w:val="center"/>
          </w:tcPr>
          <w:p>
            <w:pPr>
              <w:pStyle w:val="TableContents"/>
              <w:bidi w:val="0"/>
              <w:spacing w:before="0" w:after="0"/>
              <w:ind w:left="0" w:right="0" w:hanging="0"/>
              <w:jc w:val="left"/>
              <w:rPr/>
            </w:pPr>
            <w:r>
              <w:rPr/>
              <w:t>  ​ ​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br/>
              <w:t>2025</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In-Place Leases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94,980</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99,346</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Above Market In-Place Leases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19,145</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23,052</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Intangible Leasing Costs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30,961</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29,963</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145,086</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152,361</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(61,295)</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(67,651)</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Assets—Net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83,791</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84,710</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Below Market In-Place Leases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(42,333)</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(42,144)</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(42,333)</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(42,144)</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10,761</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10,658</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Liabilities—Net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(31,572)</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(31,486)</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 and Liabilities—Net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52,219</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53,224</w:t>
            </w:r>
          </w:p>
        </w:tc>
      </w:tr>
    </w:tbl>
    <w:p>
      <w:pPr>
        <w:pStyle w:val="TextBody"/>
        <w:shd w:fill="FFFFFF" w:val="clear"/>
        <w:bidi w:val="0"/>
        <w:spacing w:lineRule="auto" w:line="268" w:before="0" w:after="0"/>
        <w:ind w:left="0" w:right="0" w:hanging="0"/>
        <w:jc w:val="both"/>
        <w:rPr/>
      </w:pPr>
      <w:r>
        <w:rPr/>
        <w:t> </w:t>
      </w:r>
    </w:p>
    <w:p>
      <w:pPr>
        <w:pStyle w:val="TextBody"/>
        <w:shd w:fill="FFFFFF" w:val="clear"/>
        <w:bidi w:val="0"/>
        <w:spacing w:lineRule="auto" w:line="268" w:before="0" w:after="200"/>
        <w:ind w:left="0" w:right="0" w:hanging="0"/>
        <w:jc w:val="both"/>
        <w:rPr/>
      </w:pPr>
      <w:r>
        <w:rPr/>
        <w:t> </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The following table reflects the net amortization of intangible assets and liabilities during the three and six months ended June 30, 2026 and 2025 (in thousands):</w:t>
      </w:r>
    </w:p>
    <w:p>
      <w:pPr>
        <w:pStyle w:val="TextBody"/>
        <w:bidi w:val="0"/>
        <w:spacing w:before="0" w:after="0"/>
        <w:ind w:left="0" w:right="0" w:hanging="0"/>
        <w:jc w:val="left"/>
        <w:rPr/>
      </w:pPr>
      <w:r>
        <w:rPr/>
        <w:t>​</w:t>
      </w:r>
    </w:p>
    <w:tbl>
      <w:tblPr>
        <w:tblW w:w="9683" w:type="dxa"/>
        <w:jc w:val="left"/>
        <w:tblInd w:w="0" w:type="dxa"/>
        <w:tblLayout w:type="fixed"/>
        <w:tblCellMar>
          <w:top w:w="0" w:type="dxa"/>
          <w:left w:w="0" w:type="dxa"/>
          <w:bottom w:w="0" w:type="dxa"/>
          <w:right w:w="0" w:type="dxa"/>
        </w:tblCellMar>
      </w:tblPr>
      <w:tblGrid>
        <w:gridCol w:w="4411"/>
        <w:gridCol w:w="109"/>
        <w:gridCol w:w="331"/>
        <w:gridCol w:w="896"/>
        <w:gridCol w:w="171"/>
        <w:gridCol w:w="331"/>
        <w:gridCol w:w="896"/>
        <w:gridCol w:w="109"/>
        <w:gridCol w:w="256"/>
        <w:gridCol w:w="838"/>
        <w:gridCol w:w="132"/>
        <w:gridCol w:w="256"/>
        <w:gridCol w:w="947"/>
      </w:tblGrid>
      <w:tr>
        <w:trPr/>
        <w:tc>
          <w:tcPr>
            <w:tcW w:w="4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260"/>
                      <wp:effectExtent l="0" t="0" r="0" b="0"/>
                      <wp:wrapNone/>
                      <wp:docPr id="223" name="Frame2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0185" cy="175260"/>
                      <wp:effectExtent l="0" t="0" r="0" b="0"/>
                      <wp:wrapNone/>
                      <wp:docPr id="224" name="Frame224"/>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68960" cy="175260"/>
                      <wp:effectExtent l="0" t="0" r="0" b="0"/>
                      <wp:wrapNone/>
                      <wp:docPr id="225" name="Frame225"/>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08585" cy="175260"/>
                      <wp:effectExtent l="0" t="0" r="0" b="0"/>
                      <wp:wrapNone/>
                      <wp:docPr id="226" name="Frame226"/>
                      <a:graphic xmlns:a="http://schemas.openxmlformats.org/drawingml/2006/main">
                        <a:graphicData uri="http://schemas.microsoft.com/office/word/2010/wordprocessingShape">
                          <wps:wsp>
                            <wps:cNvSpPr txBox="1"/>
                            <wps:spPr>
                              <a:xfrm>
                                <a:off x="0" y="0"/>
                                <a:ext cx="108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0185" cy="175260"/>
                      <wp:effectExtent l="0" t="0" r="0" b="0"/>
                      <wp:wrapNone/>
                      <wp:docPr id="227" name="Frame227"/>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68960" cy="175260"/>
                      <wp:effectExtent l="0" t="0" r="0" b="0"/>
                      <wp:wrapNone/>
                      <wp:docPr id="228" name="Frame228"/>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9215" cy="175260"/>
                      <wp:effectExtent l="0" t="0" r="0" b="0"/>
                      <wp:wrapNone/>
                      <wp:docPr id="229" name="Frame2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62560" cy="175260"/>
                      <wp:effectExtent l="0" t="0" r="0" b="0"/>
                      <wp:wrapNone/>
                      <wp:docPr id="230" name="Frame230"/>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32130" cy="175260"/>
                      <wp:effectExtent l="0" t="0" r="0" b="0"/>
                      <wp:wrapNone/>
                      <wp:docPr id="231" name="Frame231"/>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83820" cy="175260"/>
                      <wp:effectExtent l="0" t="0" r="0" b="0"/>
                      <wp:wrapNone/>
                      <wp:docPr id="232" name="Frame232"/>
                      <a:graphic xmlns:a="http://schemas.openxmlformats.org/drawingml/2006/main">
                        <a:graphicData uri="http://schemas.microsoft.com/office/word/2010/wordprocessingShape">
                          <wps:wsp>
                            <wps:cNvSpPr txBox="1"/>
                            <wps:spPr>
                              <a:xfrm>
                                <a:off x="0" y="0"/>
                                <a:ext cx="83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62560" cy="175260"/>
                      <wp:effectExtent l="0" t="0" r="0" b="0"/>
                      <wp:wrapNone/>
                      <wp:docPr id="233" name="Frame233"/>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01345" cy="175260"/>
                      <wp:effectExtent l="0" t="0" r="0" b="0"/>
                      <wp:wrapNone/>
                      <wp:docPr id="234" name="Frame234"/>
                      <a:graphic xmlns:a="http://schemas.openxmlformats.org/drawingml/2006/main">
                        <a:graphicData uri="http://schemas.microsoft.com/office/word/2010/wordprocessingShape">
                          <wps:wsp>
                            <wps:cNvSpPr txBox="1"/>
                            <wps:spPr>
                              <a:xfrm>
                                <a:off x="0" y="0"/>
                                <a:ext cx="601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w:t>
            </w:r>
          </w:p>
        </w:tc>
        <w:tc>
          <w:tcPr>
            <w:tcW w:w="109" w:type="dxa"/>
            <w:tcBorders/>
            <w:vAlign w:val="center"/>
          </w:tcPr>
          <w:p>
            <w:pPr>
              <w:pStyle w:val="TableContents"/>
              <w:bidi w:val="0"/>
              <w:spacing w:before="0" w:after="0"/>
              <w:ind w:left="0" w:right="0" w:hanging="0"/>
              <w:jc w:val="left"/>
              <w:rPr/>
            </w:pPr>
            <w:r>
              <w:rPr/>
              <w:t>​</w:t>
            </w:r>
          </w:p>
        </w:tc>
        <w:tc>
          <w:tcPr>
            <w:tcW w:w="242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w:t>
            </w:r>
          </w:p>
        </w:tc>
      </w:tr>
      <w:tr>
        <w:trPr/>
        <w:tc>
          <w:tcPr>
            <w:tcW w:w="4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71" w:type="dxa"/>
            <w:tcBorders/>
            <w:vAlign w:val="center"/>
          </w:tcPr>
          <w:p>
            <w:pPr>
              <w:pStyle w:val="TableContents"/>
              <w:bidi w:val="0"/>
              <w:spacing w:before="0" w:after="0"/>
              <w:ind w:left="0" w:right="0" w:hanging="0"/>
              <w:jc w:val="left"/>
              <w:rPr/>
            </w:pPr>
            <w:r>
              <w:rPr/>
              <w:t>​</w:t>
            </w:r>
          </w:p>
        </w:tc>
        <w:tc>
          <w:tcPr>
            <w:tcW w:w="12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0"/>
              <w:ind w:left="0" w:right="0" w:hanging="0"/>
              <w:jc w:val="left"/>
              <w:rPr/>
            </w:pPr>
            <w:r>
              <w:rPr/>
              <w:t>​</w:t>
            </w:r>
          </w:p>
        </w:tc>
        <w:tc>
          <w:tcPr>
            <w:tcW w:w="10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32" w:type="dxa"/>
            <w:tcBorders/>
            <w:vAlign w:val="center"/>
          </w:tcPr>
          <w:p>
            <w:pPr>
              <w:pStyle w:val="TableContents"/>
              <w:bidi w:val="0"/>
              <w:spacing w:before="0" w:after="0"/>
              <w:ind w:left="0" w:right="0" w:hanging="0"/>
              <w:jc w:val="left"/>
              <w:rPr/>
            </w:pPr>
            <w:r>
              <w:rPr/>
              <w:t>​</w:t>
            </w:r>
          </w:p>
        </w:tc>
        <w:tc>
          <w:tcPr>
            <w:tcW w:w="12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Expense </w:t>
            </w:r>
          </w:p>
        </w:tc>
        <w:tc>
          <w:tcPr>
            <w:tcW w:w="109"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6,006</w:t>
            </w:r>
          </w:p>
        </w:tc>
        <w:tc>
          <w:tcPr>
            <w:tcW w:w="171"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6,287</w:t>
            </w:r>
          </w:p>
        </w:tc>
        <w:tc>
          <w:tcPr>
            <w:tcW w:w="109"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12,300</w:t>
            </w:r>
          </w:p>
        </w:tc>
        <w:tc>
          <w:tcPr>
            <w:tcW w:w="132"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12,316</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to Income Properties Revenue</w:t>
            </w:r>
          </w:p>
        </w:tc>
        <w:tc>
          <w:tcPr>
            <w:tcW w:w="109" w:type="dxa"/>
            <w:tcBorders/>
            <w:vAlign w:val="center"/>
          </w:tcPr>
          <w:p>
            <w:pPr>
              <w:pStyle w:val="TableContents"/>
              <w:bidi w:val="0"/>
              <w:spacing w:before="0" w:after="0"/>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w:t>
            </w:r>
          </w:p>
        </w:tc>
        <w:tc>
          <w:tcPr>
            <w:tcW w:w="171" w:type="dxa"/>
            <w:tcBorders/>
            <w:vAlign w:val="center"/>
          </w:tcPr>
          <w:p>
            <w:pPr>
              <w:pStyle w:val="TableContents"/>
              <w:bidi w:val="0"/>
              <w:spacing w:before="0" w:after="0"/>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109"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(1,609)</w:t>
            </w:r>
          </w:p>
        </w:tc>
        <w:tc>
          <w:tcPr>
            <w:tcW w:w="132"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Amortization of Intangible Assets and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3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5,307</w:t>
            </w:r>
          </w:p>
        </w:tc>
        <w:tc>
          <w:tcPr>
            <w:tcW w:w="171" w:type="dxa"/>
            <w:tcBorders/>
            <w:shd w:fill="CCEEFF" w:val="clear"/>
            <w:vAlign w:val="center"/>
          </w:tcPr>
          <w:p>
            <w:pPr>
              <w:pStyle w:val="TableContents"/>
              <w:bidi w:val="0"/>
              <w:spacing w:before="0" w:after="0"/>
              <w:ind w:left="0" w:right="0" w:hanging="0"/>
              <w:jc w:val="left"/>
              <w:rPr/>
            </w:pPr>
            <w:r>
              <w:rPr/>
              <w:t>​</w:t>
            </w:r>
          </w:p>
        </w:tc>
        <w:tc>
          <w:tcPr>
            <w:tcW w:w="3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6,020</w:t>
            </w:r>
          </w:p>
        </w:tc>
        <w:tc>
          <w:tcPr>
            <w:tcW w:w="109"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10,691</w:t>
            </w:r>
          </w:p>
        </w:tc>
        <w:tc>
          <w:tcPr>
            <w:tcW w:w="132"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11,600</w:t>
            </w:r>
          </w:p>
        </w:tc>
      </w:tr>
    </w:tbl>
    <w:p>
      <w:pPr>
        <w:pStyle w:val="TextBody"/>
        <w:bidi w:val="0"/>
        <w:spacing w:lineRule="auto" w:line="268" w:before="0" w:after="0"/>
        <w:ind w:left="0" w:right="0" w:hanging="0"/>
        <w:jc w:val="both"/>
        <w:rPr/>
      </w:pPr>
      <w:r>
        <w:rPr/>
        <w:t> </w:t>
      </w:r>
    </w:p>
    <w:p>
      <w:pPr>
        <w:pStyle w:val="TextBody"/>
        <w:bidi w:val="0"/>
        <w:spacing w:lineRule="auto" w:line="268" w:before="0" w:after="200"/>
        <w:ind w:left="0" w:right="0" w:hanging="0"/>
        <w:jc w:val="both"/>
        <w:rPr/>
      </w:pPr>
      <w:r>
        <w:rPr/>
        <w:t>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Amortization expense and accretion to income properties revenue for the three and six months ended June 30, 2026 includes $0.1 million and $0.4 million, respectively, related to the acceleration of lease intangibles resulting from certain lease terminations during the period. For the three and six months ended June 30, 2025, amortization expense and accretion to income properties revenue included $0.6 million and $1.3 million, respectively, related to the acceleration of lease intangibles resulting from certain lease terminations during the period.</w:t>
      </w:r>
    </w:p>
    <w:p>
      <w:pPr>
        <w:pStyle w:val="TextBody"/>
        <w:bidi w:val="0"/>
        <w:spacing w:before="0" w:after="24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The estimated future amortization expense (income) related to net intangible assets and liabilities is as follows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91"/>
        <w:gridCol w:w="346"/>
        <w:gridCol w:w="378"/>
        <w:gridCol w:w="1215"/>
        <w:gridCol w:w="346"/>
        <w:gridCol w:w="371"/>
        <w:gridCol w:w="1356"/>
        <w:gridCol w:w="346"/>
        <w:gridCol w:w="499"/>
        <w:gridCol w:w="1857"/>
      </w:tblGrid>
      <w:tr>
        <w:trPr/>
        <w:tc>
          <w:tcPr>
            <w:tcW w:w="3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estimated future amortization expense (income) related to net intangible assets and liabilities is as follows (in thousands):</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1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771525" cy="175260"/>
                      <wp:effectExtent l="0" t="0" r="0" b="0"/>
                      <wp:wrapNone/>
                      <wp:docPr id="235" name="Frame235"/>
                      <a:graphic xmlns:a="http://schemas.openxmlformats.org/drawingml/2006/main">
                        <a:graphicData uri="http://schemas.microsoft.com/office/word/2010/wordprocessingShape">
                          <wps:wsp>
                            <wps:cNvSpPr txBox="1"/>
                            <wps:spPr>
                              <a:xfrm>
                                <a:off x="0" y="0"/>
                                <a:ext cx="771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6"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861060" cy="175260"/>
                      <wp:effectExtent l="0" t="0" r="0" b="0"/>
                      <wp:wrapNone/>
                      <wp:docPr id="237" name="Frame237"/>
                      <a:graphic xmlns:a="http://schemas.openxmlformats.org/drawingml/2006/main">
                        <a:graphicData uri="http://schemas.microsoft.com/office/word/2010/wordprocessingShape">
                          <wps:wsp>
                            <wps:cNvSpPr txBox="1"/>
                            <wps:spPr>
                              <a:xfrm>
                                <a:off x="0" y="0"/>
                                <a:ext cx="861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9" w:type="dxa"/>
            <w:tcBorders/>
            <w:vAlign w:val="center"/>
          </w:tcPr>
          <w:p>
            <w:pPr>
              <w:pStyle w:val="TableContents"/>
              <w:bidi w:val="0"/>
              <w:spacing w:before="0" w:after="0"/>
              <w:ind w:left="0" w:right="0" w:hanging="0"/>
              <w:jc w:val="left"/>
              <w:rPr/>
            </w:pPr>
            <w:r>
              <w:rPr/>
              <w:t>​</w:t>
            </w:r>
          </w:p>
        </w:tc>
        <w:tc>
          <w:tcPr>
            <w:tcW w:w="18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179195" cy="175260"/>
                      <wp:effectExtent l="0" t="0" r="0" b="0"/>
                      <wp:wrapNone/>
                      <wp:docPr id="239" name="Frame239"/>
                      <a:graphic xmlns:a="http://schemas.openxmlformats.org/drawingml/2006/main">
                        <a:graphicData uri="http://schemas.microsoft.com/office/word/2010/wordprocessingShape">
                          <wps:wsp>
                            <wps:cNvSpPr txBox="1"/>
                            <wps:spPr>
                              <a:xfrm>
                                <a:off x="0" y="0"/>
                                <a:ext cx="1179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June 30, 2026</w:t>
            </w:r>
          </w:p>
        </w:tc>
        <w:tc>
          <w:tcPr>
            <w:tcW w:w="346" w:type="dxa"/>
            <w:tcBorders/>
            <w:vAlign w:val="center"/>
          </w:tcPr>
          <w:p>
            <w:pPr>
              <w:pStyle w:val="TableContents"/>
              <w:bidi w:val="0"/>
              <w:spacing w:before="0" w:after="0"/>
              <w:ind w:left="0" w:right="0" w:hanging="0"/>
              <w:jc w:val="left"/>
              <w:rPr/>
            </w:pPr>
            <w:r>
              <w:rPr/>
              <w:t>  ​ ​ ​</w:t>
            </w:r>
          </w:p>
        </w:tc>
        <w:tc>
          <w:tcPr>
            <w:tcW w:w="15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Future Amortization Expense</w:t>
            </w:r>
          </w:p>
        </w:tc>
        <w:tc>
          <w:tcPr>
            <w:tcW w:w="346" w:type="dxa"/>
            <w:tcBorders/>
            <w:vAlign w:val="center"/>
          </w:tcPr>
          <w:p>
            <w:pPr>
              <w:pStyle w:val="TableContents"/>
              <w:bidi w:val="0"/>
              <w:spacing w:before="0" w:after="0"/>
              <w:ind w:left="0" w:right="0" w:hanging="0"/>
              <w:jc w:val="left"/>
              <w:rPr/>
            </w:pPr>
            <w:r>
              <w:rPr/>
              <w:t>  ​ ​ ​</w:t>
            </w:r>
          </w:p>
        </w:tc>
        <w:tc>
          <w:tcPr>
            <w:tcW w:w="17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Future Accretion to Income Property Revenue</w:t>
            </w:r>
          </w:p>
        </w:tc>
        <w:tc>
          <w:tcPr>
            <w:tcW w:w="346" w:type="dxa"/>
            <w:tcBorders/>
            <w:vAlign w:val="center"/>
          </w:tcPr>
          <w:p>
            <w:pPr>
              <w:pStyle w:val="TableContents"/>
              <w:bidi w:val="0"/>
              <w:spacing w:before="0" w:after="0"/>
              <w:ind w:left="0" w:right="0" w:hanging="0"/>
              <w:jc w:val="left"/>
              <w:rPr/>
            </w:pPr>
            <w:r>
              <w:rPr/>
              <w:t>  ​ ​ ​</w:t>
            </w:r>
          </w:p>
        </w:tc>
        <w:tc>
          <w:tcPr>
            <w:tcW w:w="23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 Future Amortization of Intangible Assets and Liabilities</w:t>
            </w:r>
          </w:p>
        </w:tc>
      </w:tr>
      <w:tr>
        <w:trPr/>
        <w:tc>
          <w:tcPr>
            <w:tcW w:w="3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10,895</w:t>
            </w:r>
          </w:p>
        </w:tc>
        <w:tc>
          <w:tcPr>
            <w:tcW w:w="34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(1,617)</w:t>
            </w:r>
          </w:p>
        </w:tc>
        <w:tc>
          <w:tcPr>
            <w:tcW w:w="346"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9,278</w:t>
            </w:r>
          </w:p>
        </w:tc>
      </w:tr>
      <w:tr>
        <w:trPr/>
        <w:tc>
          <w:tcPr>
            <w:tcW w:w="3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12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17,726</w:t>
            </w:r>
          </w:p>
        </w:tc>
        <w:tc>
          <w:tcPr>
            <w:tcW w:w="34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(2,644)</w:t>
            </w:r>
          </w:p>
        </w:tc>
        <w:tc>
          <w:tcPr>
            <w:tcW w:w="346"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left"/>
              <w:rPr/>
            </w:pPr>
            <w:r>
              <w:rPr/>
              <w:t>​</w:t>
            </w:r>
          </w:p>
        </w:tc>
        <w:tc>
          <w:tcPr>
            <w:tcW w:w="18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15,082</w:t>
            </w:r>
          </w:p>
        </w:tc>
      </w:tr>
      <w:tr>
        <w:trPr/>
        <w:tc>
          <w:tcPr>
            <w:tcW w:w="3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12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12,581</w:t>
            </w:r>
          </w:p>
        </w:tc>
        <w:tc>
          <w:tcPr>
            <w:tcW w:w="34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13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(2,556)</w:t>
            </w:r>
          </w:p>
        </w:tc>
        <w:tc>
          <w:tcPr>
            <w:tcW w:w="346"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left"/>
              <w:rPr/>
            </w:pPr>
            <w:r>
              <w:rPr/>
              <w:t>​</w:t>
            </w:r>
          </w:p>
        </w:tc>
        <w:tc>
          <w:tcPr>
            <w:tcW w:w="18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10,025</w:t>
            </w:r>
          </w:p>
        </w:tc>
      </w:tr>
      <w:tr>
        <w:trPr/>
        <w:tc>
          <w:tcPr>
            <w:tcW w:w="3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12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8,425</w:t>
            </w:r>
          </w:p>
        </w:tc>
        <w:tc>
          <w:tcPr>
            <w:tcW w:w="34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(2,490)</w:t>
            </w:r>
          </w:p>
        </w:tc>
        <w:tc>
          <w:tcPr>
            <w:tcW w:w="346"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left"/>
              <w:rPr/>
            </w:pPr>
            <w:r>
              <w:rPr/>
              <w:t>​</w:t>
            </w:r>
          </w:p>
        </w:tc>
        <w:tc>
          <w:tcPr>
            <w:tcW w:w="18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5,935</w:t>
            </w:r>
          </w:p>
        </w:tc>
      </w:tr>
      <w:tr>
        <w:trPr/>
        <w:tc>
          <w:tcPr>
            <w:tcW w:w="3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12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6,689</w:t>
            </w:r>
          </w:p>
        </w:tc>
        <w:tc>
          <w:tcPr>
            <w:tcW w:w="34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13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(2,091)</w:t>
            </w:r>
          </w:p>
        </w:tc>
        <w:tc>
          <w:tcPr>
            <w:tcW w:w="346"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left"/>
              <w:rPr/>
            </w:pPr>
            <w:r>
              <w:rPr/>
              <w:t>​</w:t>
            </w:r>
          </w:p>
        </w:tc>
        <w:tc>
          <w:tcPr>
            <w:tcW w:w="18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4,598</w:t>
            </w:r>
          </w:p>
        </w:tc>
      </w:tr>
      <w:tr>
        <w:trPr/>
        <w:tc>
          <w:tcPr>
            <w:tcW w:w="3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12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5,595</w:t>
            </w:r>
          </w:p>
        </w:tc>
        <w:tc>
          <w:tcPr>
            <w:tcW w:w="34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(2,132)</w:t>
            </w:r>
          </w:p>
        </w:tc>
        <w:tc>
          <w:tcPr>
            <w:tcW w:w="346"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left"/>
              <w:rPr/>
            </w:pPr>
            <w:r>
              <w:rPr/>
              <w:t>​</w:t>
            </w:r>
          </w:p>
        </w:tc>
        <w:tc>
          <w:tcPr>
            <w:tcW w:w="18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3,463</w:t>
            </w:r>
          </w:p>
        </w:tc>
      </w:tr>
      <w:tr>
        <w:trPr/>
        <w:tc>
          <w:tcPr>
            <w:tcW w:w="3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2032 and Thereafter</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12,853</w:t>
            </w:r>
          </w:p>
        </w:tc>
        <w:tc>
          <w:tcPr>
            <w:tcW w:w="346" w:type="dxa"/>
            <w:tcBorders/>
            <w:shd w:fill="CCEEFF" w:val="clear"/>
            <w:vAlign w:val="center"/>
          </w:tcPr>
          <w:p>
            <w:pPr>
              <w:pStyle w:val="TableContents"/>
              <w:bidi w:val="0"/>
              <w:spacing w:before="0" w:after="0"/>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(9,015)</w:t>
            </w:r>
          </w:p>
        </w:tc>
        <w:tc>
          <w:tcPr>
            <w:tcW w:w="346" w:type="dxa"/>
            <w:tcBorders/>
            <w:shd w:fill="CCEEFF" w:val="clear"/>
            <w:vAlign w:val="center"/>
          </w:tcPr>
          <w:p>
            <w:pPr>
              <w:pStyle w:val="TableContents"/>
              <w:bidi w:val="0"/>
              <w:spacing w:before="0" w:after="0"/>
              <w:ind w:left="0" w:right="0" w:hanging="0"/>
              <w:jc w:val="left"/>
              <w:rPr/>
            </w:pPr>
            <w:r>
              <w:rPr/>
              <w:t>​</w:t>
            </w:r>
          </w:p>
        </w:tc>
        <w:tc>
          <w:tcPr>
            <w:tcW w:w="4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8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3,838</w:t>
            </w:r>
          </w:p>
        </w:tc>
      </w:tr>
      <w:tr>
        <w:trPr/>
        <w:tc>
          <w:tcPr>
            <w:tcW w:w="3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3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74,764</w:t>
            </w:r>
          </w:p>
        </w:tc>
        <w:tc>
          <w:tcPr>
            <w:tcW w:w="346" w:type="dxa"/>
            <w:tcBorders/>
            <w:vAlign w:val="center"/>
          </w:tcPr>
          <w:p>
            <w:pPr>
              <w:pStyle w:val="TableContents"/>
              <w:bidi w:val="0"/>
              <w:spacing w:before="0" w:after="0"/>
              <w:ind w:left="0" w:right="0" w:hanging="0"/>
              <w:jc w:val="left"/>
              <w:rPr/>
            </w:pPr>
            <w:r>
              <w:rPr/>
              <w:t>​</w:t>
            </w:r>
          </w:p>
        </w:tc>
        <w:tc>
          <w:tcPr>
            <w:tcW w:w="3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(22,545)</w:t>
            </w:r>
          </w:p>
        </w:tc>
        <w:tc>
          <w:tcPr>
            <w:tcW w:w="346" w:type="dxa"/>
            <w:tcBorders/>
            <w:vAlign w:val="center"/>
          </w:tcPr>
          <w:p>
            <w:pPr>
              <w:pStyle w:val="TableContents"/>
              <w:bidi w:val="0"/>
              <w:spacing w:before="0" w:after="0"/>
              <w:ind w:left="0" w:right="0" w:hanging="0"/>
              <w:jc w:val="left"/>
              <w:rPr/>
            </w:pPr>
            <w:r>
              <w:rPr/>
              <w:t>​</w:t>
            </w:r>
          </w:p>
        </w:tc>
        <w:tc>
          <w:tcPr>
            <w:tcW w:w="4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5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52,219</w:t>
            </w:r>
          </w:p>
        </w:tc>
      </w:tr>
    </w:tbl>
    <w:p>
      <w:pPr>
        <w:pStyle w:val="TextBody"/>
        <w:bidi w:val="0"/>
        <w:spacing w:before="0" w:after="0"/>
        <w:ind w:left="0" w:right="0" w:hanging="0"/>
        <w:jc w:val="both"/>
        <w:rPr/>
      </w:pPr>
      <w:r>
        <w:rPr/>
        <w:t> </w:t>
      </w:r>
    </w:p>
    <w:p>
      <w:pPr>
        <w:pStyle w:val="TextBody"/>
        <w:bidi w:val="0"/>
        <w:spacing w:before="0" w:after="200"/>
        <w:ind w:left="0" w:right="0" w:hanging="0"/>
        <w:jc w:val="both"/>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As of June 30, 2026, the weighted average amortization period of total intangible assets and liabilities was 7.8 years and 9.9 years, respectively.</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9. PROVISION FOR IMPAIRMENT AND ADJUSTMENT TO CECL RESERVE</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Income Properties.</w:t>
      </w:r>
      <w:r>
        <w:rPr>
          <w:rFonts w:ascii="Times New Roman;Times;serif" w:hAnsi="Times New Roman;Times;serif"/>
          <w:sz w:val="20"/>
        </w:rPr>
        <w:t xml:space="preserve"> There were no impairment charges on the Company’s income property portfolio during the six months ended June 30, 2026 or 2025.</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Commercial Loans and Investments.</w:t>
      </w:r>
      <w:r>
        <w:rPr>
          <w:rFonts w:ascii="Times New Roman;Times;serif" w:hAnsi="Times New Roman;Times;serif"/>
          <w:sz w:val="20"/>
        </w:rPr>
        <w:t xml:space="preserve"> During the three and six months ended June 30, 2026, the Company recorded an impairment charge of $1.1 million and $0.8 million, respectively, related to its commercial loans and investments. No CECL impairment was recognized during the six months ended June 30, 2025.</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413" w:name="Tc_J8un65jxfk-OqrQzguakdQ_11_5"/>
      <w:bookmarkStart w:id="1414" w:name="Tc_A1y4l7NnWECfc586cZr1iw_11_2"/>
      <w:bookmarkStart w:id="1415" w:name="Tc_rSo2Z0yCaEuk-m94WWiYqg_11_0"/>
      <w:bookmarkStart w:id="1416" w:name="Tc_YEiAeSxU30aLJEAoqF5Ylg_10_0"/>
      <w:bookmarkStart w:id="1417" w:name="Tc_EuPgmi9wnUCx-BHBsL9tUg_9_0"/>
      <w:bookmarkStart w:id="1418" w:name="Tc_yGV2wtGbV0OKZuqceUSoAg_8_0"/>
      <w:bookmarkStart w:id="1419" w:name="Tc_bbyWZV-6QUO7-JiitcYE3Q_7_0"/>
      <w:bookmarkStart w:id="1420" w:name="Tc_EiSEy7Fy2U6YTK36VnNKQg_5_0"/>
      <w:bookmarkStart w:id="1421" w:name="Tc_NOKqqozgBUan3uqUR49gnA_4_0"/>
      <w:bookmarkStart w:id="1422" w:name="Tc_T8dmbKURJkOiIQA5hdImxA_3_5"/>
      <w:bookmarkStart w:id="1423" w:name="Tc_u152fjrxsUa0DvSc-gngWA_3_2"/>
      <w:bookmarkStart w:id="1424" w:name="Tc_ZVw7nwQM2E-rHYi6XBCgsg_3_0"/>
      <w:bookmarkStart w:id="1425" w:name="Tc_fZhELrIab0qOsTU6Eb3y-A_2_5"/>
      <w:bookmarkStart w:id="1426" w:name="Tc_BtD-JCzeNU-M_Un_b72BeQ_2_2"/>
      <w:bookmarkStart w:id="1427" w:name="Tc_Fc_K50kXq0y22pkWHUqi0w_1_2"/>
      <w:bookmarkStart w:id="1428" w:name="_7a71d79e_4205_47ce_9f7e_5778ccc0af5c"/>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r>
        <w:rPr>
          <w:rFonts w:ascii="Times New Roman;Times;serif" w:hAnsi="Times New Roman;Times;serif"/>
          <w:b/>
          <w:sz w:val="20"/>
        </w:rPr>
        <w:t>NOTE 10. OTHER ASSETS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Other assets consisted of the following as of June 30, 2026 and December 31, 2025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496"/>
        <w:gridCol w:w="346"/>
        <w:gridCol w:w="299"/>
        <w:gridCol w:w="962"/>
        <w:gridCol w:w="346"/>
        <w:gridCol w:w="371"/>
        <w:gridCol w:w="1385"/>
      </w:tblGrid>
      <w:tr>
        <w:trPr/>
        <w:tc>
          <w:tcPr>
            <w:tcW w:w="6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124960" cy="175260"/>
                      <wp:effectExtent l="0" t="0" r="0" b="0"/>
                      <wp:wrapNone/>
                      <wp:docPr id="240" name="Frame240"/>
                      <a:graphic xmlns:a="http://schemas.openxmlformats.org/drawingml/2006/main">
                        <a:graphicData uri="http://schemas.microsoft.com/office/word/2010/wordprocessingShape">
                          <wps:wsp>
                            <wps:cNvSpPr txBox="1"/>
                            <wps:spPr>
                              <a:xfrm>
                                <a:off x="0" y="0"/>
                                <a:ext cx="412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89865" cy="175260"/>
                      <wp:effectExtent l="0" t="0" r="0" b="0"/>
                      <wp:wrapNone/>
                      <wp:docPr id="242" name="Frame242"/>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10870" cy="175260"/>
                      <wp:effectExtent l="0" t="0" r="0" b="0"/>
                      <wp:wrapNone/>
                      <wp:docPr id="243" name="Frame243"/>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35585" cy="175260"/>
                      <wp:effectExtent l="0" t="0" r="0" b="0"/>
                      <wp:wrapNone/>
                      <wp:docPr id="245" name="Frame245"/>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879475" cy="175260"/>
                      <wp:effectExtent l="0" t="0" r="0" b="0"/>
                      <wp:wrapNone/>
                      <wp:docPr id="246" name="Frame246"/>
                      <a:graphic xmlns:a="http://schemas.openxmlformats.org/drawingml/2006/main">
                        <a:graphicData uri="http://schemas.microsoft.com/office/word/2010/wordprocessingShape">
                          <wps:wsp>
                            <wps:cNvSpPr txBox="1"/>
                            <wps:spPr>
                              <a:xfrm>
                                <a:off x="0" y="0"/>
                                <a:ext cx="879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3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6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346" w:type="dxa"/>
            <w:tcBorders/>
            <w:vAlign w:val="center"/>
          </w:tcPr>
          <w:p>
            <w:pPr>
              <w:pStyle w:val="TableContents"/>
              <w:bidi w:val="0"/>
              <w:spacing w:before="0" w:after="0"/>
              <w:ind w:left="0" w:right="0" w:hanging="0"/>
              <w:jc w:val="left"/>
              <w:rPr/>
            </w:pPr>
            <w:r>
              <w:rPr/>
              <w:t>  ​ ​ ​</w:t>
            </w:r>
          </w:p>
        </w:tc>
        <w:tc>
          <w:tcPr>
            <w:tcW w:w="17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64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Property Tenant Receivables, Net of Allowance for Doubtful Accounts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4,032</w:t>
            </w:r>
          </w:p>
        </w:tc>
        <w:tc>
          <w:tcPr>
            <w:tcW w:w="34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3,936</w:t>
            </w:r>
          </w:p>
        </w:tc>
      </w:tr>
      <w:tr>
        <w:trPr/>
        <w:tc>
          <w:tcPr>
            <w:tcW w:w="6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Property Straight-line Rent Adjustment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8,934</w:t>
            </w:r>
          </w:p>
        </w:tc>
        <w:tc>
          <w:tcPr>
            <w:tcW w:w="34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13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8,889</w:t>
            </w:r>
          </w:p>
        </w:tc>
      </w:tr>
      <w:tr>
        <w:trPr/>
        <w:tc>
          <w:tcPr>
            <w:tcW w:w="6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Property Leasing Commissions and Costs, Net</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10,050</w:t>
            </w:r>
          </w:p>
        </w:tc>
        <w:tc>
          <w:tcPr>
            <w:tcW w:w="34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9,303</w:t>
            </w:r>
          </w:p>
        </w:tc>
      </w:tr>
      <w:tr>
        <w:trPr/>
        <w:tc>
          <w:tcPr>
            <w:tcW w:w="649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 - Right-of-Use Asset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4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13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r>
      <w:tr>
        <w:trPr/>
        <w:tc>
          <w:tcPr>
            <w:tcW w:w="6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 Hedge - Interest Rate Swap</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6,071</w:t>
            </w:r>
          </w:p>
        </w:tc>
        <w:tc>
          <w:tcPr>
            <w:tcW w:w="34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2,999</w:t>
            </w:r>
          </w:p>
        </w:tc>
      </w:tr>
      <w:tr>
        <w:trPr/>
        <w:tc>
          <w:tcPr>
            <w:tcW w:w="6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Deposits, and Other</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18,500</w:t>
            </w:r>
          </w:p>
        </w:tc>
        <w:tc>
          <w:tcPr>
            <w:tcW w:w="34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13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7,770</w:t>
            </w:r>
          </w:p>
        </w:tc>
      </w:tr>
      <w:tr>
        <w:trPr/>
        <w:tc>
          <w:tcPr>
            <w:tcW w:w="6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from Alpine Income Property Trust, Inc.</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1,834</w:t>
            </w:r>
          </w:p>
        </w:tc>
        <w:tc>
          <w:tcPr>
            <w:tcW w:w="34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2,379</w:t>
            </w:r>
          </w:p>
        </w:tc>
      </w:tr>
      <w:tr>
        <w:trPr/>
        <w:tc>
          <w:tcPr>
            <w:tcW w:w="6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Financing Costs, Net of Accumulated Amortization </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346" w:type="dxa"/>
            <w:tcBorders/>
            <w:vAlign w:val="center"/>
          </w:tcPr>
          <w:p>
            <w:pPr>
              <w:pStyle w:val="TableContents"/>
              <w:bidi w:val="0"/>
              <w:spacing w:before="0" w:after="0"/>
              <w:ind w:left="0" w:right="0" w:hanging="0"/>
              <w:jc w:val="left"/>
              <w:rPr/>
            </w:pPr>
            <w:r>
              <w:rPr/>
              <w:t>​</w:t>
            </w:r>
          </w:p>
        </w:tc>
        <w:tc>
          <w:tcPr>
            <w:tcW w:w="3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w:t>
            </w:r>
          </w:p>
        </w:tc>
      </w:tr>
      <w:tr>
        <w:trPr/>
        <w:tc>
          <w:tcPr>
            <w:tcW w:w="6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49,997</w:t>
            </w:r>
          </w:p>
        </w:tc>
        <w:tc>
          <w:tcPr>
            <w:tcW w:w="346" w:type="dxa"/>
            <w:tcBorders/>
            <w:shd w:fill="CCEEFF" w:val="clear"/>
            <w:vAlign w:val="center"/>
          </w:tcPr>
          <w:p>
            <w:pPr>
              <w:pStyle w:val="TableContents"/>
              <w:bidi w:val="0"/>
              <w:spacing w:before="0" w:after="0"/>
              <w:ind w:left="0" w:right="0" w:hanging="0"/>
              <w:jc w:val="left"/>
              <w:rPr/>
            </w:pPr>
            <w:r>
              <w:rPr/>
              <w:t>​</w:t>
            </w:r>
          </w:p>
        </w:tc>
        <w:tc>
          <w:tcPr>
            <w:tcW w:w="3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36,207</w:t>
            </w:r>
          </w:p>
        </w:tc>
      </w:tr>
    </w:tbl>
    <w:tbl>
      <w:tblPr>
        <w:tblW w:w="9212" w:type="dxa"/>
        <w:jc w:val="left"/>
        <w:tblInd w:w="0" w:type="dxa"/>
        <w:tblLayout w:type="fixed"/>
        <w:tblCellMar>
          <w:top w:w="0" w:type="dxa"/>
          <w:left w:w="0" w:type="dxa"/>
          <w:bottom w:w="0" w:type="dxa"/>
          <w:right w:w="0" w:type="dxa"/>
        </w:tblCellMar>
      </w:tblPr>
      <w:tblGrid>
        <w:gridCol w:w="286"/>
        <w:gridCol w:w="8926"/>
      </w:tblGrid>
      <w:tr>
        <w:trPr/>
        <w:tc>
          <w:tcPr>
            <w:tcW w:w="286" w:type="dxa"/>
            <w:tcBorders/>
            <w:vAlign w:val="center"/>
          </w:tcPr>
          <w:p>
            <w:pPr>
              <w:pStyle w:val="TableContents"/>
              <w:bidi w:val="0"/>
              <w:spacing w:lineRule="auto" w:line="240" w:before="0" w:after="0"/>
              <w:jc w:val="both"/>
              <w:rPr>
                <w:rFonts w:ascii="Times New Roman;Times;serif" w:hAnsi="Times New Roman;Times;serif"/>
                <w:sz w:val="14"/>
              </w:rPr>
            </w:pPr>
            <w:r>
              <w:rPr>
                <w:rFonts w:ascii="Times New Roman;Times;serif" w:hAnsi="Times New Roman;Times;serif"/>
                <w:sz w:val="14"/>
              </w:rPr>
              <w:t>(1)</w:t>
            </w:r>
          </w:p>
        </w:tc>
        <w:tc>
          <w:tcPr>
            <w:tcW w:w="89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6"/>
              </w:rPr>
              <w:t>Allowance for doubtful accounts was $3.3</w:t>
            </w:r>
            <w:r>
              <w:rPr>
                <w:rFonts w:ascii="Times New Roman;Times;serif" w:hAnsi="Times New Roman;Times;serif"/>
                <w:sz w:val="20"/>
              </w:rPr>
              <w:t xml:space="preserve"> </w:t>
            </w:r>
            <w:r>
              <w:rPr>
                <w:rFonts w:ascii="Times New Roman;Times;serif" w:hAnsi="Times New Roman;Times;serif"/>
                <w:sz w:val="16"/>
              </w:rPr>
              <w:t>million and $2.6</w:t>
            </w:r>
            <w:r>
              <w:rPr>
                <w:rFonts w:ascii="Times New Roman;Times;serif" w:hAnsi="Times New Roman;Times;serif"/>
                <w:sz w:val="20"/>
              </w:rPr>
              <w:t xml:space="preserve"> </w:t>
            </w:r>
            <w:r>
              <w:rPr>
                <w:rFonts w:ascii="Times New Roman;Times;serif" w:hAnsi="Times New Roman;Times;serif"/>
                <w:sz w:val="16"/>
              </w:rPr>
              <w:t>million as of June 30, 2026 and December 31, 2025, respectively.</w:t>
            </w:r>
          </w:p>
        </w:tc>
      </w:tr>
    </w:tbl>
    <w:p>
      <w:pPr>
        <w:pStyle w:val="TextBody"/>
        <w:pBdr/>
        <w:bidi w:val="0"/>
        <w:spacing w:before="0" w:after="0"/>
        <w:ind w:left="0" w:right="0" w:hanging="360"/>
        <w:jc w:val="both"/>
        <w:rPr/>
      </w:pPr>
      <w:r>
        <w:rPr/>
        <w:t> </w:t>
      </w:r>
    </w:p>
    <w:p>
      <w:pPr>
        <w:pStyle w:val="TextBody"/>
        <w:pBdr/>
        <w:bidi w:val="0"/>
        <w:spacing w:before="0" w:after="0"/>
        <w:ind w:left="0" w:right="0" w:hanging="360"/>
        <w:jc w:val="both"/>
        <w:rPr/>
      </w:pPr>
      <w:r>
        <w:rPr/>
        <w:t> </w:t>
      </w:r>
    </w:p>
    <w:p>
      <w:pPr>
        <w:pStyle w:val="TextBody"/>
        <w:pBdr/>
        <w:bidi w:val="0"/>
        <w:spacing w:before="0" w:after="0"/>
        <w:ind w:left="0" w:right="0" w:hanging="360"/>
        <w:jc w:val="both"/>
        <w:rPr/>
      </w:pPr>
      <w:r>
        <w:rPr/>
        <w:t> </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11. EQUITY</w:t>
      </w:r>
    </w:p>
    <w:p>
      <w:pPr>
        <w:pStyle w:val="TextBody"/>
        <w:pBdr/>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SHELF REGISTRATION</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October 11, 2022, the Company filed a shelf registration statement on Form S-3, relating to the registration and potential issuance of its common stock, preferred stock, debt securities, warrants, rights, and units with a maximum aggregate offering price of up to $500.0 million (the “2022 Registration Statement”). The Securities and Exchange Commission declared the 2022 Registration Statement effective on October 26, 2022.</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October 16, 2024, the Company filed a new shelf registration statement on Form S-3, relating to the registration and potential issuance of its common stock, preferred stock, debt securities, warrants, rights, and units with a maximum aggregate offering price of up to $500.0 million (the “2024 Registration Statement”). The Securities and Exchange Commission declared the 2024 Registration Statement effective on November 12, 2024. The 2022 Registration Statement was terminated concurrently with the effectiveness of the 2024 Registration Statement.</w:t>
      </w:r>
    </w:p>
    <w:p>
      <w:pPr>
        <w:pStyle w:val="TextBody"/>
        <w:pBdr/>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EQUITY OFFERING</w:t>
      </w:r>
    </w:p>
    <w:p>
      <w:pPr>
        <w:pStyle w:val="TextBody"/>
        <w:shd w:fill="FFFFFF" w:val="clear"/>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On December 5, 2022, the Company completed a follow-on public offering of 3,450,000 shares of common stock, which included the full exercise of the underwriters’ option to purchase an additional 450,000 shares of common stock. Upon closing, the Company issued 3,450,000 shares and received net proceeds of $62.4 million, after deducting the underwriting discount and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ATM PROGRAM</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On April 30, 2021, the Company implemented a $150.0 million “at-the-market” equity offering program (the “2021 ATM Program”) pursuant to which the Company sold shares of the Company’s common stock. During the year ended December 31, 2022, the Company sold 961,261 shares under the 2021 ATM Program for gross proceeds of $21.1 million at a weighted average price of $21.99 per share, generating net proceeds of $20.8 million after deducting transaction fees totaling less than $0.3 million. The 2021 ATM Program was terminated in connection with the establishment of the 2022 ATM Program, hereinafter defined.</w:t>
      </w:r>
    </w:p>
    <w:p>
      <w:pPr>
        <w:pStyle w:val="TextBody"/>
        <w:pBd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October 28, 2022, the Company implemented a $150.0 million “at-the-market” equity offering program (the “2022 ATM Program”) pursuant to which the Company sold shares of the Company’s common stock. During the year ended December 31, 2022, the Company sold 604,765 shares under the 2022 ATM Program for gross proceeds of $12.3 million at a weighted average price of $20.29 per share, generating net proceeds of $12.1 million after deducting transaction fees totaling $0.2 million.</w:t>
      </w:r>
    </w:p>
    <w:p>
      <w:pPr>
        <w:pStyle w:val="TextBody"/>
        <w:shd w:fill="FFFFFF" w:val="clear"/>
        <w:bidi w:val="0"/>
        <w:spacing w:lineRule="auto" w:line="283" w:before="0" w:after="240"/>
        <w:ind w:left="0" w:right="0" w:firstLine="490"/>
        <w:jc w:val="both"/>
        <w:rPr>
          <w:rFonts w:ascii="Times New Roman;Times;serif" w:hAnsi="Times New Roman;Times;serif"/>
          <w:sz w:val="20"/>
        </w:rPr>
      </w:pPr>
      <w:r>
        <w:rPr>
          <w:rFonts w:ascii="Times New Roman;Times;serif" w:hAnsi="Times New Roman;Times;serif"/>
          <w:sz w:val="20"/>
        </w:rPr>
        <w:t>In the aggregate, under the 2021 ATM Program and 2022 ATM Program, during the year ended December 31, 2022, the Company sold 1,566,026 shares for gross proceeds of $33.4 million at a weighted average price of $21.33 per share, generating net proceeds of $32.9 million after deducting transaction fees totaling $0.5 million. The Company was not active under the 2022 ATM Program during the year ended December 31, 2023. During the year ended December 31, 2024, the Company sold 7,226,192 shares under the 2022 ATM Program for gross proceeds of $134.2 million at a weighted average price of $18.58 per share, generating net proceeds of $132.2 million after deducting transaction fees of $2.0 million. The 2022 ATM Program was terminated in connection with the establishment of the 2024 ATM Program, hereinafter defined.</w:t>
      </w:r>
    </w:p>
    <w:p>
      <w:pPr>
        <w:pStyle w:val="TextBody"/>
        <w:bidi w:val="0"/>
        <w:spacing w:lineRule="auto" w:line="283" w:before="0" w:after="240"/>
        <w:ind w:left="0" w:right="0" w:firstLine="490"/>
        <w:jc w:val="both"/>
        <w:rPr>
          <w:rFonts w:ascii="Times New Roman;Times;serif" w:hAnsi="Times New Roman;Times;serif"/>
          <w:sz w:val="20"/>
        </w:rPr>
      </w:pPr>
      <w:r>
        <w:rPr>
          <w:rFonts w:ascii="Times New Roman;Times;serif" w:hAnsi="Times New Roman;Times;serif"/>
          <w:sz w:val="20"/>
        </w:rPr>
        <w:t>On November 12, 2024, the Company implemented a $250.0 million “at-the-market” equity offering program (the “2024 ATM Program”) pursuant to which the Company may sell, from time to time, shares of the Company’s common stock. During the year ended December 31, 2024, the Company sold 1,696,601 shares under the 2024 ATM Program for gross proceeds of $33.5 million at a weighted average price of $19.77 per share, generating net proceeds of $33.0 million after deducting transaction fees of $0.5 million. The Company was not active under the 2024 ATM Program during the year ended December 31, 2025. During the six months ended June 30, 2026, the Company sold 4,917,499 shares under the 2024 ATM Program for gross proceeds of $99.2 million at a weighted average price of $20.18 per share, generating net proceeds of $97.8 million after deducting transaction fees of $1.4 million. As of June 30, 2026, $117.2 million of availability remained under the 2024 ATM Program.</w:t>
      </w:r>
    </w:p>
    <w:p>
      <w:pPr>
        <w:pStyle w:val="TextBody"/>
        <w:bidi w:val="0"/>
        <w:spacing w:lineRule="auto" w:line="283" w:before="0" w:after="240"/>
        <w:ind w:left="0" w:right="0" w:hanging="0"/>
        <w:jc w:val="both"/>
        <w:rPr>
          <w:rFonts w:ascii="Times New Roman;Times;serif" w:hAnsi="Times New Roman;Times;serif"/>
          <w:i/>
          <w:sz w:val="20"/>
        </w:rPr>
      </w:pPr>
      <w:r>
        <w:rPr>
          <w:rFonts w:ascii="Times New Roman;Times;serif" w:hAnsi="Times New Roman;Times;serif"/>
          <w:i/>
          <w:sz w:val="20"/>
        </w:rPr>
        <w:t>PREFERRED STOCK</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On June 28, 2021, the Company priced a public offering of 3,000,000 shares of its 6.375% Series A Cumulative Redeemable Preferred Stock (the “Series A Preferred Stock”) at a public offering price of $25.00 per share. The offering closed on July 6, 2021 and generated total net proceeds to the Company of $72.4 million, after deducting the underwriting discount and expenses.</w:t>
      </w:r>
    </w:p>
    <w:p>
      <w:pPr>
        <w:pStyle w:val="TextBody"/>
        <w:bidi w:val="0"/>
        <w:spacing w:lineRule="auto" w:line="283"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On April 4, 2024, </w:t>
      </w:r>
      <w:r>
        <w:rPr>
          <w:rFonts w:ascii="Times New Roman;Times;serif" w:hAnsi="Times New Roman;Times;serif"/>
          <w:sz w:val="20"/>
          <w:shd w:fill="FFFFFF" w:val="clear"/>
        </w:rPr>
        <w:t xml:space="preserve">the Company </w:t>
      </w:r>
      <w:r>
        <w:rPr>
          <w:rFonts w:ascii="Times New Roman;Times;serif" w:hAnsi="Times New Roman;Times;serif"/>
          <w:sz w:val="20"/>
        </w:rPr>
        <w:t>priced a public</w:t>
      </w:r>
      <w:r>
        <w:rPr>
          <w:rFonts w:ascii="Times New Roman;Times;serif" w:hAnsi="Times New Roman;Times;serif"/>
          <w:sz w:val="20"/>
          <w:shd w:fill="FFFFFF" w:val="clear"/>
        </w:rPr>
        <w:t xml:space="preserve"> offering of 1,500,000 additional shares of the Series A Preferred Stock, liquidation preference $25.00 per share, at a public offering price of $20.00 per share. The Company also granted the underwriters a 30-day option to purchase up to an additional 225,000 shares of the Series A Preferred Stock to cover over-allotments, which the underwriters exercised with respect to 218,417 shares on April 9, 2024. Upon closing on April 11, 2024, 1,718,417 shares of the Series A Preferred Stock (including the 218,417 shares of Series A Preferred Stock issued pursuant to the underwriters’ option) were issued generating net proceeds of $33.1 million, after deducting the underwriting discount and offering expenses payable by the Company</w:t>
      </w:r>
      <w:r>
        <w:rPr>
          <w:rFonts w:ascii="Times New Roman;Times;serif" w:hAnsi="Times New Roman;Times;serif"/>
          <w:sz w:val="20"/>
        </w:rPr>
        <w:t>.</w:t>
      </w:r>
    </w:p>
    <w:p>
      <w:pPr>
        <w:pStyle w:val="TextBody"/>
        <w:bidi w:val="0"/>
        <w:spacing w:lineRule="auto" w:line="283" w:before="0" w:after="0"/>
        <w:ind w:left="0" w:right="0" w:firstLine="490"/>
        <w:jc w:val="both"/>
        <w:rPr>
          <w:rFonts w:ascii="Times New Roman;Times;serif" w:hAnsi="Times New Roman;Times;serif"/>
          <w:sz w:val="20"/>
        </w:rPr>
      </w:pPr>
      <w:r>
        <w:rPr>
          <w:rFonts w:ascii="Times New Roman;Times;serif" w:hAnsi="Times New Roman;Times;serif"/>
          <w:sz w:val="20"/>
        </w:rPr>
        <w:t>On August 23, 2024, the Company implemented a $24.5 million “at-the-market” preferred stock equity offering program (the “August 2024 Preferred Stock ATM Program”) pursuant to which the Company may sell, from time to time, shares of the</w:t>
      </w:r>
      <w:r>
        <w:rPr>
          <w:rFonts w:ascii="Times New Roman;Times;serif" w:hAnsi="Times New Roman;Times;serif"/>
          <w:color w:val="212529"/>
          <w:sz w:val="20"/>
          <w:shd w:fill="FFFFFF" w:val="clear"/>
        </w:rPr>
        <w:t xml:space="preserve"> Series A Preferred Stock</w:t>
      </w:r>
      <w:r>
        <w:rPr>
          <w:rFonts w:ascii="Times New Roman;Times;serif" w:hAnsi="Times New Roman;Times;serif"/>
          <w:sz w:val="20"/>
        </w:rPr>
        <w:t xml:space="preserve">. During the year ended December 31, 2024, the Company sold 15,844 shares under the August 2024 Preferred Stock ATM Program generating net proceeds of $0.4 million at a weighted average price of $23.22 per share after deducting transaction fees of less than $0.1 million. The August 2024 Preferred Stock ATM Program was terminated in connection with the establishment of the November 2024 Preferred Stock ATM Program, hereinafter defined. On November 12, 2024, the Company implemented a $25.0 million “at-the-market” preferred stock equity offering program (the “November 2024 Preferred Stock ATM Program”) pursuant to which the Company may sell, from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3" w:before="0" w:after="240"/>
        <w:ind w:left="0" w:right="0" w:hanging="0"/>
        <w:jc w:val="both"/>
        <w:rPr>
          <w:rFonts w:ascii="Times New Roman;Times;serif" w:hAnsi="Times New Roman;Times;serif"/>
          <w:sz w:val="20"/>
        </w:rPr>
      </w:pPr>
      <w:bookmarkStart w:id="1429" w:name="Tc_gMx-BI9yoUC_YhYtnBBLsw_9_11"/>
      <w:bookmarkStart w:id="1430" w:name="Tc_tdyjILMAAkK_nGY4p9KFJQ_9_8"/>
      <w:bookmarkStart w:id="1431" w:name="Tc_A1wi2gr6jkCaj4Rq6M0YzA_9_5"/>
      <w:bookmarkStart w:id="1432" w:name="Tc_ItFqrpReWEKCHILrqEKfxg_9_2"/>
      <w:bookmarkStart w:id="1433" w:name="Tc_TIcIU_5Lk0WwKZ7BeuB1IA_9_0"/>
      <w:bookmarkStart w:id="1434" w:name="Tc_QL3rX2J130-asJfrdrtkVw_8_11"/>
      <w:bookmarkStart w:id="1435" w:name="Tc_UBdXxgnRk0mTQyPgu5uhKQ_8_8"/>
      <w:bookmarkStart w:id="1436" w:name="Tc_VKUVNK8z5USLHEx2Gjpgsg_8_5"/>
      <w:bookmarkStart w:id="1437" w:name="Tc_AWOyOuy-_Eq7XMbhEdS8yw_8_2"/>
      <w:bookmarkStart w:id="1438" w:name="Tc_VXnEEgSuBUazWHE2tvm6rA_8_0"/>
      <w:bookmarkStart w:id="1439" w:name="Tc_9VI4LIVQ9UGDWDlV0sPrpQ_7_0"/>
      <w:bookmarkStart w:id="1440" w:name="Tc_HwQkNziMQk2_v4qLEDvuJA_5_11"/>
      <w:bookmarkStart w:id="1441" w:name="Tc_Cp0f9JHuakGduGodThF8ng_5_8"/>
      <w:bookmarkStart w:id="1442" w:name="Tc_uDxWZyHXHkqnd0F5y6vLuA_5_5"/>
      <w:bookmarkStart w:id="1443" w:name="Tc_z-lcK3F2vUSf76nt7trD1w_5_2"/>
      <w:bookmarkStart w:id="1444" w:name="Tc_Q2LPYudWiE2uwAbZ6bO1ew_5_0"/>
      <w:bookmarkStart w:id="1445" w:name="Tc_WfCzfsU1YUq_gfnZ6UbANA_4_11"/>
      <w:bookmarkStart w:id="1446" w:name="Tc_tRXU3tFOR0iZ1I-afhy0NQ_4_8"/>
      <w:bookmarkStart w:id="1447" w:name="Tc_taGNecvvT02VD3OGFCRqtw_4_5"/>
      <w:bookmarkStart w:id="1448" w:name="Tc_vimuA5JmHEqS9rgbNRdS_g_4_2"/>
      <w:bookmarkStart w:id="1449" w:name="Tc_TjoJ2kIfh0Sah2XoKEVtKA_4_0"/>
      <w:bookmarkStart w:id="1450" w:name="Tc_ioDVu2f5sEqxmuH_qQBjkw_3_0"/>
      <w:bookmarkStart w:id="1451" w:name="Tc_cnZ8uSysrkSoFfGU3-E7LA_2_11"/>
      <w:bookmarkStart w:id="1452" w:name="Tc_9BXHhuk4vkOnS0rK-W6E7Q_2_8"/>
      <w:bookmarkStart w:id="1453" w:name="Tc_JrXCY9zZV0isyyrjYK7Ycg_2_5"/>
      <w:bookmarkStart w:id="1454" w:name="Tc_MxGQKnsvykOwrBMC3Kn9xw_2_2"/>
      <w:bookmarkStart w:id="1455" w:name="Tc_juxOG0Be6kmwjVSiyUvtJA_1_8"/>
      <w:bookmarkStart w:id="1456" w:name="Tc_iJ-5JK6EakqfLuGHZYWZ9A_1_2"/>
      <w:bookmarkStart w:id="1457" w:name="_b5591f53_c79a_49ec_8bd0_03ff7382d3e8"/>
      <w:bookmarkStart w:id="1458" w:name="_50f51def_acb5_4696_aa7f_e5bcfbf43e8a"/>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r>
        <w:rPr>
          <w:rFonts w:ascii="Times New Roman;Times;serif" w:hAnsi="Times New Roman;Times;serif"/>
          <w:sz w:val="20"/>
        </w:rPr>
        <w:t>time to time, shares of the Series A Preferred Stock. The Company was not active under the November 2024 Preferred Stock ATM Program during the six months ended June 30, 2026. As of June 30, 2026, $25.0 million of availability remained under the November 2024 Preferred Stock ATM Program.</w:t>
      </w:r>
    </w:p>
    <w:p>
      <w:pPr>
        <w:pStyle w:val="TextBody"/>
        <w:bidi w:val="0"/>
        <w:spacing w:lineRule="auto" w:line="283" w:before="0" w:after="240"/>
        <w:ind w:left="0" w:right="0" w:firstLine="490"/>
        <w:jc w:val="both"/>
        <w:rPr>
          <w:rFonts w:ascii="Times New Roman;Times;serif" w:hAnsi="Times New Roman;Times;serif"/>
          <w:sz w:val="20"/>
        </w:rPr>
      </w:pPr>
      <w:r>
        <w:rPr>
          <w:rFonts w:ascii="Times New Roman;Times;serif" w:hAnsi="Times New Roman;Times;serif"/>
          <w:sz w:val="20"/>
        </w:rPr>
        <w:t>The Series A Preferred Stock ranks senior to the Company’s common stock with respect to dividend rights and rights upon liquidation, dissolution or winding up of the Company. The Series A Preferred Stock has no maturity date and will remain outstanding unless redeemed.</w:t>
      </w:r>
    </w:p>
    <w:p>
      <w:pPr>
        <w:pStyle w:val="TextBody"/>
        <w:bidi w:val="0"/>
        <w:spacing w:lineRule="auto" w:line="283" w:before="0" w:after="240"/>
        <w:ind w:left="0" w:right="0" w:firstLine="490"/>
        <w:jc w:val="both"/>
        <w:rPr>
          <w:rFonts w:ascii="Times New Roman;Times;serif" w:hAnsi="Times New Roman;Times;serif"/>
          <w:sz w:val="20"/>
        </w:rPr>
      </w:pPr>
      <w:r>
        <w:rPr>
          <w:rFonts w:ascii="Times New Roman;Times;serif" w:hAnsi="Times New Roman;Times;serif"/>
          <w:sz w:val="20"/>
        </w:rPr>
        <w:t>The Series A Preferred Stock is not redeemable by the Company prior to July 6, 2026 except under limited circumstances intended to preserve the Company’s qualification as a REIT for U.S. federal income tax purposes or upon the occurrence of a change of control, as defined in the Articles Supplementary designating the Series A Preferred Stock (the “Articles Supplementary”). Upon such change in control, the Company may redeem, at its election, the Series A Preferred Stock at a redemption price of $25.00 per share plus any accumulated and unpaid dividends up to, but excluding the date of redemption, and in limited circumstances, the holders of the Series A Preferred Stock may convert some or all of their Series A Preferred Stock into shares of the Company’s common stock at conversion rates set forth in the Articles Supplementary.</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See Note 13, “Share Repurchases” for the Company’s Series A Preferred Stock repurchase activity.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DIVIDENDS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Company elected to be taxed as a REIT for U.S. federal income tax purposes under the Code commencing with its taxable year ended December 31, 2020. In order to maintain its qualification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following table outlines dividends declared and paid for the Series A Preferred Stock and the Company’s common stock during the three and six months ended June 30, 2026 and 2025 (in thousands, except per share data):</w:t>
      </w:r>
    </w:p>
    <w:p>
      <w:pPr>
        <w:pStyle w:val="TextBody"/>
        <w:bidi w:val="0"/>
        <w:spacing w:before="0" w:after="0"/>
        <w:ind w:left="0" w:right="0" w:hanging="0"/>
        <w:jc w:val="left"/>
        <w:rPr/>
      </w:pPr>
      <w:r>
        <w:rPr/>
        <w:t>​</w:t>
      </w:r>
    </w:p>
    <w:tbl>
      <w:tblPr>
        <w:tblW w:w="7845" w:type="dxa"/>
        <w:jc w:val="left"/>
        <w:tblInd w:w="0" w:type="dxa"/>
        <w:tblLayout w:type="fixed"/>
        <w:tblCellMar>
          <w:top w:w="0" w:type="dxa"/>
          <w:left w:w="0" w:type="dxa"/>
          <w:bottom w:w="0" w:type="dxa"/>
          <w:right w:w="0" w:type="dxa"/>
        </w:tblCellMar>
      </w:tblPr>
      <w:tblGrid>
        <w:gridCol w:w="2101"/>
        <w:gridCol w:w="346"/>
        <w:gridCol w:w="261"/>
        <w:gridCol w:w="837"/>
        <w:gridCol w:w="428"/>
        <w:gridCol w:w="261"/>
        <w:gridCol w:w="837"/>
        <w:gridCol w:w="346"/>
        <w:gridCol w:w="236"/>
        <w:gridCol w:w="759"/>
        <w:gridCol w:w="388"/>
        <w:gridCol w:w="236"/>
        <w:gridCol w:w="809"/>
      </w:tblGrid>
      <w:tr>
        <w:trPr/>
        <w:tc>
          <w:tcPr>
            <w:tcW w:w="21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47"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65735" cy="175260"/>
                      <wp:effectExtent l="0" t="0" r="0" b="0"/>
                      <wp:wrapNone/>
                      <wp:docPr id="248" name="Frame248"/>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531495" cy="175260"/>
                      <wp:effectExtent l="0" t="0" r="0" b="0"/>
                      <wp:wrapNone/>
                      <wp:docPr id="249" name="Frame249"/>
                      <a:graphic xmlns:a="http://schemas.openxmlformats.org/drawingml/2006/main">
                        <a:graphicData uri="http://schemas.microsoft.com/office/word/2010/wordprocessingShape">
                          <wps:wsp>
                            <wps:cNvSpPr txBox="1"/>
                            <wps:spPr>
                              <a:xfrm>
                                <a:off x="0" y="0"/>
                                <a:ext cx="531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71780" cy="175260"/>
                      <wp:effectExtent l="0" t="0" r="0" b="0"/>
                      <wp:wrapNone/>
                      <wp:docPr id="250" name="Frame250"/>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65735" cy="175260"/>
                      <wp:effectExtent l="0" t="0" r="0" b="0"/>
                      <wp:wrapNone/>
                      <wp:docPr id="251" name="Frame251"/>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31495" cy="175260"/>
                      <wp:effectExtent l="0" t="0" r="0" b="0"/>
                      <wp:wrapNone/>
                      <wp:docPr id="252" name="Frame252"/>
                      <a:graphic xmlns:a="http://schemas.openxmlformats.org/drawingml/2006/main">
                        <a:graphicData uri="http://schemas.microsoft.com/office/word/2010/wordprocessingShape">
                          <wps:wsp>
                            <wps:cNvSpPr txBox="1"/>
                            <wps:spPr>
                              <a:xfrm>
                                <a:off x="0" y="0"/>
                                <a:ext cx="531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53"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49860" cy="175260"/>
                      <wp:effectExtent l="0" t="0" r="0" b="0"/>
                      <wp:wrapNone/>
                      <wp:docPr id="254" name="Frame254"/>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481965" cy="175260"/>
                      <wp:effectExtent l="0" t="0" r="0" b="0"/>
                      <wp:wrapNone/>
                      <wp:docPr id="255" name="Frame255"/>
                      <a:graphic xmlns:a="http://schemas.openxmlformats.org/drawingml/2006/main">
                        <a:graphicData uri="http://schemas.microsoft.com/office/word/2010/wordprocessingShape">
                          <wps:wsp>
                            <wps:cNvSpPr txBox="1"/>
                            <wps:spPr>
                              <a:xfrm>
                                <a:off x="0" y="0"/>
                                <a:ext cx="481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46380" cy="175260"/>
                      <wp:effectExtent l="0" t="0" r="0" b="0"/>
                      <wp:wrapNone/>
                      <wp:docPr id="256" name="Frame256"/>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49860" cy="175260"/>
                      <wp:effectExtent l="0" t="0" r="0" b="0"/>
                      <wp:wrapNone/>
                      <wp:docPr id="257" name="Frame257"/>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513715" cy="175260"/>
                      <wp:effectExtent l="0" t="0" r="0" b="0"/>
                      <wp:wrapNone/>
                      <wp:docPr id="258" name="Frame258"/>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62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w:t>
            </w:r>
          </w:p>
        </w:tc>
        <w:tc>
          <w:tcPr>
            <w:tcW w:w="346" w:type="dxa"/>
            <w:tcBorders/>
            <w:vAlign w:val="center"/>
          </w:tcPr>
          <w:p>
            <w:pPr>
              <w:pStyle w:val="TableContents"/>
              <w:bidi w:val="0"/>
              <w:spacing w:before="0" w:after="0"/>
              <w:ind w:left="0" w:right="0" w:hanging="0"/>
              <w:jc w:val="left"/>
              <w:rPr/>
            </w:pPr>
            <w:r>
              <w:rPr/>
              <w:t>​</w:t>
            </w:r>
          </w:p>
        </w:tc>
        <w:tc>
          <w:tcPr>
            <w:tcW w:w="24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w:t>
            </w:r>
          </w:p>
        </w:tc>
      </w:tr>
      <w:tr>
        <w:trPr/>
        <w:tc>
          <w:tcPr>
            <w:tcW w:w="21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28" w:type="dxa"/>
            <w:tcBorders/>
            <w:vAlign w:val="center"/>
          </w:tcPr>
          <w:p>
            <w:pPr>
              <w:pStyle w:val="TableContents"/>
              <w:bidi w:val="0"/>
              <w:spacing w:before="0" w:after="0"/>
              <w:ind w:left="0" w:right="0" w:hanging="0"/>
              <w:jc w:val="left"/>
              <w:rPr/>
            </w:pPr>
            <w:r>
              <w:rPr/>
              <w:t>  ​ ​ ​</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88" w:type="dxa"/>
            <w:tcBorders/>
            <w:vAlign w:val="center"/>
          </w:tcPr>
          <w:p>
            <w:pPr>
              <w:pStyle w:val="TableContents"/>
              <w:bidi w:val="0"/>
              <w:spacing w:before="0" w:after="0"/>
              <w:ind w:left="0" w:right="0" w:hanging="0"/>
              <w:jc w:val="left"/>
              <w:rPr/>
            </w:pPr>
            <w:r>
              <w:rPr/>
              <w:t>  ​ ​ ​</w:t>
            </w:r>
          </w:p>
        </w:tc>
        <w:tc>
          <w:tcPr>
            <w:tcW w:w="10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Series A Preferred Stock </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left"/>
              <w:rPr/>
            </w:pPr>
            <w:r>
              <w:rPr/>
              <w:t>​</w:t>
            </w:r>
          </w:p>
        </w:tc>
        <w:tc>
          <w:tcPr>
            <w:tcW w:w="428"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1,878</w:t>
            </w:r>
          </w:p>
        </w:tc>
        <w:tc>
          <w:tcPr>
            <w:tcW w:w="428"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1,878</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3,756</w:t>
            </w:r>
          </w:p>
        </w:tc>
        <w:tc>
          <w:tcPr>
            <w:tcW w:w="388"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3,756</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0.40</w:t>
            </w:r>
          </w:p>
        </w:tc>
        <w:tc>
          <w:tcPr>
            <w:tcW w:w="428"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0.40</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0.80</w:t>
            </w:r>
          </w:p>
        </w:tc>
        <w:tc>
          <w:tcPr>
            <w:tcW w:w="388"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0.80</w:t>
            </w:r>
          </w:p>
        </w:tc>
      </w:tr>
      <w:tr>
        <w:trPr/>
        <w:tc>
          <w:tcPr>
            <w:tcW w:w="21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left"/>
              <w:rPr/>
            </w:pPr>
            <w:r>
              <w:rPr/>
              <w:t>​</w:t>
            </w:r>
          </w:p>
        </w:tc>
        <w:tc>
          <w:tcPr>
            <w:tcW w:w="428"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left"/>
              <w:rPr/>
            </w:pPr>
            <w:r>
              <w:rPr/>
              <w:t>​</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left"/>
              <w:rPr/>
            </w:pPr>
            <w:r>
              <w:rPr/>
              <w:t>​</w:t>
            </w:r>
          </w:p>
        </w:tc>
        <w:tc>
          <w:tcPr>
            <w:tcW w:w="428"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13,904</w:t>
            </w:r>
          </w:p>
        </w:tc>
        <w:tc>
          <w:tcPr>
            <w:tcW w:w="428"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12,008</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26,464</w:t>
            </w:r>
          </w:p>
        </w:tc>
        <w:tc>
          <w:tcPr>
            <w:tcW w:w="388"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24,430</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Per Share </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0.38</w:t>
            </w:r>
          </w:p>
        </w:tc>
        <w:tc>
          <w:tcPr>
            <w:tcW w:w="428"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0.38</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0.76</w:t>
            </w:r>
          </w:p>
        </w:tc>
        <w:tc>
          <w:tcPr>
            <w:tcW w:w="388"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0.76</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459" w:name="Tc_C-FT9g-OZ0CgPRKM_U6Y0Q_13_11"/>
      <w:bookmarkStart w:id="1460" w:name="Tc_V4iTN2iAU0-g04nYlczyNw_13_8"/>
      <w:bookmarkStart w:id="1461" w:name="Tc_UgqULT6z3UuMBaz9RWECyw_13_5"/>
      <w:bookmarkStart w:id="1462" w:name="Tc_J4XAN4O-gEG3fJIsL4876A_13_2"/>
      <w:bookmarkStart w:id="1463" w:name="Tc_6BpM1Fnmo0uKX2-DGbTt_A_13_0"/>
      <w:bookmarkStart w:id="1464" w:name="Tc_pEsQca5JokGJ9zkECPS69Q_12_0"/>
      <w:bookmarkStart w:id="1465" w:name="Tc_SSRAahyjQ02E7GCUmXbmZQ_11_0"/>
      <w:bookmarkStart w:id="1466" w:name="Tc_JEU0GMsu_Ea4hKaq7moaVQ_9_0"/>
      <w:bookmarkStart w:id="1467" w:name="Tc_qYSa3YhguEexncaJJgJpAw_8_0"/>
      <w:bookmarkStart w:id="1468" w:name="Tc_RaK-7TPl602tnchzdRa5zw_7_0"/>
      <w:bookmarkStart w:id="1469" w:name="Tc_p8_RS2jE8EqZ0oppaxBfRg_6_0"/>
      <w:bookmarkStart w:id="1470" w:name="Tc_VDodjanHakm1saFgXzwxcQ_4_11"/>
      <w:bookmarkStart w:id="1471" w:name="Tc_13RciyHtPkac930ZriolDA_4_8"/>
      <w:bookmarkStart w:id="1472" w:name="Tc_rXkFBFwhE0KJP0gqeXLFyg_4_5"/>
      <w:bookmarkStart w:id="1473" w:name="Tc_1gRJl6oG7EqO-UwU87n2kw_4_2"/>
      <w:bookmarkStart w:id="1474" w:name="Tc_cLJIGUDTo0ub4z-fF_D0-g_4_0"/>
      <w:bookmarkStart w:id="1475" w:name="Tc_i_v-vR-1O0y4W54kT-axug_3_0"/>
      <w:bookmarkStart w:id="1476" w:name="Tc_vIppkUgmEkackdIFnrSTbA_2_11"/>
      <w:bookmarkStart w:id="1477" w:name="Tc_uxLxfc-7WEi4qfAz83EFww_2_8"/>
      <w:bookmarkStart w:id="1478" w:name="Tc_pwqlQsgsCUiVtiwMUYTgEw_2_5"/>
      <w:bookmarkStart w:id="1479" w:name="Tc_aG58rE7biUSsd_oA4R6Ivw_2_2"/>
      <w:bookmarkStart w:id="1480" w:name="Tc_dfwJjfeCv06g4Cic7N6P9A_1_8"/>
      <w:bookmarkStart w:id="1481" w:name="Tc_khBZzq0hDU-PcL0T9pWlCg_1_2"/>
      <w:bookmarkStart w:id="1482" w:name="_bda1ae8c_9d0f_4f20_971a_aadae15bf94b"/>
      <w:bookmarkStart w:id="1483" w:name="_c3e3569c_855b_477f_92c6_76e31b7d64c4"/>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r>
        <w:rPr>
          <w:rFonts w:ascii="Times New Roman;Times;serif" w:hAnsi="Times New Roman;Times;serif"/>
          <w:b/>
          <w:sz w:val="20"/>
        </w:rPr>
        <w:t>NOTE 12. COMMON STOCK AND EARNINGS PER SHARE</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Basic earnings per common share is computed by dividing net income (loss) attributable to common stockholders during the period by the weighted average number of shares of common stock outstanding during the period. Diluted earnings per common share is based on the assumption of the vesting of restricted stock at the beginning of each period using the treasury stock method at average cost for the periods.</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The following is a reconciliation of basic and diluted earnings per common share for each of the periods presented (in thousands, except share and per share data):</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679"/>
        <w:gridCol w:w="346"/>
        <w:gridCol w:w="211"/>
        <w:gridCol w:w="1036"/>
        <w:gridCol w:w="346"/>
        <w:gridCol w:w="211"/>
        <w:gridCol w:w="1036"/>
        <w:gridCol w:w="346"/>
        <w:gridCol w:w="211"/>
        <w:gridCol w:w="1036"/>
        <w:gridCol w:w="346"/>
        <w:gridCol w:w="211"/>
        <w:gridCol w:w="1036"/>
        <w:gridCol w:w="154"/>
      </w:tblGrid>
      <w:tr>
        <w:trPr/>
        <w:tc>
          <w:tcPr>
            <w:tcW w:w="36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60"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57860" cy="175260"/>
                      <wp:effectExtent l="0" t="0" r="0" b="0"/>
                      <wp:wrapNone/>
                      <wp:docPr id="261" name="Frame26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62"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33985" cy="175260"/>
                      <wp:effectExtent l="0" t="0" r="0" b="0"/>
                      <wp:wrapNone/>
                      <wp:docPr id="263" name="Frame2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57860" cy="175260"/>
                      <wp:effectExtent l="0" t="0" r="0" b="0"/>
                      <wp:wrapNone/>
                      <wp:docPr id="264" name="Frame26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65"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3985" cy="175260"/>
                      <wp:effectExtent l="0" t="0" r="0" b="0"/>
                      <wp:wrapNone/>
                      <wp:docPr id="266" name="Frame2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57860" cy="175260"/>
                      <wp:effectExtent l="0" t="0" r="0" b="0"/>
                      <wp:wrapNone/>
                      <wp:docPr id="267" name="Frame26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8"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3985" cy="175260"/>
                      <wp:effectExtent l="0" t="0" r="0" b="0"/>
                      <wp:wrapNone/>
                      <wp:docPr id="269" name="Frame2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57860" cy="175260"/>
                      <wp:effectExtent l="0" t="0" r="0" b="0"/>
                      <wp:wrapNone/>
                      <wp:docPr id="270" name="Frame27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97790" cy="175260"/>
                      <wp:effectExtent l="0" t="0" r="0" b="0"/>
                      <wp:wrapNone/>
                      <wp:docPr id="271" name="Frame27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br/>
              <w:t>June 30,</w:t>
            </w:r>
          </w:p>
        </w:tc>
        <w:tc>
          <w:tcPr>
            <w:tcW w:w="346" w:type="dxa"/>
            <w:tcBorders/>
            <w:vAlign w:val="center"/>
          </w:tcPr>
          <w:p>
            <w:pPr>
              <w:pStyle w:val="TableContents"/>
              <w:bidi w:val="0"/>
              <w:spacing w:before="0" w:after="0"/>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br/>
              <w:t>June 30,</w:t>
            </w:r>
          </w:p>
        </w:tc>
        <w:tc>
          <w:tcPr>
            <w:tcW w:w="154" w:type="dxa"/>
            <w:tcBorders/>
            <w:vAlign w:val="center"/>
          </w:tcPr>
          <w:p>
            <w:pPr>
              <w:pStyle w:val="TableContents"/>
              <w:bidi w:val="0"/>
              <w:spacing w:before="0" w:after="0"/>
              <w:ind w:left="0" w:right="0" w:hanging="0"/>
              <w:jc w:val="right"/>
              <w:rPr/>
            </w:pPr>
            <w:r>
              <w:rPr/>
              <w:t>​</w:t>
            </w:r>
          </w:p>
        </w:tc>
      </w:tr>
      <w:tr>
        <w:trPr/>
        <w:tc>
          <w:tcPr>
            <w:tcW w:w="367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54" w:type="dxa"/>
            <w:tcBorders/>
            <w:vAlign w:val="center"/>
          </w:tcPr>
          <w:p>
            <w:pPr>
              <w:pStyle w:val="TableContents"/>
              <w:bidi w:val="0"/>
              <w:spacing w:before="0" w:after="0"/>
              <w:ind w:left="0" w:right="0" w:hanging="0"/>
              <w:jc w:val="right"/>
              <w:rPr/>
            </w:pPr>
            <w:r>
              <w:rPr/>
              <w:t>​</w:t>
            </w:r>
          </w:p>
        </w:tc>
      </w:tr>
      <w:tr>
        <w:trPr/>
        <w:tc>
          <w:tcPr>
            <w:tcW w:w="36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17,561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(24,913)</w:t>
            </w:r>
          </w:p>
        </w:tc>
        <w:tc>
          <w:tcPr>
            <w:tcW w:w="154" w:type="dxa"/>
            <w:tcBorders/>
            <w:vAlign w:val="center"/>
          </w:tcPr>
          <w:p>
            <w:pPr>
              <w:pStyle w:val="TableContents"/>
              <w:bidi w:val="0"/>
              <w:spacing w:before="0" w:after="0"/>
              <w:ind w:left="0" w:right="0" w:hanging="0"/>
              <w:jc w:val="right"/>
              <w:rPr/>
            </w:pPr>
            <w:r>
              <w:rPr/>
              <w:t>​</w:t>
            </w:r>
          </w:p>
        </w:tc>
      </w:tr>
      <w:tr>
        <w:trPr/>
        <w:tc>
          <w:tcPr>
            <w:tcW w:w="36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Shares: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right"/>
              <w:rPr/>
            </w:pPr>
            <w:r>
              <w:rPr/>
              <w:t>​</w:t>
            </w:r>
          </w:p>
        </w:tc>
      </w:tr>
      <w:tr>
        <w:trPr/>
        <w:tc>
          <w:tcPr>
            <w:tcW w:w="36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 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34,988,612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32,678,771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33,760,706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32,118,982</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Shares Applicable to Unvested Restricted Stock Using the Treasury Stock Method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27,637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55,592</w:t>
            </w:r>
          </w:p>
        </w:tc>
        <w:tc>
          <w:tcPr>
            <w:tcW w:w="154" w:type="dxa"/>
            <w:tcBorders/>
            <w:vAlign w:val="center"/>
          </w:tcPr>
          <w:p>
            <w:pPr>
              <w:pStyle w:val="TableContents"/>
              <w:bidi w:val="0"/>
              <w:spacing w:before="0" w:after="0"/>
              <w:ind w:left="0" w:right="0" w:hanging="0"/>
              <w:jc w:val="right"/>
              <w:rPr/>
            </w:pPr>
            <w:r>
              <w:rPr/>
              <w:t>​</w:t>
            </w:r>
          </w:p>
        </w:tc>
      </w:tr>
      <w:tr>
        <w:trPr/>
        <w:tc>
          <w:tcPr>
            <w:tcW w:w="36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35,024,642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32,727,831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33,788,343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32,174,574</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6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right"/>
              <w:rPr/>
            </w:pPr>
            <w:r>
              <w:rPr/>
              <w:t>​</w:t>
            </w:r>
          </w:p>
        </w:tc>
      </w:tr>
      <w:tr>
        <w:trPr/>
        <w:tc>
          <w:tcPr>
            <w:tcW w:w="36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 Share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6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(0.78)</w:t>
            </w:r>
          </w:p>
        </w:tc>
        <w:tc>
          <w:tcPr>
            <w:tcW w:w="154" w:type="dxa"/>
            <w:tcBorders/>
            <w:shd w:fill="CCEEFF" w:val="clear"/>
            <w:vAlign w:val="center"/>
          </w:tcPr>
          <w:p>
            <w:pPr>
              <w:pStyle w:val="TableContents"/>
              <w:bidi w:val="0"/>
              <w:spacing w:before="0" w:after="0"/>
              <w:ind w:left="0" w:right="0" w:hanging="0"/>
              <w:jc w:val="right"/>
              <w:rPr/>
            </w:pPr>
            <w:r>
              <w:rPr/>
              <w:t>​</w:t>
            </w:r>
          </w:p>
        </w:tc>
      </w:tr>
    </w:tbl>
    <w:p>
      <w:pPr>
        <w:pStyle w:val="TextBody"/>
        <w:pBdr/>
        <w:bidi w:val="0"/>
        <w:spacing w:before="0" w:after="0"/>
        <w:ind w:left="0" w:right="0" w:hanging="360"/>
        <w:jc w:val="both"/>
        <w:rPr/>
      </w:pPr>
      <w:r>
        <w:rPr/>
        <w:t> </w:t>
      </w:r>
    </w:p>
    <w:p>
      <w:pPr>
        <w:pStyle w:val="TextBody"/>
        <w:pBdr/>
        <w:bidi w:val="0"/>
        <w:spacing w:before="0" w:after="200"/>
        <w:ind w:left="0" w:right="0" w:hanging="36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There were 36,030 and 27,637 potentially dilutive shares related to the Company’s restricted stock for the three and six months ended June 30, 2026, respectively. There were 49,060 and 55,592 potentially dilutive shares related to the Company’s restricted stock for the three and six months ended June 30, 2025, respectively.</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p>
    <w:p>
      <w:pPr>
        <w:pStyle w:val="TextBody"/>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13. SHARE REPURCHASES</w:t>
      </w:r>
    </w:p>
    <w:p>
      <w:pPr>
        <w:pStyle w:val="TextBody"/>
        <w:shd w:fill="FFFFFF" w:val="clear"/>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COMMON STOCK REPURCHASE PROGRAM</w:t>
      </w:r>
    </w:p>
    <w:p>
      <w:pPr>
        <w:pStyle w:val="TextBody"/>
        <w:bidi w:val="0"/>
        <w:spacing w:before="0" w:after="240"/>
        <w:ind w:left="0" w:right="0" w:firstLine="490"/>
        <w:jc w:val="both"/>
        <w:rPr>
          <w:rFonts w:ascii="Times New Roman;Times;serif" w:hAnsi="Times New Roman;Times;serif"/>
          <w:sz w:val="20"/>
        </w:rPr>
      </w:pPr>
      <w:r>
        <w:rPr>
          <w:rFonts w:ascii="TimesNewRomanPSMT" w:hAnsi="TimesNewRomanPSMT"/>
          <w:sz w:val="20"/>
        </w:rPr>
        <w:t>In February 2020, the Company’s Board of Directors approved a $10.0</w:t>
      </w:r>
      <w:r>
        <w:rPr>
          <w:rFonts w:ascii="Times New Roman;Times;serif" w:hAnsi="Times New Roman;Times;serif"/>
          <w:sz w:val="20"/>
        </w:rPr>
        <w:t xml:space="preserve"> </w:t>
      </w:r>
      <w:r>
        <w:rPr>
          <w:rFonts w:ascii="TimesNewRomanPSMT" w:hAnsi="TimesNewRomanPSMT"/>
          <w:sz w:val="20"/>
        </w:rPr>
        <w:t>million common stock repurchase program (the “$10.0</w:t>
      </w:r>
      <w:r>
        <w:rPr>
          <w:rFonts w:ascii="Times New Roman;Times;serif" w:hAnsi="Times New Roman;Times;serif"/>
          <w:sz w:val="20"/>
        </w:rPr>
        <w:t xml:space="preserve"> </w:t>
      </w:r>
      <w:r>
        <w:rPr>
          <w:rFonts w:ascii="TimesNewRomanPSMT" w:hAnsi="TimesNewRomanPSMT"/>
          <w:sz w:val="20"/>
        </w:rPr>
        <w:t>Million Common Stock Repurchase Program”). During the year ended December 31, 2020, the Company repurchased 265,695</w:t>
      </w:r>
      <w:r>
        <w:rPr>
          <w:rFonts w:ascii="Times New Roman;Times;serif" w:hAnsi="Times New Roman;Times;serif"/>
          <w:sz w:val="20"/>
        </w:rPr>
        <w:t xml:space="preserve"> </w:t>
      </w:r>
      <w:r>
        <w:rPr>
          <w:rFonts w:ascii="TimesNewRomanPSMT" w:hAnsi="TimesNewRomanPSMT"/>
          <w:sz w:val="20"/>
        </w:rPr>
        <w:t>shares of its common stock on the open market for a total cost of $4.1</w:t>
      </w:r>
      <w:r>
        <w:rPr>
          <w:rFonts w:ascii="Times New Roman;Times;serif" w:hAnsi="Times New Roman;Times;serif"/>
          <w:sz w:val="20"/>
        </w:rPr>
        <w:t xml:space="preserve"> </w:t>
      </w:r>
      <w:r>
        <w:rPr>
          <w:rFonts w:ascii="TimesNewRomanPSMT" w:hAnsi="TimesNewRomanPSMT"/>
          <w:sz w:val="20"/>
        </w:rPr>
        <w:t>million, or an average price per share of $15.43. During the year ended December 31, 2021, the Company repurchased 121,659</w:t>
      </w:r>
      <w:r>
        <w:rPr>
          <w:rFonts w:ascii="Times New Roman;Times;serif" w:hAnsi="Times New Roman;Times;serif"/>
          <w:sz w:val="20"/>
        </w:rPr>
        <w:t xml:space="preserve"> </w:t>
      </w:r>
      <w:r>
        <w:rPr>
          <w:rFonts w:ascii="TimesNewRomanPSMT" w:hAnsi="TimesNewRomanPSMT"/>
          <w:sz w:val="20"/>
        </w:rPr>
        <w:t>shares of its common stock on the open market for a total cost of $2.2</w:t>
      </w:r>
      <w:r>
        <w:rPr>
          <w:rFonts w:ascii="Times New Roman;Times;serif" w:hAnsi="Times New Roman;Times;serif"/>
          <w:sz w:val="20"/>
        </w:rPr>
        <w:t xml:space="preserve"> </w:t>
      </w:r>
      <w:r>
        <w:rPr>
          <w:rFonts w:ascii="TimesNewRomanPSMT" w:hAnsi="TimesNewRomanPSMT"/>
          <w:sz w:val="20"/>
        </w:rPr>
        <w:t>million, or an average price per share of $18.16. During the year ended December 31, 2022, the Company repurchased 145,724</w:t>
      </w:r>
      <w:r>
        <w:rPr>
          <w:rFonts w:ascii="Times New Roman;Times;serif" w:hAnsi="Times New Roman;Times;serif"/>
          <w:sz w:val="20"/>
        </w:rPr>
        <w:t xml:space="preserve"> </w:t>
      </w:r>
      <w:r>
        <w:rPr>
          <w:rFonts w:ascii="TimesNewRomanPSMT" w:hAnsi="TimesNewRomanPSMT"/>
          <w:sz w:val="20"/>
        </w:rPr>
        <w:t>shares of its common stock on the open market for a total cost of $2.8</w:t>
      </w:r>
      <w:r>
        <w:rPr>
          <w:rFonts w:ascii="Times New Roman;Times;serif" w:hAnsi="Times New Roman;Times;serif"/>
          <w:sz w:val="20"/>
        </w:rPr>
        <w:t xml:space="preserve"> </w:t>
      </w:r>
      <w:r>
        <w:rPr>
          <w:rFonts w:ascii="TimesNewRomanPSMT" w:hAnsi="TimesNewRomanPSMT"/>
          <w:sz w:val="20"/>
        </w:rPr>
        <w:t>million, or an average price per share of $19.15. No</w:t>
      </w:r>
      <w:r>
        <w:rPr>
          <w:rFonts w:ascii="Times New Roman;Times;serif" w:hAnsi="Times New Roman;Times;serif"/>
          <w:sz w:val="20"/>
        </w:rPr>
        <w:t xml:space="preserve"> </w:t>
      </w:r>
      <w:r>
        <w:rPr>
          <w:rFonts w:ascii="TimesNewRomanPSMT" w:hAnsi="TimesNewRomanPSMT"/>
          <w:sz w:val="20"/>
        </w:rPr>
        <w:t>repurchases were made pursuant to the $10.0</w:t>
      </w:r>
      <w:r>
        <w:rPr>
          <w:rFonts w:ascii="Times New Roman;Times;serif" w:hAnsi="Times New Roman;Times;serif"/>
          <w:sz w:val="20"/>
        </w:rPr>
        <w:t xml:space="preserve"> </w:t>
      </w:r>
      <w:r>
        <w:rPr>
          <w:rFonts w:ascii="TimesNewRomanPSMT" w:hAnsi="TimesNewRomanPSMT"/>
          <w:sz w:val="20"/>
        </w:rPr>
        <w:t>Million Common Stock Repurchase Program during the year ended December 31, 2023.</w:t>
      </w:r>
    </w:p>
    <w:p>
      <w:pPr>
        <w:pStyle w:val="TextBody"/>
        <w:bidi w:val="0"/>
        <w:spacing w:before="0" w:after="240"/>
        <w:ind w:left="0" w:right="0" w:firstLine="490"/>
        <w:jc w:val="both"/>
        <w:rPr>
          <w:rFonts w:ascii="Times New Roman;Times;serif" w:hAnsi="Times New Roman;Times;serif"/>
          <w:sz w:val="20"/>
        </w:rPr>
      </w:pPr>
      <w:r>
        <w:rPr>
          <w:rFonts w:ascii="TimesNewRomanPSMT" w:hAnsi="TimesNewRomanPSMT"/>
          <w:sz w:val="20"/>
        </w:rPr>
        <w:t>On February 16, 2023, the Company’s Board of Directors approved a common stock repurchase program (the “February 2023 $5.0</w:t>
      </w:r>
      <w:r>
        <w:rPr>
          <w:rFonts w:ascii="Times New Roman;Times;serif" w:hAnsi="Times New Roman;Times;serif"/>
          <w:sz w:val="20"/>
        </w:rPr>
        <w:t xml:space="preserve"> </w:t>
      </w:r>
      <w:r>
        <w:rPr>
          <w:rFonts w:ascii="TimesNewRomanPSMT" w:hAnsi="TimesNewRomanPSMT"/>
          <w:sz w:val="20"/>
        </w:rPr>
        <w:t>Million Common Stock Repurchase Program”), which eliminated the unutilized portion of the $10.0</w:t>
      </w:r>
      <w:r>
        <w:rPr>
          <w:rFonts w:ascii="Times New Roman;Times;serif" w:hAnsi="Times New Roman;Times;serif"/>
          <w:sz w:val="20"/>
        </w:rPr>
        <w:t xml:space="preserve"> </w:t>
      </w:r>
      <w:r>
        <w:rPr>
          <w:rFonts w:ascii="TimesNewRomanPSMT" w:hAnsi="TimesNewRomanPSMT"/>
          <w:sz w:val="20"/>
        </w:rPr>
        <w:t>Million Common Stock Repurchase Program. Pursuant to the February 2023 $5.0</w:t>
      </w:r>
      <w:r>
        <w:rPr>
          <w:rFonts w:ascii="Times New Roman;Times;serif" w:hAnsi="Times New Roman;Times;serif"/>
          <w:sz w:val="20"/>
        </w:rPr>
        <w:t xml:space="preserve"> </w:t>
      </w:r>
      <w:r>
        <w:rPr>
          <w:rFonts w:ascii="TimesNewRomanPSMT" w:hAnsi="TimesNewRomanPSMT"/>
          <w:sz w:val="20"/>
        </w:rPr>
        <w:t>Million Common Stock Repurchase Program, the Company was authorized to repurchase shares of its common stock for a total purchase price of up to $5.0</w:t>
      </w:r>
      <w:r>
        <w:rPr>
          <w:rFonts w:ascii="Times New Roman;Times;serif" w:hAnsi="Times New Roman;Times;serif"/>
          <w:sz w:val="20"/>
        </w:rPr>
        <w:t xml:space="preserve"> </w:t>
      </w:r>
      <w:r>
        <w:rPr>
          <w:rFonts w:ascii="TimesNewRomanPSMT" w:hAnsi="TimesNewRomanPSMT"/>
          <w:sz w:val="20"/>
        </w:rPr>
        <w:t>million. During the three months ended March 31, 2023, the Company repurchased 303,354</w:t>
      </w:r>
      <w:r>
        <w:rPr>
          <w:rFonts w:ascii="Times New Roman;Times;serif" w:hAnsi="Times New Roman;Times;serif"/>
          <w:sz w:val="20"/>
        </w:rPr>
        <w:t xml:space="preserve"> </w:t>
      </w:r>
      <w:r>
        <w:rPr>
          <w:rFonts w:ascii="TimesNewRomanPSMT" w:hAnsi="TimesNewRomanPSMT"/>
          <w:sz w:val="20"/>
        </w:rPr>
        <w:t>shares of its common stock on the open market for a total cost of $5.0</w:t>
      </w:r>
      <w:r>
        <w:rPr>
          <w:rFonts w:ascii="Times New Roman;Times;serif" w:hAnsi="Times New Roman;Times;serif"/>
          <w:sz w:val="20"/>
        </w:rPr>
        <w:t xml:space="preserve"> </w:t>
      </w:r>
      <w:r>
        <w:rPr>
          <w:rFonts w:ascii="TimesNewRomanPSMT" w:hAnsi="TimesNewRomanPSMT"/>
          <w:sz w:val="20"/>
        </w:rPr>
        <w:t>million, or an average price per share of $16.48, pursuant to the February 2023 $5.0</w:t>
      </w:r>
      <w:r>
        <w:rPr>
          <w:rFonts w:ascii="Times New Roman;Times;serif" w:hAnsi="Times New Roman;Times;serif"/>
          <w:sz w:val="20"/>
        </w:rPr>
        <w:t xml:space="preserve"> </w:t>
      </w:r>
      <w:r>
        <w:rPr>
          <w:rFonts w:ascii="TimesNewRomanPSMT" w:hAnsi="TimesNewRomanPSMT"/>
          <w:sz w:val="20"/>
        </w:rPr>
        <w:t>Million Common Stock Repurchase Program</w:t>
      </w:r>
      <w:r>
        <w:rPr>
          <w:rFonts w:ascii="Times New Roman;Times;serif" w:hAnsi="Times New Roman;Times;serif"/>
          <w:sz w:val="20"/>
        </w:rPr>
        <w:t xml:space="preserve">. Accordingly, as of </w:t>
      </w:r>
      <w:r>
        <w:rPr>
          <w:rFonts w:ascii="TimesNewRomanPSMT" w:hAnsi="TimesNewRomanPSMT"/>
          <w:sz w:val="20"/>
        </w:rPr>
        <w:t>March 31</w:t>
      </w:r>
      <w:r>
        <w:rPr>
          <w:rFonts w:ascii="Times New Roman;Times;serif" w:hAnsi="Times New Roman;Times;serif"/>
          <w:sz w:val="20"/>
        </w:rPr>
        <w:t>, 2023, no shares of the Company’s common stock remained available for repurchase under the February 2023 $5.0 Million Common Stock Repurchase Program.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On April 25, 2023, the Company’s Board of Directors approved a common stock repurchase program, </w:t>
      </w:r>
      <w:r>
        <w:rPr>
          <w:rFonts w:ascii="TimesNewRomanPSMT" w:hAnsi="TimesNewRomanPSMT"/>
          <w:sz w:val="20"/>
        </w:rPr>
        <w:t>(the “April 2023 $5.0</w:t>
      </w:r>
      <w:r>
        <w:rPr>
          <w:rFonts w:ascii="Times New Roman;Times;serif" w:hAnsi="Times New Roman;Times;serif"/>
          <w:sz w:val="20"/>
        </w:rPr>
        <w:t xml:space="preserve"> </w:t>
      </w:r>
      <w:r>
        <w:rPr>
          <w:rFonts w:ascii="TimesNewRomanPSMT" w:hAnsi="TimesNewRomanPSMT"/>
          <w:sz w:val="20"/>
        </w:rPr>
        <w:t>Million Common Stock Repurchase Program”). Pursuant to the April 2023 $5.0</w:t>
      </w:r>
      <w:r>
        <w:rPr>
          <w:rFonts w:ascii="Times New Roman;Times;serif" w:hAnsi="Times New Roman;Times;serif"/>
          <w:sz w:val="20"/>
        </w:rPr>
        <w:t xml:space="preserve"> </w:t>
      </w:r>
      <w:r>
        <w:rPr>
          <w:rFonts w:ascii="TimesNewRomanPSMT" w:hAnsi="TimesNewRomanPSMT"/>
          <w:sz w:val="20"/>
        </w:rPr>
        <w:t>Million Common Stock Repurchase Program, the Company was authorized to repurchase shares of its common stock for a total purchase price of up to $5.0</w:t>
      </w:r>
      <w:r>
        <w:rPr>
          <w:rFonts w:ascii="Times New Roman;Times;serif" w:hAnsi="Times New Roman;Times;serif"/>
          <w:sz w:val="20"/>
        </w:rPr>
        <w:t xml:space="preserve"> </w:t>
      </w:r>
      <w:r>
        <w:rPr>
          <w:rFonts w:ascii="TimesNewRomanPSMT" w:hAnsi="TimesNewRomanPSMT"/>
          <w:sz w:val="20"/>
        </w:rPr>
        <w:t>million.</w:t>
      </w:r>
      <w:r>
        <w:rPr>
          <w:rFonts w:ascii="Times New Roman;Times;serif" w:hAnsi="Times New Roman;Times;serif"/>
          <w:sz w:val="20"/>
          <w:shd w:fill="FFFFFF" w:val="clear"/>
        </w:rPr>
        <w:t xml:space="preserve"> </w:t>
      </w:r>
      <w:r>
        <w:rPr>
          <w:rFonts w:ascii="TimesNewRomanPSMT" w:hAnsi="TimesNewRomanPSMT"/>
          <w:sz w:val="20"/>
        </w:rPr>
        <w:t>During the year ended December 31, 2023, the Company repurchased 62,015</w:t>
      </w:r>
      <w:r>
        <w:rPr>
          <w:rFonts w:ascii="Times New Roman;Times;serif" w:hAnsi="Times New Roman;Times;serif"/>
          <w:sz w:val="20"/>
        </w:rPr>
        <w:t xml:space="preserve"> </w:t>
      </w:r>
      <w:r>
        <w:rPr>
          <w:rFonts w:ascii="TimesNewRomanPSMT" w:hAnsi="TimesNewRomanPSMT"/>
          <w:sz w:val="20"/>
        </w:rPr>
        <w:t>shares of its common stock on the open market for a total cost of $1.0</w:t>
      </w:r>
      <w:r>
        <w:rPr>
          <w:rFonts w:ascii="Times New Roman;Times;serif" w:hAnsi="Times New Roman;Times;serif"/>
          <w:sz w:val="20"/>
        </w:rPr>
        <w:t xml:space="preserve"> </w:t>
      </w:r>
      <w:r>
        <w:rPr>
          <w:rFonts w:ascii="TimesNewRomanPSMT" w:hAnsi="TimesNewRomanPSMT"/>
          <w:sz w:val="20"/>
        </w:rPr>
        <w:t>million, or an average price per share of $15.72. The April 2023 $5.0</w:t>
      </w:r>
      <w:r>
        <w:rPr>
          <w:rFonts w:ascii="Times New Roman;Times;serif" w:hAnsi="Times New Roman;Times;serif"/>
          <w:sz w:val="20"/>
        </w:rPr>
        <w:t xml:space="preserve"> </w:t>
      </w:r>
      <w:r>
        <w:rPr>
          <w:rFonts w:ascii="TimesNewRomanPSMT" w:hAnsi="TimesNewRomanPSMT"/>
          <w:sz w:val="20"/>
        </w:rPr>
        <w:t>Million Common Stock Repurchase Program was terminated in connection with the establishment of the December 2023 $5.0</w:t>
      </w:r>
      <w:r>
        <w:rPr>
          <w:rFonts w:ascii="Times New Roman;Times;serif" w:hAnsi="Times New Roman;Times;serif"/>
          <w:sz w:val="20"/>
        </w:rPr>
        <w:t xml:space="preserve"> </w:t>
      </w:r>
      <w:r>
        <w:rPr>
          <w:rFonts w:ascii="TimesNewRomanPSMT" w:hAnsi="TimesNewRomanPSMT"/>
          <w:sz w:val="20"/>
        </w:rPr>
        <w:t>Million Common Stock Repurchase Program (hereinafter defined).</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On December 12, 2023, the Company’s Board of Directors approved a common stock repurchase program </w:t>
      </w:r>
      <w:r>
        <w:rPr>
          <w:rFonts w:ascii="TimesNewRomanPSMT" w:hAnsi="TimesNewRomanPSMT"/>
          <w:sz w:val="20"/>
        </w:rPr>
        <w:t>(the “December 2023 $5.0</w:t>
      </w:r>
      <w:r>
        <w:rPr>
          <w:rFonts w:ascii="Times New Roman;Times;serif" w:hAnsi="Times New Roman;Times;serif"/>
          <w:sz w:val="20"/>
        </w:rPr>
        <w:t xml:space="preserve"> </w:t>
      </w:r>
      <w:r>
        <w:rPr>
          <w:rFonts w:ascii="TimesNewRomanPSMT" w:hAnsi="TimesNewRomanPSMT"/>
          <w:sz w:val="20"/>
        </w:rPr>
        <w:t>Million Common Stock Repurchase Program”). Pursuant to the December 2023 $5.0</w:t>
      </w:r>
      <w:r>
        <w:rPr>
          <w:rFonts w:ascii="Times New Roman;Times;serif" w:hAnsi="Times New Roman;Times;serif"/>
          <w:sz w:val="20"/>
        </w:rPr>
        <w:t xml:space="preserve"> </w:t>
      </w:r>
      <w:r>
        <w:rPr>
          <w:rFonts w:ascii="TimesNewRomanPSMT" w:hAnsi="TimesNewRomanPSMT"/>
          <w:sz w:val="20"/>
        </w:rPr>
        <w:t>Million Common Stock Repurchase Program, the Company was authorized to repurchase shares of its common stock for a total purchase price of up to $5.0</w:t>
      </w:r>
      <w:r>
        <w:rPr>
          <w:rFonts w:ascii="Times New Roman;Times;serif" w:hAnsi="Times New Roman;Times;serif"/>
          <w:sz w:val="20"/>
        </w:rPr>
        <w:t xml:space="preserve"> </w:t>
      </w:r>
      <w:r>
        <w:rPr>
          <w:rFonts w:ascii="TimesNewRomanPSMT" w:hAnsi="TimesNewRomanPSMT"/>
          <w:sz w:val="20"/>
        </w:rPr>
        <w:t>million. During the year ended December 31, 2024, the Company repurchased 40,726</w:t>
      </w:r>
      <w:r>
        <w:rPr>
          <w:rFonts w:ascii="Times New Roman;Times;serif" w:hAnsi="Times New Roman;Times;serif"/>
          <w:sz w:val="20"/>
        </w:rPr>
        <w:t xml:space="preserve"> </w:t>
      </w:r>
      <w:r>
        <w:rPr>
          <w:rFonts w:ascii="TimesNewRomanPSMT" w:hAnsi="TimesNewRomanPSMT"/>
          <w:sz w:val="20"/>
        </w:rPr>
        <w:t>shares of its common stock on the open market for a total cost of $0.7</w:t>
      </w:r>
      <w:r>
        <w:rPr>
          <w:rFonts w:ascii="Times New Roman;Times;serif" w:hAnsi="Times New Roman;Times;serif"/>
          <w:sz w:val="20"/>
        </w:rPr>
        <w:t xml:space="preserve"> </w:t>
      </w:r>
      <w:r>
        <w:rPr>
          <w:rFonts w:ascii="TimesNewRomanPSMT" w:hAnsi="TimesNewRomanPSMT"/>
          <w:sz w:val="20"/>
        </w:rPr>
        <w:t>million, or an average price per share of $16.28</w:t>
      </w:r>
      <w:r>
        <w:rPr>
          <w:rFonts w:ascii="Times New Roman;Times;serif" w:hAnsi="Times New Roman;Times;serif"/>
          <w:sz w:val="20"/>
        </w:rPr>
        <w:t xml:space="preserve"> </w:t>
      </w:r>
      <w:r>
        <w:rPr>
          <w:rFonts w:ascii="TimesNewRomanPSMT" w:hAnsi="TimesNewRomanPSMT"/>
          <w:sz w:val="20"/>
        </w:rPr>
        <w:t>pursuant to the December 2023 $5.0</w:t>
      </w:r>
      <w:r>
        <w:rPr>
          <w:rFonts w:ascii="Times New Roman;Times;serif" w:hAnsi="Times New Roman;Times;serif"/>
          <w:sz w:val="20"/>
        </w:rPr>
        <w:t xml:space="preserve"> </w:t>
      </w:r>
      <w:r>
        <w:rPr>
          <w:rFonts w:ascii="TimesNewRomanPSMT" w:hAnsi="TimesNewRomanPSMT"/>
          <w:sz w:val="20"/>
        </w:rPr>
        <w:t>Million Common Stock Repurchase Program. During the year ended December 31, 2025, the Company repurchased 266,161</w:t>
      </w:r>
      <w:r>
        <w:rPr>
          <w:rFonts w:ascii="Times New Roman;Times;serif" w:hAnsi="Times New Roman;Times;serif"/>
          <w:sz w:val="20"/>
        </w:rPr>
        <w:t xml:space="preserve"> </w:t>
      </w:r>
      <w:r>
        <w:rPr>
          <w:rFonts w:ascii="TimesNewRomanPSMT" w:hAnsi="TimesNewRomanPSMT"/>
          <w:sz w:val="20"/>
        </w:rPr>
        <w:t>shares of its common stock on the open market for a total cost of $4.3</w:t>
      </w:r>
      <w:r>
        <w:rPr>
          <w:rFonts w:ascii="Times New Roman;Times;serif" w:hAnsi="Times New Roman;Times;serif"/>
          <w:sz w:val="20"/>
        </w:rPr>
        <w:t xml:space="preserve"> </w:t>
      </w:r>
      <w:r>
        <w:rPr>
          <w:rFonts w:ascii="TimesNewRomanPSMT" w:hAnsi="TimesNewRomanPSMT"/>
          <w:sz w:val="20"/>
        </w:rPr>
        <w:t>million, or an average price per share of $16.29</w:t>
      </w:r>
      <w:r>
        <w:rPr>
          <w:rFonts w:ascii="Times New Roman;Times;serif" w:hAnsi="Times New Roman;Times;serif"/>
          <w:sz w:val="20"/>
        </w:rPr>
        <w:t xml:space="preserve"> </w:t>
      </w:r>
      <w:r>
        <w:rPr>
          <w:rFonts w:ascii="TimesNewRomanPSMT" w:hAnsi="TimesNewRomanPSMT"/>
          <w:sz w:val="20"/>
        </w:rPr>
        <w:t>pursuant to the December 2023 $5.0</w:t>
      </w:r>
      <w:r>
        <w:rPr>
          <w:rFonts w:ascii="Times New Roman;Times;serif" w:hAnsi="Times New Roman;Times;serif"/>
          <w:sz w:val="20"/>
        </w:rPr>
        <w:t xml:space="preserve"> </w:t>
      </w:r>
      <w:r>
        <w:rPr>
          <w:rFonts w:ascii="TimesNewRomanPSMT" w:hAnsi="TimesNewRomanPSMT"/>
          <w:sz w:val="20"/>
        </w:rPr>
        <w:t>Million Common Stock Repurchase Program. Accordingly, as of the date that the Company’s Board of Directors established the September 2025 $10.0</w:t>
      </w:r>
      <w:r>
        <w:rPr>
          <w:rFonts w:ascii="Times New Roman;Times;serif" w:hAnsi="Times New Roman;Times;serif"/>
          <w:sz w:val="20"/>
        </w:rPr>
        <w:t xml:space="preserve"> </w:t>
      </w:r>
      <w:r>
        <w:rPr>
          <w:rFonts w:ascii="TimesNewRomanPSMT" w:hAnsi="TimesNewRomanPSMT"/>
          <w:sz w:val="20"/>
        </w:rPr>
        <w:t>Million Common Stock Repurchase Program (hereinafter defined), no</w:t>
      </w:r>
      <w:r>
        <w:rPr>
          <w:rFonts w:ascii="Times New Roman;Times;serif" w:hAnsi="Times New Roman;Times;serif"/>
          <w:sz w:val="20"/>
        </w:rPr>
        <w:t xml:space="preserve"> </w:t>
      </w:r>
      <w:r>
        <w:rPr>
          <w:rFonts w:ascii="TimesNewRomanPSMT" w:hAnsi="TimesNewRomanPSMT"/>
          <w:sz w:val="20"/>
        </w:rPr>
        <w:t>shares of the Company’s common stock remained available for repurchase under the December 2023 $5.0</w:t>
      </w:r>
      <w:r>
        <w:rPr>
          <w:rFonts w:ascii="Times New Roman;Times;serif" w:hAnsi="Times New Roman;Times;serif"/>
          <w:sz w:val="20"/>
        </w:rPr>
        <w:t xml:space="preserve"> </w:t>
      </w:r>
      <w:r>
        <w:rPr>
          <w:rFonts w:ascii="TimesNewRomanPSMT" w:hAnsi="TimesNewRomanPSMT"/>
          <w:sz w:val="20"/>
        </w:rPr>
        <w:t>Million Common Stock Repurchase Program.</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On September 24, 2025, the Company’s Board of Directors approved a common stock repurchase program, which is expected to be in effect until the approved dollar amount has been used to repurchase shares </w:t>
      </w:r>
      <w:r>
        <w:rPr>
          <w:rFonts w:ascii="TimesNewRomanPSMT" w:hAnsi="TimesNewRomanPSMT"/>
          <w:sz w:val="20"/>
        </w:rPr>
        <w:t>(the “September 2025 $10.0</w:t>
      </w:r>
      <w:r>
        <w:rPr>
          <w:rFonts w:ascii="Times New Roman;Times;serif" w:hAnsi="Times New Roman;Times;serif"/>
          <w:sz w:val="20"/>
        </w:rPr>
        <w:t xml:space="preserve"> </w:t>
      </w:r>
      <w:r>
        <w:rPr>
          <w:rFonts w:ascii="TimesNewRomanPSMT" w:hAnsi="TimesNewRomanPSMT"/>
          <w:sz w:val="20"/>
        </w:rPr>
        <w:t>Million Common Stock Repurchase Program”). Pursuant to the September 2025 $10.0</w:t>
      </w:r>
      <w:r>
        <w:rPr>
          <w:rFonts w:ascii="Times New Roman;Times;serif" w:hAnsi="Times New Roman;Times;serif"/>
          <w:sz w:val="20"/>
        </w:rPr>
        <w:t xml:space="preserve"> </w:t>
      </w:r>
      <w:r>
        <w:rPr>
          <w:rFonts w:ascii="TimesNewRomanPSMT" w:hAnsi="TimesNewRomanPSMT"/>
          <w:sz w:val="20"/>
        </w:rPr>
        <w:t>Million Common Stock Repurchase Program, the Company may repurchase shares of its common stock for a total purchase price of up to $10.0</w:t>
      </w:r>
      <w:r>
        <w:rPr>
          <w:rFonts w:ascii="Times New Roman;Times;serif" w:hAnsi="Times New Roman;Times;serif"/>
          <w:sz w:val="20"/>
        </w:rPr>
        <w:t xml:space="preserve"> </w:t>
      </w:r>
      <w:r>
        <w:rPr>
          <w:rFonts w:ascii="TimesNewRomanPSMT" w:hAnsi="TimesNewRomanPSMT"/>
          <w:sz w:val="20"/>
        </w:rPr>
        <w:t>million. Shares may be purchased under the September 2025 $10.0</w:t>
      </w:r>
      <w:r>
        <w:rPr>
          <w:rFonts w:ascii="Times New Roman;Times;serif" w:hAnsi="Times New Roman;Times;serif"/>
          <w:sz w:val="20"/>
        </w:rPr>
        <w:t xml:space="preserve"> </w:t>
      </w:r>
      <w:r>
        <w:rPr>
          <w:rFonts w:ascii="TimesNewRomanPSMT" w:hAnsi="TimesNewRomanPSMT"/>
          <w:sz w:val="20"/>
        </w:rPr>
        <w:t>Million Common Stock Repurchase Program in open market transactions, including through block purchases, through privately negotiated transactions or pursuant to any trading plan that may be adopted in accordance with Rule 10b5-1 under the Securities Exchange Act of 1934, as amended (the “Exchange Act”). The September 2025 $10.0</w:t>
      </w:r>
      <w:r>
        <w:rPr>
          <w:rFonts w:ascii="Times New Roman;Times;serif" w:hAnsi="Times New Roman;Times;serif"/>
          <w:sz w:val="20"/>
        </w:rPr>
        <w:t xml:space="preserve"> </w:t>
      </w:r>
      <w:r>
        <w:rPr>
          <w:rFonts w:ascii="TimesNewRomanPSMT" w:hAnsi="TimesNewRomanPSMT"/>
          <w:sz w:val="20"/>
        </w:rPr>
        <w:t xml:space="preserve">Million Common Stock Repurchase Program does not obligate the Company to acquire any particular amount of shares of its common stock and may be modified or suspended. During the year ended December 31, 2025, the </w:t>
      </w:r>
      <w:r>
        <w:rPr>
          <w:rFonts w:ascii="Times New Roman;Times;serif" w:hAnsi="Times New Roman;Times;serif"/>
          <w:sz w:val="20"/>
        </w:rPr>
        <w:t xml:space="preserve">Company repurchased 307,563 shares of its common stock on the open market for a total cost of $5.0 million, or an average price per share of $16.26 under the September 2025 $10.0 Million Common Stock Repurchase Program. In the aggregate, </w:t>
      </w:r>
      <w:r>
        <w:rPr>
          <w:rFonts w:ascii="TimesNewRomanPSMT" w:hAnsi="TimesNewRomanPSMT"/>
          <w:sz w:val="20"/>
          <w:shd w:fill="FFFFFF" w:val="clear"/>
        </w:rPr>
        <w:t>under the December</w:t>
      </w:r>
      <w:r>
        <w:rPr>
          <w:rFonts w:ascii="Times New Roman;Times;serif" w:hAnsi="Times New Roman;Times;serif"/>
          <w:sz w:val="20"/>
          <w:shd w:fill="FFFFFF" w:val="clear"/>
        </w:rPr>
        <w:t xml:space="preserve"> 2023 $</w:t>
      </w:r>
      <w:r>
        <w:rPr>
          <w:rFonts w:ascii="Times New Roman;Times;serif" w:hAnsi="Times New Roman;Times;serif"/>
          <w:sz w:val="20"/>
        </w:rPr>
        <w:t>5.0</w:t>
      </w:r>
      <w:r>
        <w:rPr>
          <w:rFonts w:ascii="Times New Roman;Times;serif" w:hAnsi="Times New Roman;Times;serif"/>
          <w:sz w:val="20"/>
          <w:shd w:fill="FFFFFF" w:val="clear"/>
        </w:rPr>
        <w:t> Million Common Stock Repurchase Program and </w:t>
      </w:r>
      <w:r>
        <w:rPr>
          <w:rFonts w:ascii="TimesNewRomanPSMT" w:hAnsi="TimesNewRomanPSMT"/>
          <w:sz w:val="20"/>
          <w:shd w:fill="FFFFFF" w:val="clear"/>
        </w:rPr>
        <w:t>September 2025 $10.0</w:t>
      </w:r>
      <w:r>
        <w:rPr>
          <w:rFonts w:ascii="Times New Roman;Times;serif" w:hAnsi="Times New Roman;Times;serif"/>
          <w:sz w:val="20"/>
          <w:shd w:fill="FFFFFF" w:val="clear"/>
        </w:rPr>
        <w:t> </w:t>
      </w:r>
      <w:r>
        <w:rPr>
          <w:rFonts w:ascii="TimesNewRomanPSMT" w:hAnsi="TimesNewRomanPSMT"/>
          <w:sz w:val="20"/>
          <w:shd w:fill="FFFFFF" w:val="clear"/>
        </w:rPr>
        <w:t>Million Common Stock Repurchase Program, the Company repurchased 573,724</w:t>
      </w:r>
      <w:r>
        <w:rPr>
          <w:rFonts w:ascii="Times New Roman;Times;serif" w:hAnsi="Times New Roman;Times;serif"/>
          <w:sz w:val="20"/>
          <w:shd w:fill="FFFFFF" w:val="clear"/>
        </w:rPr>
        <w:t> </w:t>
      </w:r>
      <w:r>
        <w:rPr>
          <w:rFonts w:ascii="TimesNewRomanPSMT" w:hAnsi="TimesNewRomanPSMT"/>
          <w:sz w:val="20"/>
          <w:shd w:fill="FFFFFF" w:val="clear"/>
        </w:rPr>
        <w:t>shares of its common stock on the open market for a total cost of $9.3</w:t>
      </w:r>
      <w:r>
        <w:rPr>
          <w:rFonts w:ascii="Times New Roman;Times;serif" w:hAnsi="Times New Roman;Times;serif"/>
          <w:sz w:val="20"/>
          <w:shd w:fill="FFFFFF" w:val="clear"/>
        </w:rPr>
        <w:t> </w:t>
      </w:r>
      <w:r>
        <w:rPr>
          <w:rFonts w:ascii="TimesNewRomanPSMT" w:hAnsi="TimesNewRomanPSMT"/>
          <w:sz w:val="20"/>
          <w:shd w:fill="FFFFFF" w:val="clear"/>
        </w:rPr>
        <w:t>million, or an average price per share of $16.27</w:t>
      </w:r>
      <w:r>
        <w:rPr>
          <w:rFonts w:ascii="Times New Roman;Times;serif" w:hAnsi="Times New Roman;Times;serif"/>
          <w:sz w:val="20"/>
          <w:shd w:fill="FFFFFF" w:val="clear"/>
        </w:rPr>
        <w:t> </w:t>
      </w:r>
      <w:r>
        <w:rPr>
          <w:rFonts w:ascii="TimesNewRomanPSMT" w:hAnsi="TimesNewRomanPSMT"/>
          <w:sz w:val="20"/>
          <w:shd w:fill="FFFFFF" w:val="clear"/>
        </w:rPr>
        <w:t>during the year ended December 31, 2025.</w:t>
      </w:r>
    </w:p>
    <w:p>
      <w:pPr>
        <w:pStyle w:val="TextBody"/>
        <w:pBd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No shares of the Company’s common stock were purchased under the September 2025 $10.0 Million Common Stock Repurchase Program during the six months ended June 30, 2026. As of June 30, 2026, $5.0 million remained available for repurchases under the September 2025 $10.0 Million Common Stock Repurchase Program.</w:t>
      </w:r>
    </w:p>
    <w:p>
      <w:pPr>
        <w:pStyle w:val="TextBody"/>
        <w:pBdr/>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SERIES A PREFERRED STOCK REPURCHASE PROGRAM</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February 16, 2023, the Company’s Board of Directors approved a Series A Preferred Stock repurchase program, which is expected to be in effect until the approved dollar amount has been used to repurchase shares (the “Series A Preferred Stock Repurchase Program”). Pursuant to the Series A Preferred Stock Repurchase Program, the Company may repurchase shares of its Series A Preferred Stock for a total purchase price of up to $3.0 million. Shares may be purchased under the Series A Preferred Stock Repurchase Program in open market transactions, including through block purchases, through privately negotiated transactions or pursuant to any trading plan that may be adopted in accordance with Rule 10b5-1 under the Exchange Act. The Series A Preferred Stock Repurchase Program does not obligate the Company to acquire any particular amount of shares of its Series A Preferred Stock and may be modified or suspended. During the year ended December 31, 2023, the Company repurchased 21,192 shares of Series A Preferred Stock on the open market for a total cost of $0.4 million, or an average price per share of $18.45. No shares of the Company’s Series A Preferred Stock were repurchased under the Series A Preferred Stock Repurchase Program during the six months ended June 30, 2026 or 2025.</w:t>
      </w:r>
    </w:p>
    <w:p>
      <w:pPr>
        <w:pStyle w:val="TextBody"/>
        <w:shd w:fill="FFFFFF" w:val="clear"/>
        <w:bidi w:val="0"/>
        <w:spacing w:before="0" w:after="0"/>
        <w:ind w:left="0" w:right="0" w:hanging="0"/>
        <w:jc w:val="both"/>
        <w:rPr/>
      </w:pPr>
      <w:r>
        <w:rPr/>
        <w:t> </w:t>
      </w:r>
    </w:p>
    <w:p>
      <w:pPr>
        <w:pStyle w:val="TextBody"/>
        <w:shd w:fill="FFFFFF" w:val="clear"/>
        <w:bidi w:val="0"/>
        <w:spacing w:before="100" w:after="10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484" w:name="Tc_Ho8tUv1z7E6J0BpjZaPD2g_8_1"/>
      <w:bookmarkStart w:id="1485" w:name="Tc_VJCk0OiCtUKDACYGqI7JSA_8_0"/>
      <w:bookmarkStart w:id="1486" w:name="Tc_iC39hQB9ekuLeSfJqW4c9Q_7_4"/>
      <w:bookmarkStart w:id="1487" w:name="Tc_HCu_hIkTQUiu6XNif2uiBQ_7_0"/>
      <w:bookmarkStart w:id="1488" w:name="Tc_i-srTEimi06i0pqMQK34QQ_6_8"/>
      <w:bookmarkStart w:id="1489" w:name="Tc_sMtBjRC6AUqHnAosxFxRmQ_6_4"/>
      <w:bookmarkStart w:id="1490" w:name="Tc_F_Defea8UUmfXMK3MDdW8w_6_0"/>
      <w:bookmarkStart w:id="1491" w:name="Tc_DVTqWD3ykkyy9Rd1ygkbzA_5_8"/>
      <w:bookmarkStart w:id="1492" w:name="Tc_wKJ2tl-vLEePuLeK7eI-ag_5_4"/>
      <w:bookmarkStart w:id="1493" w:name="Tc_lzWwlXsXvkuFLrEpVS1VoA_5_0"/>
      <w:bookmarkStart w:id="1494" w:name="Tc_2Ls3LlHQlk2ILv1tkUL-jQ_4_8"/>
      <w:bookmarkStart w:id="1495" w:name="Tc_gnsujzl-dEehFmArvKLU1Q_4_4"/>
      <w:bookmarkStart w:id="1496" w:name="Tc_-RbSuQWv_UmT24Fh9V9toA_4_0"/>
      <w:bookmarkStart w:id="1497" w:name="Tc_b4KWBoFMdUCBWTggSoGrzA_3_8"/>
      <w:bookmarkStart w:id="1498" w:name="Tc_1qsj7iv0Ok6V90I5beCfZw_3_4"/>
      <w:bookmarkStart w:id="1499" w:name="Tc_63zar9m-NE6hBtFFu06q3w_3_0"/>
      <w:bookmarkStart w:id="1500" w:name="Tc_g6hdBYCqfk6gIDLe0IY2cg_2_8"/>
      <w:bookmarkStart w:id="1501" w:name="Tc_GEakKDw_iUmtzU8lWxQkXw_2_4"/>
      <w:bookmarkStart w:id="1502" w:name="Tc_NB0Byxve9EyAYLSYl3k4hA_2_1"/>
      <w:bookmarkStart w:id="1503" w:name="Tc_LBc7hiiahEKpkU_5ByhBjQ_2_0"/>
      <w:bookmarkStart w:id="1504" w:name="Tc_FhpwZ41mbkmuCqoOmgCDgA_1_10"/>
      <w:bookmarkStart w:id="1505" w:name="Tc_4l5ESinn6U-0QuIWJcb6vA_1_7"/>
      <w:bookmarkStart w:id="1506" w:name="Tc_YuF_juM0sU2JNFNNiYuPeA_1_4"/>
      <w:bookmarkStart w:id="1507" w:name="Tc_2tyhHHpVokGAOlnoDXL0HA_1_1"/>
      <w:bookmarkStart w:id="1508" w:name="_79e4c11c_a6a9_439e_bf78_3dc80c747fd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r>
        <w:rPr>
          <w:rFonts w:ascii="Times New Roman;Times;serif" w:hAnsi="Times New Roman;Times;serif"/>
          <w:b/>
          <w:sz w:val="20"/>
        </w:rPr>
        <w:t>NOTE 14. LONG-TERM DEBT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As of June 30, 2026, the Company’s outstanding indebtedness, at face value, was as follows (in thousands):</w:t>
      </w:r>
    </w:p>
    <w:p>
      <w:pPr>
        <w:pStyle w:val="TextBody"/>
        <w:bidi w:val="0"/>
        <w:spacing w:before="0" w:after="0"/>
        <w:ind w:left="0" w:right="0" w:hanging="0"/>
        <w:jc w:val="left"/>
        <w:rPr/>
      </w:pPr>
      <w:r>
        <w:rPr/>
        <w:t>​</w:t>
      </w:r>
    </w:p>
    <w:tbl>
      <w:tblPr>
        <w:tblW w:w="9634" w:type="dxa"/>
        <w:jc w:val="left"/>
        <w:tblInd w:w="0" w:type="dxa"/>
        <w:tblLayout w:type="fixed"/>
        <w:tblCellMar>
          <w:top w:w="0" w:type="dxa"/>
          <w:left w:w="0" w:type="dxa"/>
          <w:bottom w:w="0" w:type="dxa"/>
          <w:right w:w="0" w:type="dxa"/>
        </w:tblCellMar>
      </w:tblPr>
      <w:tblGrid>
        <w:gridCol w:w="2896"/>
        <w:gridCol w:w="316"/>
        <w:gridCol w:w="1169"/>
        <w:gridCol w:w="346"/>
        <w:gridCol w:w="712"/>
        <w:gridCol w:w="713"/>
        <w:gridCol w:w="146"/>
        <w:gridCol w:w="109"/>
        <w:gridCol w:w="1456"/>
        <w:gridCol w:w="346"/>
        <w:gridCol w:w="198"/>
        <w:gridCol w:w="1227"/>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838960" cy="175260"/>
                      <wp:effectExtent l="0" t="0" r="0" b="0"/>
                      <wp:wrapNone/>
                      <wp:docPr id="272" name="Frame272"/>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0660" cy="175260"/>
                      <wp:effectExtent l="0" t="0" r="0" b="0"/>
                      <wp:wrapNone/>
                      <wp:docPr id="273" name="Frame27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742315" cy="175260"/>
                      <wp:effectExtent l="0" t="0" r="0" b="0"/>
                      <wp:wrapNone/>
                      <wp:docPr id="274" name="Frame274"/>
                      <a:graphic xmlns:a="http://schemas.openxmlformats.org/drawingml/2006/main">
                        <a:graphicData uri="http://schemas.microsoft.com/office/word/2010/wordprocessingShape">
                          <wps:wsp>
                            <wps:cNvSpPr txBox="1"/>
                            <wps:spPr>
                              <a:xfrm>
                                <a:off x="0" y="0"/>
                                <a:ext cx="742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52120" cy="175260"/>
                      <wp:effectExtent l="0" t="0" r="0" b="0"/>
                      <wp:wrapNone/>
                      <wp:docPr id="276" name="Frame276"/>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452755" cy="175260"/>
                      <wp:effectExtent l="0" t="0" r="0" b="0"/>
                      <wp:wrapNone/>
                      <wp:docPr id="277" name="Frame277"/>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92710" cy="175260"/>
                      <wp:effectExtent l="0" t="0" r="0" b="0"/>
                      <wp:wrapNone/>
                      <wp:docPr id="278" name="Frame27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9215" cy="175260"/>
                      <wp:effectExtent l="0" t="0" r="0" b="0"/>
                      <wp:wrapNone/>
                      <wp:docPr id="279" name="Frame2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924560" cy="175260"/>
                      <wp:effectExtent l="0" t="0" r="0" b="0"/>
                      <wp:wrapNone/>
                      <wp:docPr id="280" name="Frame280"/>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1"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25730" cy="175260"/>
                      <wp:effectExtent l="0" t="0" r="0" b="0"/>
                      <wp:wrapNone/>
                      <wp:docPr id="282" name="Frame282"/>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779145" cy="175260"/>
                      <wp:effectExtent l="0" t="0" r="0" b="0"/>
                      <wp:wrapNone/>
                      <wp:docPr id="283" name="Frame283"/>
                      <a:graphic xmlns:a="http://schemas.openxmlformats.org/drawingml/2006/main">
                        <a:graphicData uri="http://schemas.microsoft.com/office/word/2010/wordprocessingShape">
                          <wps:wsp>
                            <wps:cNvSpPr txBox="1"/>
                            <wps:spPr>
                              <a:xfrm>
                                <a:off x="0" y="0"/>
                                <a:ext cx="779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0"/>
              <w:ind w:left="0" w:right="0" w:hanging="0"/>
              <w:jc w:val="center"/>
              <w:rPr/>
            </w:pPr>
            <w:r>
              <w:rPr/>
              <w:t>​</w:t>
            </w:r>
          </w:p>
        </w:tc>
        <w:tc>
          <w:tcPr>
            <w:tcW w:w="1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Face Value Debt</w:t>
            </w:r>
          </w:p>
        </w:tc>
        <w:tc>
          <w:tcPr>
            <w:tcW w:w="346" w:type="dxa"/>
            <w:tcBorders/>
            <w:vAlign w:val="center"/>
          </w:tcPr>
          <w:p>
            <w:pPr>
              <w:pStyle w:val="TableContents"/>
              <w:bidi w:val="0"/>
              <w:spacing w:before="0" w:after="0"/>
              <w:ind w:left="0" w:right="0" w:hanging="0"/>
              <w:jc w:val="left"/>
              <w:rPr/>
            </w:pPr>
            <w:r>
              <w:rPr/>
              <w:t>  ​ ​ ​</w:t>
            </w:r>
          </w:p>
        </w:tc>
        <w:tc>
          <w:tcPr>
            <w:tcW w:w="14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Maturity Date</w:t>
            </w:r>
          </w:p>
        </w:tc>
        <w:tc>
          <w:tcPr>
            <w:tcW w:w="146" w:type="dxa"/>
            <w:tcBorders/>
            <w:vAlign w:val="center"/>
          </w:tcPr>
          <w:p>
            <w:pPr>
              <w:pStyle w:val="TableContents"/>
              <w:bidi w:val="0"/>
              <w:spacing w:before="0" w:after="0"/>
              <w:ind w:left="0" w:right="0" w:hanging="0"/>
              <w:jc w:val="left"/>
              <w:rPr/>
            </w:pPr>
            <w:r>
              <w:rPr/>
              <w:t> </w:t>
            </w:r>
          </w:p>
        </w:tc>
        <w:tc>
          <w:tcPr>
            <w:tcW w:w="15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Interest Rate</w:t>
            </w:r>
          </w:p>
        </w:tc>
        <w:tc>
          <w:tcPr>
            <w:tcW w:w="346" w:type="dxa"/>
            <w:tcBorders/>
            <w:vAlign w:val="center"/>
          </w:tcPr>
          <w:p>
            <w:pPr>
              <w:pStyle w:val="TableContents"/>
              <w:bidi w:val="0"/>
              <w:spacing w:before="0" w:after="0"/>
              <w:ind w:left="0" w:right="0" w:hanging="0"/>
              <w:jc w:val="left"/>
              <w:rPr/>
            </w:pPr>
            <w:r>
              <w:rPr/>
              <w:t>  ​ ​ ​</w:t>
            </w:r>
          </w:p>
        </w:tc>
        <w:tc>
          <w:tcPr>
            <w:tcW w:w="14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Wtd. Avg. Rate</w:t>
            </w:r>
          </w:p>
        </w:tc>
      </w:tr>
      <w:tr>
        <w:trPr/>
        <w:tc>
          <w:tcPr>
            <w:tcW w:w="28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Revolving Credit Facility </w:t>
            </w:r>
            <w:r>
              <w:rPr>
                <w:rFonts w:ascii="Times New Roman;Times;serif" w:hAnsi="Times New Roman;Times;serif"/>
                <w:sz w:val="15"/>
              </w:rPr>
              <w:t xml:space="preserve">(1)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193,000</w:t>
            </w:r>
          </w:p>
        </w:tc>
        <w:tc>
          <w:tcPr>
            <w:tcW w:w="346" w:type="dxa"/>
            <w:tcBorders/>
            <w:shd w:fill="CCEEFF" w:val="clear"/>
            <w:vAlign w:val="center"/>
          </w:tcPr>
          <w:p>
            <w:pPr>
              <w:pStyle w:val="TableContents"/>
              <w:bidi w:val="0"/>
              <w:spacing w:before="0" w:after="0"/>
              <w:ind w:left="0" w:right="0" w:hanging="0"/>
              <w:jc w:val="left"/>
              <w:rPr/>
            </w:pPr>
            <w:r>
              <w:rPr/>
              <w:t>​</w:t>
            </w:r>
          </w:p>
        </w:tc>
        <w:tc>
          <w:tcPr>
            <w:tcW w:w="1425"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2027</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+ 0.10% +</w:t>
              <w:br/>
              <w:t>[1.25% - 2.20%]</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5.17%</w:t>
            </w:r>
          </w:p>
        </w:tc>
      </w:tr>
      <w:tr>
        <w:trPr/>
        <w:tc>
          <w:tcPr>
            <w:tcW w:w="289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2027 Term Loan </w:t>
            </w:r>
            <w:r>
              <w:rPr>
                <w:rFonts w:ascii="Times New Roman;Times;serif" w:hAnsi="Times New Roman;Times;serif"/>
                <w:sz w:val="15"/>
              </w:rPr>
              <w:t xml:space="preserve">(2) </w:t>
            </w:r>
          </w:p>
        </w:tc>
        <w:tc>
          <w:tcPr>
            <w:tcW w:w="316" w:type="dxa"/>
            <w:tcBorders/>
            <w:vAlign w:val="center"/>
          </w:tcPr>
          <w:p>
            <w:pPr>
              <w:pStyle w:val="TableContents"/>
              <w:bidi w:val="0"/>
              <w:spacing w:before="0" w:after="0"/>
              <w:ind w:left="0" w:right="0" w:hanging="0"/>
              <w:jc w:val="left"/>
              <w:rPr/>
            </w:pPr>
            <w:r>
              <w:rPr/>
              <w:t>​</w:t>
            </w:r>
          </w:p>
        </w:tc>
        <w:tc>
          <w:tcPr>
            <w:tcW w:w="11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vAlign w:val="center"/>
          </w:tcPr>
          <w:p>
            <w:pPr>
              <w:pStyle w:val="TableContents"/>
              <w:bidi w:val="0"/>
              <w:spacing w:before="0" w:after="0"/>
              <w:ind w:left="0" w:right="0" w:hanging="0"/>
              <w:jc w:val="left"/>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2027</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+ 0.10% +</w:t>
              <w:br/>
              <w:t>[1.25% - 2.20%]</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2.80%</w:t>
            </w:r>
          </w:p>
        </w:tc>
      </w:tr>
      <w:tr>
        <w:trPr/>
        <w:tc>
          <w:tcPr>
            <w:tcW w:w="28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2028 Term Loan </w:t>
            </w:r>
            <w:r>
              <w:rPr>
                <w:rFonts w:ascii="Times New Roman;Times;serif" w:hAnsi="Times New Roman;Times;serif"/>
                <w:sz w:val="15"/>
              </w:rPr>
              <w:t xml:space="preserve">(3) </w:t>
            </w:r>
          </w:p>
        </w:tc>
        <w:tc>
          <w:tcPr>
            <w:tcW w:w="316" w:type="dxa"/>
            <w:tcBorders/>
            <w:shd w:fill="CCEEFF" w:val="clear"/>
            <w:vAlign w:val="center"/>
          </w:tcPr>
          <w:p>
            <w:pPr>
              <w:pStyle w:val="TableContents"/>
              <w:bidi w:val="0"/>
              <w:spacing w:before="0" w:after="0"/>
              <w:ind w:left="0" w:right="0" w:hanging="0"/>
              <w:jc w:val="left"/>
              <w:rPr/>
            </w:pPr>
            <w:r>
              <w:rPr/>
              <w:t>​</w:t>
            </w:r>
          </w:p>
        </w:tc>
        <w:tc>
          <w:tcPr>
            <w:tcW w:w="11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shd w:fill="CCEEFF" w:val="clear"/>
            <w:vAlign w:val="center"/>
          </w:tcPr>
          <w:p>
            <w:pPr>
              <w:pStyle w:val="TableContents"/>
              <w:bidi w:val="0"/>
              <w:spacing w:before="0" w:after="0"/>
              <w:ind w:left="0" w:right="0" w:hanging="0"/>
              <w:jc w:val="left"/>
              <w:rPr/>
            </w:pPr>
            <w:r>
              <w:rPr/>
              <w:t>​</w:t>
            </w:r>
          </w:p>
        </w:tc>
        <w:tc>
          <w:tcPr>
            <w:tcW w:w="1425"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2028</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+ 0.10% +</w:t>
              <w:br/>
              <w:t>[1.20% - 2.15%]</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5.18%</w:t>
            </w:r>
          </w:p>
        </w:tc>
      </w:tr>
      <w:tr>
        <w:trPr/>
        <w:tc>
          <w:tcPr>
            <w:tcW w:w="289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2029 Term Loan </w:t>
            </w:r>
            <w:r>
              <w:rPr>
                <w:rFonts w:ascii="Times New Roman;Times;serif" w:hAnsi="Times New Roman;Times;serif"/>
                <w:sz w:val="15"/>
              </w:rPr>
              <w:t xml:space="preserve">(4) </w:t>
            </w:r>
          </w:p>
        </w:tc>
        <w:tc>
          <w:tcPr>
            <w:tcW w:w="316" w:type="dxa"/>
            <w:tcBorders/>
            <w:vAlign w:val="center"/>
          </w:tcPr>
          <w:p>
            <w:pPr>
              <w:pStyle w:val="TableContents"/>
              <w:bidi w:val="0"/>
              <w:spacing w:before="0" w:after="0"/>
              <w:ind w:left="0" w:right="0" w:hanging="0"/>
              <w:jc w:val="left"/>
              <w:rPr/>
            </w:pPr>
            <w:r>
              <w:rPr/>
              <w:t>​</w:t>
            </w:r>
          </w:p>
        </w:tc>
        <w:tc>
          <w:tcPr>
            <w:tcW w:w="11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125,000</w:t>
            </w:r>
          </w:p>
        </w:tc>
        <w:tc>
          <w:tcPr>
            <w:tcW w:w="346" w:type="dxa"/>
            <w:tcBorders/>
            <w:vAlign w:val="center"/>
          </w:tcPr>
          <w:p>
            <w:pPr>
              <w:pStyle w:val="TableContents"/>
              <w:bidi w:val="0"/>
              <w:spacing w:before="0" w:after="0"/>
              <w:ind w:left="0" w:right="0" w:hanging="0"/>
              <w:jc w:val="left"/>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2029</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w:t>
              <w:br/>
              <w:t>[1.20% - 2.15%]</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4.67%</w:t>
            </w:r>
          </w:p>
        </w:tc>
      </w:tr>
      <w:tr>
        <w:trPr/>
        <w:tc>
          <w:tcPr>
            <w:tcW w:w="28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2030 Term Loan </w:t>
            </w:r>
            <w:r>
              <w:rPr>
                <w:rFonts w:ascii="Times New Roman;Times;serif" w:hAnsi="Times New Roman;Times;serif"/>
                <w:sz w:val="15"/>
              </w:rPr>
              <w:t xml:space="preserve">(5) </w:t>
            </w:r>
          </w:p>
        </w:tc>
        <w:tc>
          <w:tcPr>
            <w:tcW w:w="316" w:type="dxa"/>
            <w:tcBorders/>
            <w:shd w:fill="CCEEFF" w:val="clear"/>
            <w:vAlign w:val="center"/>
          </w:tcPr>
          <w:p>
            <w:pPr>
              <w:pStyle w:val="TableContents"/>
              <w:bidi w:val="0"/>
              <w:spacing w:before="0" w:after="0"/>
              <w:ind w:left="0" w:right="0" w:hanging="0"/>
              <w:jc w:val="left"/>
              <w:rPr/>
            </w:pPr>
            <w:r>
              <w:rPr/>
              <w:t>​</w:t>
            </w:r>
          </w:p>
        </w:tc>
        <w:tc>
          <w:tcPr>
            <w:tcW w:w="11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125,000</w:t>
            </w:r>
          </w:p>
        </w:tc>
        <w:tc>
          <w:tcPr>
            <w:tcW w:w="346" w:type="dxa"/>
            <w:tcBorders/>
            <w:shd w:fill="CCEEFF" w:val="clear"/>
            <w:vAlign w:val="center"/>
          </w:tcPr>
          <w:p>
            <w:pPr>
              <w:pStyle w:val="TableContents"/>
              <w:bidi w:val="0"/>
              <w:spacing w:before="0" w:after="0"/>
              <w:ind w:left="0" w:right="0" w:hanging="0"/>
              <w:jc w:val="left"/>
              <w:rPr/>
            </w:pPr>
            <w:r>
              <w:rPr/>
              <w:t>​</w:t>
            </w:r>
          </w:p>
        </w:tc>
        <w:tc>
          <w:tcPr>
            <w:tcW w:w="1425"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2030</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w:t>
              <w:br/>
              <w:t>[1.20% - 2.15%]</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4.69%</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Mortgage Note Payable</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w:t>
            </w:r>
          </w:p>
        </w:tc>
        <w:tc>
          <w:tcPr>
            <w:tcW w:w="346" w:type="dxa"/>
            <w:tcBorders/>
            <w:vAlign w:val="center"/>
          </w:tcPr>
          <w:p>
            <w:pPr>
              <w:pStyle w:val="TableContents"/>
              <w:bidi w:val="0"/>
              <w:spacing w:before="0" w:after="0"/>
              <w:ind w:left="0" w:right="0" w:hanging="0"/>
              <w:jc w:val="left"/>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2026</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4.060%</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122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4.06%</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Face Value Debt</w:t>
            </w:r>
          </w:p>
        </w:tc>
        <w:tc>
          <w:tcPr>
            <w:tcW w:w="3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660,800</w:t>
            </w:r>
          </w:p>
        </w:tc>
        <w:tc>
          <w:tcPr>
            <w:tcW w:w="346"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left"/>
              <w:rPr/>
            </w:pPr>
            <w:r>
              <w:rPr/>
              <w:t>​</w:t>
            </w:r>
          </w:p>
        </w:tc>
        <w:tc>
          <w:tcPr>
            <w:tcW w:w="713"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1227"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4.60%</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lineRule="auto" w:line="240" w:before="0" w:after="0"/>
              <w:jc w:val="both"/>
              <w:rPr>
                <w:rFonts w:ascii="Times New Roman;Times;serif" w:hAnsi="Times New Roman;Times;serif"/>
                <w:sz w:val="12"/>
              </w:rPr>
            </w:pPr>
            <w:r>
              <w:rPr>
                <w:rFonts w:ascii="Times New Roman;Times;serif" w:hAnsi="Times New Roman;Times;serif"/>
                <w:sz w:val="12"/>
              </w:rPr>
              <w:t>(1)</w:t>
            </w:r>
          </w:p>
        </w:tc>
        <w:tc>
          <w:tcPr>
            <w:tcW w:w="995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6"/>
                <w:shd w:fill="FFFFFF" w:val="clear"/>
              </w:rPr>
              <w:t>The Company utilized interest rate swaps on $50.0</w:t>
            </w:r>
            <w:r>
              <w:rPr>
                <w:rFonts w:ascii="Times New Roman;Times;serif" w:hAnsi="Times New Roman;Times;serif"/>
                <w:sz w:val="20"/>
                <w:shd w:fill="FFFFFF" w:val="clear"/>
              </w:rPr>
              <w:t> </w:t>
            </w:r>
            <w:r>
              <w:rPr>
                <w:rFonts w:ascii="Times New Roman;Times;serif" w:hAnsi="Times New Roman;Times;serif"/>
                <w:sz w:val="16"/>
                <w:shd w:fill="FFFFFF" w:val="clear"/>
              </w:rPr>
              <w:t>million of the Credit Facility balance to fix SOFR and achieve a weighted average fixed swap rate of 3.85%</w:t>
            </w:r>
            <w:r>
              <w:rPr>
                <w:rFonts w:ascii="Times New Roman;Times;serif" w:hAnsi="Times New Roman;Times;serif"/>
                <w:sz w:val="20"/>
                <w:shd w:fill="FFFFFF" w:val="clear"/>
              </w:rPr>
              <w:t> </w:t>
            </w:r>
            <w:r>
              <w:rPr>
                <w:rFonts w:ascii="Times New Roman;Times;serif" w:hAnsi="Times New Roman;Times;serif"/>
                <w:sz w:val="16"/>
                <w:shd w:fill="FFFFFF" w:val="clear"/>
              </w:rPr>
              <w:t>plus the 10</w:t>
            </w:r>
            <w:r>
              <w:rPr>
                <w:rFonts w:ascii="Times New Roman;Times;serif" w:hAnsi="Times New Roman;Times;serif"/>
                <w:sz w:val="20"/>
                <w:shd w:fill="FFFFFF" w:val="clear"/>
              </w:rPr>
              <w:t> </w:t>
            </w:r>
            <w:r>
              <w:rPr>
                <w:rFonts w:ascii="Times New Roman;Times;serif" w:hAnsi="Times New Roman;Times;serif"/>
                <w:sz w:val="16"/>
                <w:shd w:fill="FFFFFF" w:val="clear"/>
              </w:rPr>
              <w:t>bps SOFR adjustment plus the applicable spread.</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lineRule="auto" w:line="240" w:before="0" w:after="0"/>
              <w:jc w:val="both"/>
              <w:rPr>
                <w:rFonts w:ascii="Times New Roman;Times;serif" w:hAnsi="Times New Roman;Times;serif"/>
                <w:sz w:val="12"/>
              </w:rPr>
            </w:pPr>
            <w:r>
              <w:rPr>
                <w:rFonts w:ascii="Times New Roman;Times;serif" w:hAnsi="Times New Roman;Times;serif"/>
                <w:sz w:val="12"/>
              </w:rPr>
              <w:t>(2)</w:t>
            </w:r>
          </w:p>
        </w:tc>
        <w:tc>
          <w:tcPr>
            <w:tcW w:w="995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6"/>
              </w:rPr>
              <w:t>The Company utilized interest rate swaps on the $100.0</w:t>
            </w:r>
            <w:r>
              <w:rPr>
                <w:rFonts w:ascii="Times New Roman;Times;serif" w:hAnsi="Times New Roman;Times;serif"/>
                <w:sz w:val="20"/>
              </w:rPr>
              <w:t xml:space="preserve"> </w:t>
            </w:r>
            <w:r>
              <w:rPr>
                <w:rFonts w:ascii="Times New Roman;Times;serif" w:hAnsi="Times New Roman;Times;serif"/>
                <w:sz w:val="16"/>
              </w:rPr>
              <w:t>million 2027 Term Loan balance to fix SOFR and achieve a weighted average fixed swap rate of 1.35%</w:t>
            </w:r>
            <w:r>
              <w:rPr>
                <w:rFonts w:ascii="Times New Roman;Times;serif" w:hAnsi="Times New Roman;Times;serif"/>
                <w:sz w:val="20"/>
              </w:rPr>
              <w:t xml:space="preserve"> </w:t>
            </w:r>
            <w:r>
              <w:rPr>
                <w:rFonts w:ascii="Times New Roman;Times;serif" w:hAnsi="Times New Roman;Times;serif"/>
                <w:sz w:val="16"/>
              </w:rPr>
              <w:t>plus the 10</w:t>
            </w:r>
            <w:r>
              <w:rPr>
                <w:rFonts w:ascii="Times New Roman;Times;serif" w:hAnsi="Times New Roman;Times;serif"/>
                <w:sz w:val="20"/>
              </w:rPr>
              <w:t xml:space="preserve"> </w:t>
            </w:r>
            <w:r>
              <w:rPr>
                <w:rFonts w:ascii="Times New Roman;Times;serif" w:hAnsi="Times New Roman;Times;serif"/>
                <w:sz w:val="16"/>
              </w:rPr>
              <w:t>bps SOFR adjustment plus the applicable spread.</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lineRule="auto" w:line="240" w:before="0" w:after="0"/>
              <w:jc w:val="both"/>
              <w:rPr>
                <w:rFonts w:ascii="Times New Roman;Times;serif" w:hAnsi="Times New Roman;Times;serif"/>
                <w:sz w:val="12"/>
              </w:rPr>
            </w:pPr>
            <w:r>
              <w:rPr>
                <w:rFonts w:ascii="Times New Roman;Times;serif" w:hAnsi="Times New Roman;Times;serif"/>
                <w:sz w:val="12"/>
              </w:rPr>
              <w:t>(3)</w:t>
            </w:r>
          </w:p>
        </w:tc>
        <w:tc>
          <w:tcPr>
            <w:tcW w:w="99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6"/>
              </w:rPr>
              <w:t>The Company utilized interest rate swaps on the $100.0</w:t>
            </w:r>
            <w:r>
              <w:rPr>
                <w:rFonts w:ascii="Times New Roman;Times;serif" w:hAnsi="Times New Roman;Times;serif"/>
                <w:sz w:val="20"/>
              </w:rPr>
              <w:t xml:space="preserve"> </w:t>
            </w:r>
            <w:r>
              <w:rPr>
                <w:rFonts w:ascii="Times New Roman;Times;serif" w:hAnsi="Times New Roman;Times;serif"/>
                <w:sz w:val="16"/>
              </w:rPr>
              <w:t>million 2028 Term Loan balance to fix SOFR and achieve a fixed swap rate of 3.78%</w:t>
            </w:r>
            <w:r>
              <w:rPr>
                <w:rFonts w:ascii="Times New Roman;Times;serif" w:hAnsi="Times New Roman;Times;serif"/>
                <w:sz w:val="20"/>
              </w:rPr>
              <w:t xml:space="preserve"> </w:t>
            </w:r>
            <w:r>
              <w:rPr>
                <w:rFonts w:ascii="Times New Roman;Times;serif" w:hAnsi="Times New Roman;Times;serif"/>
                <w:sz w:val="16"/>
              </w:rPr>
              <w:t>plus the 10</w:t>
            </w:r>
            <w:r>
              <w:rPr>
                <w:rFonts w:ascii="Times New Roman;Times;serif" w:hAnsi="Times New Roman;Times;serif"/>
                <w:sz w:val="20"/>
              </w:rPr>
              <w:t xml:space="preserve"> </w:t>
            </w:r>
            <w:r>
              <w:rPr>
                <w:rFonts w:ascii="Times New Roman;Times;serif" w:hAnsi="Times New Roman;Times;serif"/>
                <w:sz w:val="16"/>
              </w:rPr>
              <w:t>bps SOFR adjustment plus the applicable spread.</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lineRule="auto" w:line="240" w:before="0" w:after="0"/>
              <w:jc w:val="both"/>
              <w:rPr>
                <w:rFonts w:ascii="Times New Roman;Times;serif" w:hAnsi="Times New Roman;Times;serif"/>
                <w:sz w:val="12"/>
              </w:rPr>
            </w:pPr>
            <w:r>
              <w:rPr>
                <w:rFonts w:ascii="Times New Roman;Times;serif" w:hAnsi="Times New Roman;Times;serif"/>
                <w:sz w:val="12"/>
              </w:rPr>
              <w:t>(4)</w:t>
            </w:r>
          </w:p>
        </w:tc>
        <w:tc>
          <w:tcPr>
            <w:tcW w:w="99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6"/>
              </w:rPr>
              <w:t>The Company utilized interest rate swaps on the $125.0</w:t>
            </w:r>
            <w:r>
              <w:rPr>
                <w:rFonts w:ascii="Times New Roman;Times;serif" w:hAnsi="Times New Roman;Times;serif"/>
                <w:sz w:val="20"/>
              </w:rPr>
              <w:t xml:space="preserve"> </w:t>
            </w:r>
            <w:r>
              <w:rPr>
                <w:rFonts w:ascii="Times New Roman;Times;serif" w:hAnsi="Times New Roman;Times;serif"/>
                <w:sz w:val="16"/>
              </w:rPr>
              <w:t>million 2029 Term Loan balance to fix SOFR and achieve a weighted average fixed swap rate of 3.37%</w:t>
            </w:r>
            <w:r>
              <w:rPr>
                <w:rFonts w:ascii="Times New Roman;Times;serif" w:hAnsi="Times New Roman;Times;serif"/>
                <w:sz w:val="20"/>
              </w:rPr>
              <w:t xml:space="preserve"> </w:t>
            </w:r>
            <w:r>
              <w:rPr>
                <w:rFonts w:ascii="Times New Roman;Times;serif" w:hAnsi="Times New Roman;Times;serif"/>
                <w:sz w:val="16"/>
              </w:rPr>
              <w:t>plus the applicable spread.</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lineRule="auto" w:line="240" w:before="0" w:after="0"/>
              <w:jc w:val="both"/>
              <w:rPr>
                <w:rFonts w:ascii="Times New Roman;Times;serif" w:hAnsi="Times New Roman;Times;serif"/>
                <w:sz w:val="12"/>
              </w:rPr>
            </w:pPr>
            <w:r>
              <w:rPr>
                <w:rFonts w:ascii="Times New Roman;Times;serif" w:hAnsi="Times New Roman;Times;serif"/>
                <w:sz w:val="12"/>
              </w:rPr>
              <w:t>(5)</w:t>
            </w:r>
          </w:p>
        </w:tc>
        <w:tc>
          <w:tcPr>
            <w:tcW w:w="99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6"/>
              </w:rPr>
              <w:t>The Company utilized interest rate swaps on the $125.0</w:t>
            </w:r>
            <w:r>
              <w:rPr>
                <w:rFonts w:ascii="Times New Roman;Times;serif" w:hAnsi="Times New Roman;Times;serif"/>
                <w:sz w:val="20"/>
              </w:rPr>
              <w:t xml:space="preserve"> </w:t>
            </w:r>
            <w:r>
              <w:rPr>
                <w:rFonts w:ascii="Times New Roman;Times;serif" w:hAnsi="Times New Roman;Times;serif"/>
                <w:sz w:val="16"/>
              </w:rPr>
              <w:t>million 2030 Term Loan balance to fix SOFR and achieve a weighted average fixed swap rate of 3.39%</w:t>
            </w:r>
            <w:r>
              <w:rPr>
                <w:rFonts w:ascii="Times New Roman;Times;serif" w:hAnsi="Times New Roman;Times;serif"/>
                <w:sz w:val="20"/>
              </w:rPr>
              <w:t xml:space="preserve"> </w:t>
            </w:r>
            <w:r>
              <w:rPr>
                <w:rFonts w:ascii="Times New Roman;Times;serif" w:hAnsi="Times New Roman;Times;serif"/>
                <w:sz w:val="16"/>
              </w:rPr>
              <w:t>plus the applicable spread.</w:t>
            </w:r>
          </w:p>
        </w:tc>
      </w:tr>
    </w:tbl>
    <w:p>
      <w:pPr>
        <w:pStyle w:val="TextBody"/>
        <w:pBdr/>
        <w:bidi w:val="0"/>
        <w:spacing w:before="0" w:after="0"/>
        <w:ind w:left="0" w:right="0" w:hanging="360"/>
        <w:jc w:val="both"/>
        <w:rPr/>
      </w:pPr>
      <w:r>
        <w:rPr/>
        <w:t> </w:t>
      </w:r>
    </w:p>
    <w:p>
      <w:pPr>
        <w:pStyle w:val="TextBody"/>
        <w:pBdr/>
        <w:bidi w:val="0"/>
        <w:spacing w:before="0" w:after="200"/>
        <w:ind w:left="0" w:right="0" w:hanging="360"/>
        <w:jc w:val="both"/>
        <w:rPr/>
      </w:pPr>
      <w:r>
        <w:rPr/>
        <w:t> </w:t>
      </w:r>
    </w:p>
    <w:p>
      <w:pPr>
        <w:pStyle w:val="TextBody"/>
        <w:bidi w:val="0"/>
        <w:spacing w:before="220" w:after="240"/>
        <w:ind w:left="0" w:right="0" w:firstLine="490"/>
        <w:jc w:val="both"/>
        <w:rPr>
          <w:rFonts w:ascii="Times New Roman;Times;serif" w:hAnsi="Times New Roman;Times;serif"/>
          <w:sz w:val="20"/>
        </w:rPr>
      </w:pPr>
      <w:r>
        <w:rPr>
          <w:rFonts w:ascii="Times New Roman;Times;serif" w:hAnsi="Times New Roman;Times;serif"/>
          <w:i/>
          <w:sz w:val="20"/>
        </w:rPr>
        <w:t xml:space="preserve">BMO Credit Agreement. </w:t>
      </w:r>
      <w:r>
        <w:rPr>
          <w:rFonts w:ascii="Times New Roman;Times;serif" w:hAnsi="Times New Roman;Times;serif"/>
          <w:sz w:val="20"/>
        </w:rPr>
        <w:t>The Company has entered into a credit agreement (as amended and restated and further amended to date, the “BMO Credit Agreement”) with Bank of Montreal (“BMO”) and the other lenders thereunder, with BMO acting as the administrative agent for the lenders thereunder. The BMO Credit Agreement provides for:</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 $300.0</w:t>
            </w:r>
            <w:r>
              <w:rPr>
                <w:caps w:val="false"/>
                <w:smallCaps w:val="false"/>
              </w:rPr>
              <w:t xml:space="preserve"> </w:t>
            </w:r>
            <w:r>
              <w:rPr>
                <w:rFonts w:ascii="Times New Roman;Times;serif" w:hAnsi="Times New Roman;Times;serif"/>
                <w:b w:val="false"/>
                <w:i w:val="false"/>
                <w:caps w:val="false"/>
                <w:smallCaps w:val="false"/>
                <w:sz w:val="20"/>
              </w:rPr>
              <w:t>million unsecured revolving credit facility that matures on January 31, 2027 (the “Revolving Credit Facility”);</w:t>
            </w:r>
          </w:p>
        </w:tc>
      </w:tr>
    </w:tbl>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 $100.0</w:t>
            </w:r>
            <w:r>
              <w:rPr>
                <w:caps w:val="false"/>
                <w:smallCaps w:val="false"/>
              </w:rPr>
              <w:t xml:space="preserve"> </w:t>
            </w:r>
            <w:r>
              <w:rPr>
                <w:rFonts w:ascii="Times New Roman;Times;serif" w:hAnsi="Times New Roman;Times;serif"/>
                <w:b w:val="false"/>
                <w:i w:val="false"/>
                <w:caps w:val="false"/>
                <w:smallCaps w:val="false"/>
                <w:sz w:val="20"/>
              </w:rPr>
              <w:t>million unsecured term loan that matures on January 31, 2027 (the “2027 Term Loan”);</w:t>
            </w:r>
          </w:p>
        </w:tc>
      </w:tr>
    </w:tbl>
    <w:tbl>
      <w:tblPr>
        <w:tblW w:w="8706" w:type="dxa"/>
        <w:jc w:val="left"/>
        <w:tblInd w:w="0" w:type="dxa"/>
        <w:tblLayout w:type="fixed"/>
        <w:tblCellMar>
          <w:top w:w="28" w:type="dxa"/>
          <w:left w:w="28" w:type="dxa"/>
          <w:bottom w:w="28" w:type="dxa"/>
          <w:right w:w="28" w:type="dxa"/>
        </w:tblCellMar>
      </w:tblPr>
      <w:tblGrid>
        <w:gridCol w:w="124"/>
        <w:gridCol w:w="256"/>
        <w:gridCol w:w="8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2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 $100.0</w:t>
            </w:r>
            <w:r>
              <w:rPr>
                <w:caps w:val="false"/>
                <w:smallCaps w:val="false"/>
              </w:rPr>
              <w:t xml:space="preserve"> </w:t>
            </w:r>
            <w:r>
              <w:rPr>
                <w:rFonts w:ascii="Times New Roman;Times;serif" w:hAnsi="Times New Roman;Times;serif"/>
                <w:b w:val="false"/>
                <w:i w:val="false"/>
                <w:caps w:val="false"/>
                <w:smallCaps w:val="false"/>
                <w:sz w:val="20"/>
              </w:rPr>
              <w:t>million unsecured term loan that matures on January 31, 2028 (the “2028 Term Loan”); and</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an accordion option that allows the Company to request additional revolving loan commitments and additional term loan commitments, provided, (a) the aggregate amount of revolving loan commitments shall not exceed $750.0</w:t>
            </w:r>
            <w:r>
              <w:rPr>
                <w:caps w:val="false"/>
                <w:smallCaps w:val="false"/>
              </w:rPr>
              <w:t xml:space="preserve"> </w:t>
            </w:r>
            <w:r>
              <w:rPr>
                <w:rFonts w:ascii="Times New Roman;Times;serif" w:hAnsi="Times New Roman;Times;serif"/>
                <w:b w:val="false"/>
                <w:i w:val="false"/>
                <w:caps w:val="false"/>
                <w:smallCaps w:val="false"/>
                <w:sz w:val="20"/>
              </w:rPr>
              <w:t>million and (b) the aggregate amount of term loan commitments shall not exceed $500.0</w:t>
            </w:r>
            <w:r>
              <w:rPr>
                <w:caps w:val="false"/>
                <w:smallCaps w:val="false"/>
              </w:rPr>
              <w:t xml:space="preserve"> </w:t>
            </w:r>
            <w:r>
              <w:rPr>
                <w:rFonts w:ascii="Times New Roman;Times;serif" w:hAnsi="Times New Roman;Times;serif"/>
                <w:b w:val="false"/>
                <w:i w:val="false"/>
                <w:caps w:val="false"/>
                <w:smallCaps w:val="false"/>
                <w:sz w:val="20"/>
              </w:rPr>
              <w:t>million.</w:t>
            </w:r>
          </w:p>
        </w:tc>
      </w:tr>
    </w:tbl>
    <w:p>
      <w:pPr>
        <w:pStyle w:val="TextBody"/>
        <w:shd w:fill="FFFFFF" w:val="clear"/>
        <w:bidi w:val="0"/>
        <w:spacing w:before="0" w:after="200"/>
        <w:ind w:left="0" w:right="0" w:firstLine="490"/>
        <w:jc w:val="both"/>
        <w:rPr>
          <w:rFonts w:ascii="Times New Roman;Times;serif" w:hAnsi="Times New Roman;Times;serif"/>
          <w:sz w:val="20"/>
        </w:rPr>
      </w:pPr>
      <w:r>
        <w:rPr>
          <w:rFonts w:ascii="Times New Roman;Times;serif" w:hAnsi="Times New Roman;Times;serif"/>
          <w:sz w:val="20"/>
        </w:rPr>
        <w:t>As of June 30, 2026, the Revolving Credit Facility had a $193.0 million balance outstanding, and the undrawn commitment under the Revolving Credit Facility totaled $107.0 million.</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BMO Credit Agreement contains customary restrictive covenants including, but not limited to, limitations on the Company’s ability to: (a) incur indebtedness; (b) make certain investments; (c) incur certain liens; (d) engage in certain affiliate transactions; and (e) engage in certain major transactions such as mergers. In addition, the Company is subject to various financial maintenance covenants under the BMO Credit Agreement including, but not limited to, a maximum indebtedness ratio, a maximum secured indebtedness ratio, and a minimum fixed charge coverage ratio. The BMO Credit Agreement also contains affirmative covenants and events of default including, but not limited to, a cross default to the Company’s other indebtedness and upon the occurrence of a change in control. The Company’s failure to comply with these covenants or the occurrence of an event of default could result in acceleration of the Company’s debt and other financial obligations under the BMO Credit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firstLine="490"/>
        <w:jc w:val="both"/>
        <w:rPr>
          <w:rFonts w:ascii="Times New Roman;Times;serif" w:hAnsi="Times New Roman;Times;serif"/>
          <w:sz w:val="20"/>
        </w:rPr>
      </w:pPr>
      <w:bookmarkStart w:id="1509" w:name="Tc_LXM-vDCtJkuLp-NJeeHfTQ_4_1"/>
      <w:bookmarkStart w:id="1510" w:name="Tc__zQFuonR5EmyccLvz4fc7Q_4_0"/>
      <w:bookmarkStart w:id="1511" w:name="Tc_BerHuQhk60CPmgxmihGkJw_3_0"/>
      <w:bookmarkStart w:id="1512" w:name="Tc_17g5QhBdd0ivEDK6hc9gCA_2_1"/>
      <w:bookmarkStart w:id="1513" w:name="Tc_-Qs5oI9lO0Sf4NNW_es7fw_2_0"/>
      <w:bookmarkStart w:id="1514" w:name="Tc_1XFXp-AF9UidEK09hZNRUw_1_1"/>
      <w:bookmarkStart w:id="1515" w:name="_d3676e3e_749f_44c9_8273_135a3f7b2ffe"/>
      <w:bookmarkStart w:id="1516" w:name="Tc_TsNRrIHenEyddK2Wikn3qQ_9_1"/>
      <w:bookmarkStart w:id="1517" w:name="Tc_ZnHaw6ZCz0KQitXln5yZCw_9_0"/>
      <w:bookmarkStart w:id="1518" w:name="Tc_ODjBPch7LkGkS4czp6jIYQ_8_2"/>
      <w:bookmarkStart w:id="1519" w:name="Tc_1LkBCG5ex0mMuyil7p6IFg_8_0"/>
      <w:bookmarkStart w:id="1520" w:name="Tc_3_YSTgG21kSYlwmxIoXPeg_7_2"/>
      <w:bookmarkStart w:id="1521" w:name="Tc_QrNu5s35PEyJU4jrf2Wt_A_7_0"/>
      <w:bookmarkStart w:id="1522" w:name="Tc_C3akuI3ezk-Q5s89iorPEQ_6_0"/>
      <w:bookmarkStart w:id="1523" w:name="Tc_EwYMxOjrRkOJkEtWG-6wZg_5_0"/>
      <w:bookmarkStart w:id="1524" w:name="Tc_JRNrt1wXbk--OSBAPYo9RQ_4_0"/>
      <w:bookmarkStart w:id="1525" w:name="Tc_-OoVe7p2yE60dnEvgu8hyw_3_0"/>
      <w:bookmarkStart w:id="1526" w:name="Tc_Rbg5PnUcTkmywxmzdhVGfw_2_1"/>
      <w:bookmarkStart w:id="1527" w:name="Tc_cgwwHve51k2Qe3RoiNYSCg_2_0"/>
      <w:bookmarkStart w:id="1528" w:name="Tc_DjKrVaKqIEKqcM70r37NFg_1_1"/>
      <w:bookmarkStart w:id="1529" w:name="Tc_IALJgfQdpk-2cKkeRYo0Ow_1_0"/>
      <w:bookmarkStart w:id="1530" w:name="_8d5e61bf_559d_488e_8b34_6b453f8938ad"/>
      <w:bookmarkStart w:id="1531" w:name="Tc_HKnzbKrTiEqeSbjKnX4kVA_10_10"/>
      <w:bookmarkStart w:id="1532" w:name="Tc__HzXwnmoekWrI93Q4NWPVA_10_7"/>
      <w:bookmarkStart w:id="1533" w:name="Tc_4BOCsa9Uh06g3PexVlQSXA_10_4"/>
      <w:bookmarkStart w:id="1534" w:name="Tc_381rTVVazE2AvHYcj3ey5A_10_1"/>
      <w:bookmarkStart w:id="1535" w:name="Tc_Skn4Qkp5lEu2NpzX-VqGKA_10_0"/>
      <w:bookmarkStart w:id="1536" w:name="Tc_okUx77CMjEa_AnWC5qPL_w_9_11"/>
      <w:bookmarkStart w:id="1537" w:name="Tc_zG57ioTYOku2GNjUwiihKA_9_5"/>
      <w:bookmarkStart w:id="1538" w:name="Tc_EtrH-qSWIke8bbNbsxfu9Q_9_0"/>
      <w:bookmarkStart w:id="1539" w:name="Tc_I-6jpA2OuEK2Enu22sitRw_8_0"/>
      <w:bookmarkStart w:id="1540" w:name="Tc_sDWLaz8kSEGhUBW7F3hF2Q_7_11"/>
      <w:bookmarkStart w:id="1541" w:name="Tc_q5Eh_3hLTEWwidUVeUmNCA_7_5"/>
      <w:bookmarkStart w:id="1542" w:name="Tc_1je8ViAkDkqVDLbPI7txLw_7_0"/>
      <w:bookmarkStart w:id="1543" w:name="Tc_1VnU4QThykaFQuJaTp33hw_6_11"/>
      <w:bookmarkStart w:id="1544" w:name="Tc_CBc-2dByE065u2_k3KebAw_6_5"/>
      <w:bookmarkStart w:id="1545" w:name="Tc_pcKaK_15okGuUkMHxMiQHw_6_0"/>
      <w:bookmarkStart w:id="1546" w:name="Tc_XlXkPSHcs0C5iaaouyAg_Q_5_11"/>
      <w:bookmarkStart w:id="1547" w:name="Tc_xfhYVkNRDUOW72F2rKFsqA_5_5"/>
      <w:bookmarkStart w:id="1548" w:name="Tc_T_zvkJG2zU6sVBgqCqycTw_5_0"/>
      <w:bookmarkStart w:id="1549" w:name="Tc_I-6R91in80uGE_kjHDgz1A_4_11"/>
      <w:bookmarkStart w:id="1550" w:name="Tc_4IauvUsnSkehCIXggw-_kg_4_0"/>
      <w:bookmarkStart w:id="1551" w:name="Tc_l_cB3F1fzEmzd6NNS1Rh-w_3_11"/>
      <w:bookmarkStart w:id="1552" w:name="Tc_VbJnoFNHTUi5QrqMkcAGNA_3_10"/>
      <w:bookmarkStart w:id="1553" w:name="Tc_Y9YiZC3200m90f9WvdDKHA_3_7"/>
      <w:bookmarkStart w:id="1554" w:name="Tc_pSF6kPX-2UaOgD_AJGg9ug_3_4"/>
      <w:bookmarkStart w:id="1555" w:name="Tc_LchIO7zW6ke70RcURDrpHw_3_1"/>
      <w:bookmarkStart w:id="1556" w:name="Tc_wJaCHpV65UuSYEVZYqwKpA_3_0"/>
      <w:bookmarkStart w:id="1557" w:name="Tc_Ax2nFLXjJUqD6aeFvlhx0A_2_10"/>
      <w:bookmarkStart w:id="1558" w:name="Tc_LSLH5qKTGUyQFZ_53ZiN8g_2_7"/>
      <w:bookmarkStart w:id="1559" w:name="Tc_lwnoDuQ8mU-h3eyOlW2ekg_2_4"/>
      <w:bookmarkStart w:id="1560" w:name="Tc_5u9mBy-97UOdoWUT-UMqjQ_2_1"/>
      <w:bookmarkStart w:id="1561" w:name="Tc_VpczBS7trEWDNsKVA_qqLg_1_7"/>
      <w:bookmarkStart w:id="1562" w:name="Tc_WKF8D0K-dU-lT0CxpnlyKQ_1_1"/>
      <w:bookmarkStart w:id="1563" w:name="_688834bc_2e5d_4b02_bc33_e41db34a27c4"/>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r>
        <w:rPr>
          <w:rFonts w:ascii="Times New Roman;Times;serif" w:hAnsi="Times New Roman;Times;serif"/>
          <w:i/>
          <w:sz w:val="20"/>
        </w:rPr>
        <w:t xml:space="preserve">KeyBank Credit Agreement. </w:t>
      </w:r>
      <w:r>
        <w:rPr>
          <w:rFonts w:ascii="Times New Roman;Times;serif" w:hAnsi="Times New Roman;Times;serif"/>
          <w:sz w:val="20"/>
        </w:rPr>
        <w:t>The Company has also entered into a credit agreement (as amended to date, the “KeyBank Credit Agreement”) with the lenders party thereto and KeyBank National Association, as administrative agent. The KeyBank Credit Agreement provides for:</w:t>
      </w:r>
    </w:p>
    <w:tbl>
      <w:tblPr>
        <w:tblW w:w="9441" w:type="dxa"/>
        <w:jc w:val="left"/>
        <w:tblInd w:w="0" w:type="dxa"/>
        <w:shd w:fill="FFFFFF" w:val="clear"/>
        <w:tblLayout w:type="fixed"/>
        <w:tblCellMar>
          <w:top w:w="28" w:type="dxa"/>
          <w:left w:w="28" w:type="dxa"/>
          <w:bottom w:w="28" w:type="dxa"/>
          <w:right w:w="28" w:type="dxa"/>
        </w:tblCellMar>
      </w:tblPr>
      <w:tblGrid>
        <w:gridCol w:w="124"/>
        <w:gridCol w:w="256"/>
        <w:gridCol w:w="906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061"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 term loan in the amount of $125.0</w:t>
            </w:r>
            <w:r>
              <w:rPr>
                <w:caps w:val="false"/>
                <w:smallCaps w:val="false"/>
              </w:rPr>
              <w:t xml:space="preserve"> </w:t>
            </w:r>
            <w:r>
              <w:rPr>
                <w:rFonts w:ascii="Times New Roman;Times;serif" w:hAnsi="Times New Roman;Times;serif"/>
                <w:b w:val="false"/>
                <w:i w:val="false"/>
                <w:caps w:val="false"/>
                <w:smallCaps w:val="false"/>
                <w:sz w:val="20"/>
              </w:rPr>
              <w:t>million that matures on September 30, 2029 (the “2029 Term Loan”); and</w:t>
            </w:r>
          </w:p>
        </w:tc>
      </w:tr>
    </w:tbl>
    <w:tbl>
      <w:tblPr>
        <w:tblW w:w="9081" w:type="dxa"/>
        <w:jc w:val="left"/>
        <w:tblInd w:w="0" w:type="dxa"/>
        <w:shd w:fill="FFFFFF" w:val="clear"/>
        <w:tblLayout w:type="fixed"/>
        <w:tblCellMar>
          <w:top w:w="28" w:type="dxa"/>
          <w:left w:w="28" w:type="dxa"/>
          <w:bottom w:w="28" w:type="dxa"/>
          <w:right w:w="28" w:type="dxa"/>
        </w:tblCellMar>
      </w:tblPr>
      <w:tblGrid>
        <w:gridCol w:w="124"/>
        <w:gridCol w:w="256"/>
        <w:gridCol w:w="870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 term loan in the amount of $125.0</w:t>
            </w:r>
            <w:r>
              <w:rPr>
                <w:caps w:val="false"/>
                <w:smallCaps w:val="false"/>
              </w:rPr>
              <w:t xml:space="preserve"> </w:t>
            </w:r>
            <w:r>
              <w:rPr>
                <w:rFonts w:ascii="Times New Roman;Times;serif" w:hAnsi="Times New Roman;Times;serif"/>
                <w:b w:val="false"/>
                <w:i w:val="false"/>
                <w:caps w:val="false"/>
                <w:smallCaps w:val="false"/>
                <w:sz w:val="20"/>
              </w:rPr>
              <w:t>million that matures on September 30, 2030 (the “2030 Term Loan”).</w:t>
            </w:r>
          </w:p>
        </w:tc>
      </w:tr>
    </w:tbl>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KeyBank Credit Agreement contains customary restrictive covenants including, but not limited to, limitations on the Company’s ability to: (a) incur indebtedness; (b) make certain investments; (c) incur certain liens; (d) engage in certain affiliate transactions; and (e) engage in certain major transactions such as mergers. In addition, the Company is subject to various financial maintenance covenants under the KeyBank Credit Agreement.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Mortgage Notes Payable</w:t>
      </w:r>
      <w:r>
        <w:rPr>
          <w:rFonts w:ascii="Times New Roman;Times;serif" w:hAnsi="Times New Roman;Times;serif"/>
          <w:sz w:val="20"/>
        </w:rPr>
        <w:t xml:space="preserve">. </w:t>
      </w:r>
      <w:r>
        <w:rPr>
          <w:rFonts w:ascii="Times New Roman;Times;serif" w:hAnsi="Times New Roman;Times;serif"/>
          <w:sz w:val="20"/>
          <w:shd w:fill="FFFFFF" w:val="clear"/>
        </w:rPr>
        <w:t>On March 3, 2022, in connection with the acquisition of Price Plaza Shopping Center, the Company assumed an existing $17.8 million secured fixed-rate mortgage note payable, which bears interest at a fixed rate of 4.06% and matures in August 2026.</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Long-term debt consisted of the following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85"/>
        <w:gridCol w:w="211"/>
        <w:gridCol w:w="781"/>
        <w:gridCol w:w="346"/>
        <w:gridCol w:w="378"/>
        <w:gridCol w:w="1401"/>
        <w:gridCol w:w="146"/>
        <w:gridCol w:w="211"/>
        <w:gridCol w:w="781"/>
        <w:gridCol w:w="346"/>
        <w:gridCol w:w="386"/>
        <w:gridCol w:w="1433"/>
      </w:tblGrid>
      <w:tr>
        <w:trPr/>
        <w:tc>
          <w:tcPr>
            <w:tcW w:w="3785"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33985" cy="175260"/>
                      <wp:effectExtent l="0" t="0" r="0" b="0"/>
                      <wp:wrapNone/>
                      <wp:docPr id="284" name="Frame2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95935" cy="175260"/>
                      <wp:effectExtent l="0" t="0" r="0" b="0"/>
                      <wp:wrapNone/>
                      <wp:docPr id="285" name="Frame28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9710" cy="175260"/>
                      <wp:effectExtent l="0" t="0" r="0" b="0"/>
                      <wp:wrapNone/>
                      <wp:docPr id="286"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40030" cy="175260"/>
                      <wp:effectExtent l="0" t="0" r="0" b="0"/>
                      <wp:wrapNone/>
                      <wp:docPr id="287" name="Frame287"/>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889635" cy="175260"/>
                      <wp:effectExtent l="0" t="0" r="0" b="0"/>
                      <wp:wrapNone/>
                      <wp:docPr id="288" name="Frame288"/>
                      <a:graphic xmlns:a="http://schemas.openxmlformats.org/drawingml/2006/main">
                        <a:graphicData uri="http://schemas.microsoft.com/office/word/2010/wordprocessingShape">
                          <wps:wsp>
                            <wps:cNvSpPr txBox="1"/>
                            <wps:spPr>
                              <a:xfrm>
                                <a:off x="0" y="0"/>
                                <a:ext cx="889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92710" cy="175260"/>
                      <wp:effectExtent l="0" t="0" r="0" b="0"/>
                      <wp:wrapNone/>
                      <wp:docPr id="289" name="Frame28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33985" cy="175260"/>
                      <wp:effectExtent l="0" t="0" r="0" b="0"/>
                      <wp:wrapNone/>
                      <wp:docPr id="290" name="Frame2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495935" cy="175260"/>
                      <wp:effectExtent l="0" t="0" r="0" b="0"/>
                      <wp:wrapNone/>
                      <wp:docPr id="291" name="Frame29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92"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45110" cy="175260"/>
                      <wp:effectExtent l="0" t="0" r="0" b="0"/>
                      <wp:wrapNone/>
                      <wp:docPr id="293" name="Frame293"/>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909955" cy="175260"/>
                      <wp:effectExtent l="0" t="0" r="0" b="0"/>
                      <wp:wrapNone/>
                      <wp:docPr id="294" name="Frame294"/>
                      <a:graphic xmlns:a="http://schemas.openxmlformats.org/drawingml/2006/main">
                        <a:graphicData uri="http://schemas.microsoft.com/office/word/2010/wordprocessingShape">
                          <wps:wsp>
                            <wps:cNvSpPr txBox="1"/>
                            <wps:spPr>
                              <a:xfrm>
                                <a:off x="0" y="0"/>
                                <a:ext cx="909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85" w:type="dxa"/>
            <w:tcBorders/>
            <w:vAlign w:val="center"/>
          </w:tcPr>
          <w:p>
            <w:pPr>
              <w:pStyle w:val="TableContents"/>
              <w:bidi w:val="0"/>
              <w:spacing w:before="0" w:after="0"/>
              <w:ind w:left="0" w:right="0" w:hanging="0"/>
              <w:jc w:val="center"/>
              <w:rPr/>
            </w:pPr>
            <w:r>
              <w:rPr/>
              <w:t>​</w:t>
            </w:r>
          </w:p>
        </w:tc>
        <w:tc>
          <w:tcPr>
            <w:tcW w:w="311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146" w:type="dxa"/>
            <w:tcBorders/>
            <w:vAlign w:val="center"/>
          </w:tcPr>
          <w:p>
            <w:pPr>
              <w:pStyle w:val="TableContents"/>
              <w:bidi w:val="0"/>
              <w:spacing w:before="0" w:after="0"/>
              <w:ind w:left="0" w:right="0" w:hanging="0"/>
              <w:jc w:val="left"/>
              <w:rPr/>
            </w:pPr>
            <w:r>
              <w:rPr/>
              <w:t>​</w:t>
            </w:r>
          </w:p>
        </w:tc>
        <w:tc>
          <w:tcPr>
            <w:tcW w:w="315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3785"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 ​ ​</w:t>
            </w:r>
          </w:p>
        </w:tc>
        <w:tc>
          <w:tcPr>
            <w:tcW w:w="17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Due Within One Year</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 ​ ​</w:t>
            </w:r>
          </w:p>
        </w:tc>
        <w:tc>
          <w:tcPr>
            <w:tcW w:w="18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Due Within One Year</w:t>
            </w:r>
          </w:p>
        </w:tc>
      </w:tr>
      <w:tr>
        <w:trPr/>
        <w:tc>
          <w:tcPr>
            <w:tcW w:w="37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193,000</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193,000</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151,000</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3" w:type="dxa"/>
            <w:tcBorders/>
            <w:shd w:fill="CCEEFF" w:val="clear"/>
            <w:vAlign w:val="center"/>
          </w:tcPr>
          <w:p>
            <w:pPr>
              <w:pStyle w:val="TableContents"/>
              <w:bidi w:val="0"/>
              <w:spacing w:before="0" w:after="0"/>
              <w:ind w:left="0" w:right="0" w:hanging="0"/>
              <w:jc w:val="right"/>
              <w:rPr/>
            </w:pPr>
            <w:r>
              <w:rPr/>
              <w:t>—</w:t>
            </w:r>
          </w:p>
        </w:tc>
      </w:tr>
      <w:tr>
        <w:trPr/>
        <w:tc>
          <w:tcPr>
            <w:tcW w:w="37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 Term Loan</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14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433" w:type="dxa"/>
            <w:tcBorders/>
            <w:vAlign w:val="center"/>
          </w:tcPr>
          <w:p>
            <w:pPr>
              <w:pStyle w:val="TableContents"/>
              <w:bidi w:val="0"/>
              <w:spacing w:before="0" w:after="0"/>
              <w:ind w:left="0" w:right="0" w:hanging="0"/>
              <w:jc w:val="right"/>
              <w:rPr/>
            </w:pPr>
            <w:r>
              <w:rPr/>
              <w:t>—</w:t>
            </w:r>
          </w:p>
        </w:tc>
      </w:tr>
      <w:tr>
        <w:trPr/>
        <w:tc>
          <w:tcPr>
            <w:tcW w:w="37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 Term Loan</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140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433" w:type="dxa"/>
            <w:tcBorders/>
            <w:shd w:fill="CCEEFF" w:val="clear"/>
            <w:vAlign w:val="center"/>
          </w:tcPr>
          <w:p>
            <w:pPr>
              <w:pStyle w:val="TableContents"/>
              <w:bidi w:val="0"/>
              <w:spacing w:before="0" w:after="0"/>
              <w:ind w:left="0" w:right="0" w:hanging="0"/>
              <w:jc w:val="right"/>
              <w:rPr/>
            </w:pPr>
            <w:r>
              <w:rPr/>
              <w:t>—</w:t>
            </w:r>
          </w:p>
        </w:tc>
      </w:tr>
      <w:tr>
        <w:trPr/>
        <w:tc>
          <w:tcPr>
            <w:tcW w:w="37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 Term Loan</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125,000</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14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125,000</w:t>
            </w:r>
          </w:p>
        </w:tc>
        <w:tc>
          <w:tcPr>
            <w:tcW w:w="34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433" w:type="dxa"/>
            <w:tcBorders/>
            <w:vAlign w:val="center"/>
          </w:tcPr>
          <w:p>
            <w:pPr>
              <w:pStyle w:val="TableContents"/>
              <w:bidi w:val="0"/>
              <w:spacing w:before="0" w:after="0"/>
              <w:ind w:left="0" w:right="0" w:hanging="0"/>
              <w:jc w:val="right"/>
              <w:rPr/>
            </w:pPr>
            <w:r>
              <w:rPr/>
              <w:t>—</w:t>
            </w:r>
          </w:p>
        </w:tc>
      </w:tr>
      <w:tr>
        <w:trPr/>
        <w:tc>
          <w:tcPr>
            <w:tcW w:w="37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Term Loan</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125,000</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140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125,000</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433" w:type="dxa"/>
            <w:tcBorders/>
            <w:shd w:fill="CCEEFF" w:val="clear"/>
            <w:vAlign w:val="center"/>
          </w:tcPr>
          <w:p>
            <w:pPr>
              <w:pStyle w:val="TableContents"/>
              <w:bidi w:val="0"/>
              <w:spacing w:before="0" w:after="0"/>
              <w:ind w:left="0" w:right="0" w:hanging="0"/>
              <w:jc w:val="right"/>
              <w:rPr/>
            </w:pPr>
            <w:r>
              <w:rPr/>
              <w:t>—</w:t>
            </w:r>
          </w:p>
        </w:tc>
      </w:tr>
      <w:tr>
        <w:trPr/>
        <w:tc>
          <w:tcPr>
            <w:tcW w:w="37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Mortgage Note Payable</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14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w:t>
            </w:r>
          </w:p>
        </w:tc>
        <w:tc>
          <w:tcPr>
            <w:tcW w:w="34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4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w:t>
            </w:r>
          </w:p>
        </w:tc>
      </w:tr>
      <w:tr>
        <w:trPr/>
        <w:tc>
          <w:tcPr>
            <w:tcW w:w="37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Costs, net of Accumulated Amortization</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(2,095)</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(2,455)</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7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658,705</w:t>
            </w:r>
          </w:p>
        </w:tc>
        <w:tc>
          <w:tcPr>
            <w:tcW w:w="346" w:type="dxa"/>
            <w:tcBorders/>
            <w:vAlign w:val="center"/>
          </w:tcPr>
          <w:p>
            <w:pPr>
              <w:pStyle w:val="TableContents"/>
              <w:bidi w:val="0"/>
              <w:spacing w:before="0" w:after="0"/>
              <w:ind w:left="0" w:right="0" w:hanging="0"/>
              <w:jc w:val="left"/>
              <w:rPr/>
            </w:pPr>
            <w:r>
              <w:rPr/>
              <w:t>​</w:t>
            </w:r>
          </w:p>
        </w:tc>
        <w:tc>
          <w:tcPr>
            <w:tcW w:w="3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310,800</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616,345</w:t>
            </w:r>
          </w:p>
        </w:tc>
        <w:tc>
          <w:tcPr>
            <w:tcW w:w="346" w:type="dxa"/>
            <w:tcBorders/>
            <w:vAlign w:val="center"/>
          </w:tcPr>
          <w:p>
            <w:pPr>
              <w:pStyle w:val="TableContents"/>
              <w:bidi w:val="0"/>
              <w:spacing w:before="0" w:after="0"/>
              <w:ind w:left="0" w:right="0" w:hanging="0"/>
              <w:jc w:val="left"/>
              <w:rPr/>
            </w:pPr>
            <w:r>
              <w:rPr/>
              <w:t>​</w:t>
            </w:r>
          </w:p>
        </w:tc>
        <w:tc>
          <w:tcPr>
            <w:tcW w:w="38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17,800</w:t>
            </w:r>
          </w:p>
        </w:tc>
      </w:tr>
    </w:tbl>
    <w:p>
      <w:pPr>
        <w:pStyle w:val="TextBody"/>
        <w:bidi w:val="0"/>
        <w:spacing w:lineRule="auto" w:line="268" w:before="0" w:after="0"/>
        <w:ind w:left="0" w:right="0" w:hanging="0"/>
        <w:jc w:val="both"/>
        <w:rPr/>
      </w:pPr>
      <w:r>
        <w:rPr/>
        <w:t> </w:t>
      </w:r>
    </w:p>
    <w:p>
      <w:pPr>
        <w:pStyle w:val="TextBody"/>
        <w:bidi w:val="0"/>
        <w:spacing w:lineRule="auto" w:line="268" w:before="0" w:after="200"/>
        <w:ind w:left="0" w:right="0" w:hanging="0"/>
        <w:jc w:val="both"/>
        <w:rPr/>
      </w:pPr>
      <w:r>
        <w:rPr/>
        <w:t> </w:t>
      </w:r>
    </w:p>
    <w:p>
      <w:pPr>
        <w:pStyle w:val="TextBody"/>
        <w:bidi w:val="0"/>
        <w:spacing w:before="0" w:after="0"/>
        <w:ind w:left="0" w:right="0" w:hanging="0"/>
        <w:jc w:val="left"/>
        <w:rPr/>
      </w:pPr>
      <w:r>
        <w:rPr/>
        <w:t>​</w:t>
      </w:r>
    </w:p>
    <w:p>
      <w:pPr>
        <w:pStyle w:val="TextBody"/>
        <w:bidi w:val="0"/>
        <w:spacing w:lineRule="auto" w:line="268" w:before="0" w:after="240"/>
        <w:ind w:left="0" w:right="0" w:firstLine="720"/>
        <w:jc w:val="left"/>
        <w:rPr>
          <w:rFonts w:ascii="Times New Roman;Times;serif" w:hAnsi="Times New Roman;Times;serif"/>
          <w:sz w:val="20"/>
        </w:rPr>
      </w:pPr>
      <w:r>
        <w:rPr>
          <w:rFonts w:ascii="Times New Roman;Times;serif" w:hAnsi="Times New Roman;Times;serif"/>
          <w:sz w:val="20"/>
        </w:rPr>
        <w:t>Payments applicable to reduction of principal amounts as of June 30, 2026 will be required as follows (in thousands):</w:t>
      </w:r>
    </w:p>
    <w:p>
      <w:pPr>
        <w:pStyle w:val="TextBody"/>
        <w:bidi w:val="0"/>
        <w:spacing w:before="0" w:after="0"/>
        <w:ind w:left="0" w:right="0" w:hanging="0"/>
        <w:jc w:val="left"/>
        <w:rPr/>
      </w:pPr>
      <w:r>
        <w:rPr/>
        <w:t>​</w:t>
      </w:r>
    </w:p>
    <w:tbl>
      <w:tblPr>
        <w:tblW w:w="4098" w:type="dxa"/>
        <w:jc w:val="left"/>
        <w:tblInd w:w="0" w:type="dxa"/>
        <w:tblLayout w:type="fixed"/>
        <w:tblCellMar>
          <w:top w:w="0" w:type="dxa"/>
          <w:left w:w="0" w:type="dxa"/>
          <w:bottom w:w="0" w:type="dxa"/>
          <w:right w:w="0" w:type="dxa"/>
        </w:tblCellMar>
      </w:tblPr>
      <w:tblGrid>
        <w:gridCol w:w="3001"/>
        <w:gridCol w:w="211"/>
        <w:gridCol w:w="886"/>
      </w:tblGrid>
      <w:tr>
        <w:trPr/>
        <w:tc>
          <w:tcPr>
            <w:tcW w:w="30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5" name="Frame2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562610" cy="175260"/>
                      <wp:effectExtent l="0" t="0" r="0" b="0"/>
                      <wp:wrapNone/>
                      <wp:docPr id="296" name="Frame29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As of June 30,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293,000</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125,000</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125,000</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2032 and Thereafter</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 - Face Value</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660,800</w:t>
            </w:r>
          </w:p>
        </w:tc>
      </w:tr>
    </w:tbl>
    <w:p>
      <w:pPr>
        <w:pStyle w:val="TextBody"/>
        <w:bidi w:val="0"/>
        <w:spacing w:lineRule="auto" w:line="268" w:before="0" w:after="0"/>
        <w:ind w:left="0" w:right="0" w:hanging="0"/>
        <w:jc w:val="left"/>
        <w:rPr/>
      </w:pPr>
      <w:r>
        <w:rPr/>
        <w:t> </w:t>
      </w:r>
    </w:p>
    <w:p>
      <w:pPr>
        <w:pStyle w:val="TextBody"/>
        <w:bidi w:val="0"/>
        <w:spacing w:lineRule="auto" w:line="268" w:before="0" w:after="200"/>
        <w:ind w:left="0" w:right="0" w:hanging="0"/>
        <w:jc w:val="left"/>
        <w:rPr/>
      </w:pPr>
      <w:r>
        <w:rPr/>
        <w:t> </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The carrying value of long-term debt as of June 30, 2026 consisted of the following (in thousands):</w:t>
      </w:r>
    </w:p>
    <w:p>
      <w:pPr>
        <w:pStyle w:val="TextBody"/>
        <w:bidi w:val="0"/>
        <w:spacing w:before="0" w:after="0"/>
        <w:ind w:left="0" w:right="0" w:hanging="0"/>
        <w:jc w:val="left"/>
        <w:rPr/>
      </w:pPr>
      <w:r>
        <w:rPr/>
        <w:t>​</w:t>
      </w:r>
    </w:p>
    <w:tbl>
      <w:tblPr>
        <w:tblW w:w="5343" w:type="dxa"/>
        <w:jc w:val="left"/>
        <w:tblInd w:w="0" w:type="dxa"/>
        <w:tblLayout w:type="fixed"/>
        <w:tblCellMar>
          <w:top w:w="0" w:type="dxa"/>
          <w:left w:w="0" w:type="dxa"/>
          <w:bottom w:w="0" w:type="dxa"/>
          <w:right w:w="0" w:type="dxa"/>
        </w:tblCellMar>
      </w:tblPr>
      <w:tblGrid>
        <w:gridCol w:w="4246"/>
        <w:gridCol w:w="211"/>
        <w:gridCol w:w="886"/>
      </w:tblGrid>
      <w:tr>
        <w:trPr/>
        <w:tc>
          <w:tcPr>
            <w:tcW w:w="42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33985" cy="175260"/>
                      <wp:effectExtent l="0" t="0" r="0" b="0"/>
                      <wp:wrapNone/>
                      <wp:docPr id="297" name="Frame2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562610" cy="175260"/>
                      <wp:effectExtent l="0" t="0" r="0" b="0"/>
                      <wp:wrapNone/>
                      <wp:docPr id="298" name="Frame29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46" w:type="dxa"/>
            <w:tcBorders/>
            <w:vAlign w:val="center"/>
          </w:tcPr>
          <w:p>
            <w:pPr>
              <w:pStyle w:val="TableContents"/>
              <w:bidi w:val="0"/>
              <w:spacing w:before="0" w:after="0"/>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Face Amount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660,800</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Costs, net of Accumulated Amortization</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(2,095)</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658,705</w:t>
            </w:r>
          </w:p>
        </w:tc>
      </w:tr>
    </w:tbl>
    <w:p>
      <w:pPr>
        <w:pStyle w:val="TextBody"/>
        <w:bidi w:val="0"/>
        <w:spacing w:lineRule="auto" w:line="268" w:before="0" w:after="0"/>
        <w:ind w:left="0" w:right="0" w:hanging="0"/>
        <w:jc w:val="both"/>
        <w:rPr/>
      </w:pPr>
      <w:r>
        <w:rPr/>
        <w:t> </w:t>
      </w:r>
    </w:p>
    <w:p>
      <w:pPr>
        <w:pStyle w:val="TextBody"/>
        <w:bidi w:val="0"/>
        <w:spacing w:lineRule="auto" w:line="268" w:before="0" w:after="200"/>
        <w:ind w:left="0" w:right="0" w:hanging="0"/>
        <w:jc w:val="left"/>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68" w:before="0" w:after="240"/>
        <w:ind w:left="0" w:right="0" w:firstLine="490"/>
        <w:jc w:val="both"/>
        <w:rPr>
          <w:rFonts w:ascii="Times New Roman;Times;serif" w:hAnsi="Times New Roman;Times;serif"/>
          <w:sz w:val="20"/>
        </w:rPr>
      </w:pPr>
      <w:bookmarkStart w:id="1564" w:name="Tc_G2VyVXdPDUGgVYObVWRyrA_8_10"/>
      <w:bookmarkStart w:id="1565" w:name="Tc_IzHZxv6je0OlH0_2jBXRTA_8_7"/>
      <w:bookmarkStart w:id="1566" w:name="Tc_6H8vG-hmZ0-DcY1IBLYK7Q_8_4"/>
      <w:bookmarkStart w:id="1567" w:name="Tc_EkkX70tSBU2BjN6TTjLM4w_8_1"/>
      <w:bookmarkStart w:id="1568" w:name="Tc_r3S7edHjJk6_3qpt0raUkA_8_0"/>
      <w:bookmarkStart w:id="1569" w:name="Tc_M86Hy9mcVE6J6s91bkGX4g_6_10"/>
      <w:bookmarkStart w:id="1570" w:name="Tc_qr0Ocu-PIUmVcr-0d-qaRg_6_7"/>
      <w:bookmarkStart w:id="1571" w:name="Tc_N2HsGzCPrE2kKcROYwcGUw_6_4"/>
      <w:bookmarkStart w:id="1572" w:name="Tc_bbVXvo2kMUei6ljNu2J4gg_6_1"/>
      <w:bookmarkStart w:id="1573" w:name="Tc_nlhc7CFWK0yBemJWOGC_IA_6_0"/>
      <w:bookmarkStart w:id="1574" w:name="Tc_5KraLI1Y3Uet6bRmSCIxtw_5_8"/>
      <w:bookmarkStart w:id="1575" w:name="Tc_QiDvbaPlQkqQ7MqbNBRVhw_5_2"/>
      <w:bookmarkStart w:id="1576" w:name="Tc_fusL2_zdJESPnLJMFu8VkA_5_0"/>
      <w:bookmarkStart w:id="1577" w:name="Tc_dTbO4-UVj0aAhGUvFZ-zZg_4_0"/>
      <w:bookmarkStart w:id="1578" w:name="Tc_uUyWHLl5d06kA7Uv88cf3g_3_10"/>
      <w:bookmarkStart w:id="1579" w:name="Tc_Lj8WXZ9zfEK_IDhQd-qvWw_3_7"/>
      <w:bookmarkStart w:id="1580" w:name="Tc_KfpOw4Rz6UGC3vgnmrnL6g_3_4"/>
      <w:bookmarkStart w:id="1581" w:name="Tc_eSrkQt0XrkKA_cOHfqGjiA_3_1"/>
      <w:bookmarkStart w:id="1582" w:name="Tc_2v5DQe63lkuT-7D4GiysSQ_3_0"/>
      <w:bookmarkStart w:id="1583" w:name="Tc_Yxv1xAihFUma6ODKciJNAA_2_10"/>
      <w:bookmarkStart w:id="1584" w:name="Tc_PGc0BUi_n0eyY7QlQGlfOA_2_7"/>
      <w:bookmarkStart w:id="1585" w:name="Tc_aUnTx6obv0G6DA3a-nmMpw_2_4"/>
      <w:bookmarkStart w:id="1586" w:name="Tc_WVvSCYNjWk6ZszNpqCiLDg_2_1"/>
      <w:bookmarkStart w:id="1587" w:name="Tc_VVe_pOFuIkGZh4_WklDygw_1_7"/>
      <w:bookmarkStart w:id="1588" w:name="Tc_oGgUH5SwGUOkVOLUL2vudA_1_1"/>
      <w:bookmarkStart w:id="1589" w:name="_2b934688_492b_489a_a84a_0fe197acf345"/>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r>
        <w:rPr>
          <w:rFonts w:ascii="Times New Roman;Times;serif" w:hAnsi="Times New Roman;Times;serif"/>
          <w:sz w:val="20"/>
        </w:rPr>
        <w:t>In addition to the $2.1 million of financing costs, net of accumulated amortization included in the table above, as of June 30, 2026, the Company also had financing costs, net of accumulated amortization related to the Revolving Credit Facility of $0.4 million which is included in other assets on the consolidated balance sheets. These costs are amortized on a straight-line basis over the term of the Revolving Credit Facility and are included in interest expense in the Company’s accompanying consolidated statements of operations.</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The following table reflects a summary of interest expense incurred and paid during the three and six months ended June 30, 2026 and 2025 (in thousands):</w:t>
      </w:r>
    </w:p>
    <w:p>
      <w:pPr>
        <w:pStyle w:val="TextBody"/>
        <w:bidi w:val="0"/>
        <w:spacing w:before="0" w:after="0"/>
        <w:ind w:left="0" w:right="0" w:hanging="0"/>
        <w:jc w:val="left"/>
        <w:rPr/>
      </w:pPr>
      <w:r>
        <w:rPr/>
        <w:t>​</w:t>
      </w:r>
    </w:p>
    <w:tbl>
      <w:tblPr>
        <w:tblW w:w="9140" w:type="dxa"/>
        <w:jc w:val="left"/>
        <w:tblInd w:w="0" w:type="dxa"/>
        <w:tblLayout w:type="fixed"/>
        <w:tblCellMar>
          <w:top w:w="0" w:type="dxa"/>
          <w:left w:w="0" w:type="dxa"/>
          <w:bottom w:w="0" w:type="dxa"/>
          <w:right w:w="0" w:type="dxa"/>
        </w:tblCellMar>
      </w:tblPr>
      <w:tblGrid>
        <w:gridCol w:w="3976"/>
        <w:gridCol w:w="331"/>
        <w:gridCol w:w="896"/>
        <w:gridCol w:w="171"/>
        <w:gridCol w:w="331"/>
        <w:gridCol w:w="896"/>
        <w:gridCol w:w="109"/>
        <w:gridCol w:w="258"/>
        <w:gridCol w:w="826"/>
        <w:gridCol w:w="133"/>
        <w:gridCol w:w="258"/>
        <w:gridCol w:w="955"/>
      </w:tblGrid>
      <w:tr>
        <w:trPr/>
        <w:tc>
          <w:tcPr>
            <w:tcW w:w="397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0185" cy="175260"/>
                      <wp:effectExtent l="0" t="0" r="0" b="0"/>
                      <wp:wrapNone/>
                      <wp:docPr id="299" name="Frame299"/>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568960" cy="175260"/>
                      <wp:effectExtent l="0" t="0" r="0" b="0"/>
                      <wp:wrapNone/>
                      <wp:docPr id="300" name="Frame300"/>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08585" cy="175260"/>
                      <wp:effectExtent l="0" t="0" r="0" b="0"/>
                      <wp:wrapNone/>
                      <wp:docPr id="301" name="Frame301"/>
                      <a:graphic xmlns:a="http://schemas.openxmlformats.org/drawingml/2006/main">
                        <a:graphicData uri="http://schemas.microsoft.com/office/word/2010/wordprocessingShape">
                          <wps:wsp>
                            <wps:cNvSpPr txBox="1"/>
                            <wps:spPr>
                              <a:xfrm>
                                <a:off x="0" y="0"/>
                                <a:ext cx="108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0185" cy="175260"/>
                      <wp:effectExtent l="0" t="0" r="0" b="0"/>
                      <wp:wrapNone/>
                      <wp:docPr id="302" name="Frame302"/>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568960" cy="175260"/>
                      <wp:effectExtent l="0" t="0" r="0" b="0"/>
                      <wp:wrapNone/>
                      <wp:docPr id="303" name="Frame303"/>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9215" cy="175260"/>
                      <wp:effectExtent l="0" t="0" r="0" b="0"/>
                      <wp:wrapNone/>
                      <wp:docPr id="304" name="Frame3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63830" cy="175260"/>
                      <wp:effectExtent l="0" t="0" r="0" b="0"/>
                      <wp:wrapNone/>
                      <wp:docPr id="305" name="Frame305"/>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524510" cy="175260"/>
                      <wp:effectExtent l="0" t="0" r="0" b="0"/>
                      <wp:wrapNone/>
                      <wp:docPr id="306" name="Frame30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84455" cy="175260"/>
                      <wp:effectExtent l="0" t="0" r="0" b="0"/>
                      <wp:wrapNone/>
                      <wp:docPr id="307" name="Frame307"/>
                      <a:graphic xmlns:a="http://schemas.openxmlformats.org/drawingml/2006/main">
                        <a:graphicData uri="http://schemas.microsoft.com/office/word/2010/wordprocessingShape">
                          <wps:wsp>
                            <wps:cNvSpPr txBox="1"/>
                            <wps:spPr>
                              <a:xfrm>
                                <a:off x="0" y="0"/>
                                <a:ext cx="84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63830" cy="175260"/>
                      <wp:effectExtent l="0" t="0" r="0" b="0"/>
                      <wp:wrapNone/>
                      <wp:docPr id="308" name="Frame308"/>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06425" cy="175260"/>
                      <wp:effectExtent l="0" t="0" r="0" b="0"/>
                      <wp:wrapNone/>
                      <wp:docPr id="309" name="Frame309"/>
                      <a:graphic xmlns:a="http://schemas.openxmlformats.org/drawingml/2006/main">
                        <a:graphicData uri="http://schemas.microsoft.com/office/word/2010/wordprocessingShape">
                          <wps:wsp>
                            <wps:cNvSpPr txBox="1"/>
                            <wps:spPr>
                              <a:xfrm>
                                <a:off x="0" y="0"/>
                                <a:ext cx="606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26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w:t>
            </w:r>
          </w:p>
        </w:tc>
        <w:tc>
          <w:tcPr>
            <w:tcW w:w="109" w:type="dxa"/>
            <w:tcBorders/>
            <w:vAlign w:val="center"/>
          </w:tcPr>
          <w:p>
            <w:pPr>
              <w:pStyle w:val="TableContents"/>
              <w:bidi w:val="0"/>
              <w:spacing w:before="0" w:after="0"/>
              <w:ind w:left="0" w:right="0" w:hanging="0"/>
              <w:jc w:val="left"/>
              <w:rPr/>
            </w:pPr>
            <w:r>
              <w:rPr/>
              <w:t>​</w:t>
            </w:r>
          </w:p>
        </w:tc>
        <w:tc>
          <w:tcPr>
            <w:tcW w:w="24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w:t>
            </w:r>
          </w:p>
        </w:tc>
      </w:tr>
      <w:tr>
        <w:trPr/>
        <w:tc>
          <w:tcPr>
            <w:tcW w:w="3976" w:type="dxa"/>
            <w:tcBorders/>
            <w:vAlign w:val="center"/>
          </w:tcPr>
          <w:p>
            <w:pPr>
              <w:pStyle w:val="TableContents"/>
              <w:bidi w:val="0"/>
              <w:spacing w:before="0" w:after="0"/>
              <w:ind w:left="0" w:right="0" w:hanging="0"/>
              <w:jc w:val="left"/>
              <w:rPr/>
            </w:pPr>
            <w:r>
              <w:rPr/>
              <w:t>​</w:t>
            </w:r>
          </w:p>
        </w:tc>
        <w:tc>
          <w:tcPr>
            <w:tcW w:w="12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71" w:type="dxa"/>
            <w:tcBorders/>
            <w:vAlign w:val="center"/>
          </w:tcPr>
          <w:p>
            <w:pPr>
              <w:pStyle w:val="TableContents"/>
              <w:bidi w:val="0"/>
              <w:spacing w:before="0" w:after="0"/>
              <w:ind w:left="0" w:right="0" w:hanging="0"/>
              <w:jc w:val="left"/>
              <w:rPr/>
            </w:pPr>
            <w:r>
              <w:rPr/>
              <w:t>​</w:t>
            </w:r>
          </w:p>
        </w:tc>
        <w:tc>
          <w:tcPr>
            <w:tcW w:w="12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0"/>
              <w:ind w:left="0" w:right="0" w:hanging="0"/>
              <w:jc w:val="left"/>
              <w:rPr/>
            </w:pPr>
            <w:r>
              <w:rPr/>
              <w:t>​</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33" w:type="dxa"/>
            <w:tcBorders/>
            <w:vAlign w:val="center"/>
          </w:tcPr>
          <w:p>
            <w:pPr>
              <w:pStyle w:val="TableContents"/>
              <w:bidi w:val="0"/>
              <w:spacing w:before="0" w:after="0"/>
              <w:ind w:left="0" w:right="0" w:hanging="0"/>
              <w:jc w:val="left"/>
              <w:rPr/>
            </w:pPr>
            <w:r>
              <w:rPr/>
              <w:t>​</w:t>
            </w:r>
          </w:p>
        </w:tc>
        <w:tc>
          <w:tcPr>
            <w:tcW w:w="12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397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Expense </w:t>
            </w:r>
            <w:r>
              <w:rPr>
                <w:rFonts w:ascii="Times New Roman;Times;serif" w:hAnsi="Times New Roman;Times;serif"/>
                <w:sz w:val="15"/>
              </w:rPr>
              <w:t>(1)</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7,456</w:t>
            </w:r>
          </w:p>
        </w:tc>
        <w:tc>
          <w:tcPr>
            <w:tcW w:w="171"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6,542</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14,386</w:t>
            </w:r>
          </w:p>
        </w:tc>
        <w:tc>
          <w:tcPr>
            <w:tcW w:w="133"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12,311</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of Deferred Financing Costs </w:t>
            </w:r>
          </w:p>
        </w:tc>
        <w:tc>
          <w:tcPr>
            <w:tcW w:w="33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c>
          <w:tcPr>
            <w:tcW w:w="17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w:t>
            </w:r>
          </w:p>
        </w:tc>
        <w:tc>
          <w:tcPr>
            <w:tcW w:w="133"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Discount on Convertible Notes</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3"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Expense</w:t>
            </w:r>
          </w:p>
        </w:tc>
        <w:tc>
          <w:tcPr>
            <w:tcW w:w="3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7,783</w:t>
            </w:r>
          </w:p>
        </w:tc>
        <w:tc>
          <w:tcPr>
            <w:tcW w:w="171" w:type="dxa"/>
            <w:tcBorders/>
            <w:vAlign w:val="center"/>
          </w:tcPr>
          <w:p>
            <w:pPr>
              <w:pStyle w:val="TableContents"/>
              <w:bidi w:val="0"/>
              <w:spacing w:before="0" w:after="0"/>
              <w:ind w:left="0" w:right="0" w:hanging="0"/>
              <w:jc w:val="left"/>
              <w:rPr/>
            </w:pPr>
            <w:r>
              <w:rPr/>
              <w:t>​</w:t>
            </w:r>
          </w:p>
        </w:tc>
        <w:tc>
          <w:tcPr>
            <w:tcW w:w="3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6,859</w:t>
            </w:r>
          </w:p>
        </w:tc>
        <w:tc>
          <w:tcPr>
            <w:tcW w:w="109" w:type="dxa"/>
            <w:tcBorders/>
            <w:vAlign w:val="center"/>
          </w:tcPr>
          <w:p>
            <w:pPr>
              <w:pStyle w:val="TableContents"/>
              <w:bidi w:val="0"/>
              <w:spacing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15,054</w:t>
            </w:r>
          </w:p>
        </w:tc>
        <w:tc>
          <w:tcPr>
            <w:tcW w:w="133" w:type="dxa"/>
            <w:tcBorders/>
            <w:vAlign w:val="center"/>
          </w:tcPr>
          <w:p>
            <w:pPr>
              <w:pStyle w:val="TableContents"/>
              <w:bidi w:val="0"/>
              <w:spacing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12,995</w:t>
            </w:r>
          </w:p>
        </w:tc>
      </w:tr>
      <w:tr>
        <w:trPr/>
        <w:tc>
          <w:tcPr>
            <w:tcW w:w="397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33"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Paid</w:t>
            </w:r>
          </w:p>
        </w:tc>
        <w:tc>
          <w:tcPr>
            <w:tcW w:w="3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7,697</w:t>
            </w:r>
          </w:p>
        </w:tc>
        <w:tc>
          <w:tcPr>
            <w:tcW w:w="171" w:type="dxa"/>
            <w:tcBorders/>
            <w:vAlign w:val="center"/>
          </w:tcPr>
          <w:p>
            <w:pPr>
              <w:pStyle w:val="TableContents"/>
              <w:bidi w:val="0"/>
              <w:spacing w:before="0" w:after="0"/>
              <w:ind w:left="0" w:right="0" w:hanging="0"/>
              <w:jc w:val="left"/>
              <w:rPr/>
            </w:pPr>
            <w:r>
              <w:rPr/>
              <w:t>​</w:t>
            </w:r>
          </w:p>
        </w:tc>
        <w:tc>
          <w:tcPr>
            <w:tcW w:w="3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7,490</w:t>
            </w:r>
          </w:p>
        </w:tc>
        <w:tc>
          <w:tcPr>
            <w:tcW w:w="109" w:type="dxa"/>
            <w:tcBorders/>
            <w:vAlign w:val="center"/>
          </w:tcPr>
          <w:p>
            <w:pPr>
              <w:pStyle w:val="TableContents"/>
              <w:bidi w:val="0"/>
              <w:spacing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14,115</w:t>
            </w:r>
          </w:p>
        </w:tc>
        <w:tc>
          <w:tcPr>
            <w:tcW w:w="133" w:type="dxa"/>
            <w:tcBorders/>
            <w:vAlign w:val="center"/>
          </w:tcPr>
          <w:p>
            <w:pPr>
              <w:pStyle w:val="TableContents"/>
              <w:bidi w:val="0"/>
              <w:spacing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12,790</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lineRule="auto" w:line="240" w:before="0" w:after="0"/>
        <w:ind w:left="0" w:right="0" w:hanging="0"/>
        <w:jc w:val="both"/>
        <w:rPr>
          <w:rFonts w:ascii="Times New Roman;Times;serif" w:hAnsi="Times New Roman;Times;serif"/>
          <w:sz w:val="14"/>
        </w:rPr>
      </w:pPr>
      <w:r>
        <w:rPr>
          <w:rFonts w:ascii="Times New Roman;Times;serif" w:hAnsi="Times New Roman;Times;serif"/>
          <w:sz w:val="12"/>
          <w:shd w:fill="FFFFFF" w:val="clear"/>
        </w:rPr>
        <w:t>(1)  </w:t>
      </w:r>
      <w:r>
        <w:rPr>
          <w:rFonts w:ascii="Times New Roman;Times;serif" w:hAnsi="Times New Roman;Times;serif"/>
          <w:sz w:val="14"/>
          <w:shd w:fill="FFFFFF" w:val="clear"/>
        </w:rPr>
        <w:t xml:space="preserve">   </w:t>
      </w:r>
      <w:r>
        <w:rPr>
          <w:rFonts w:ascii="Times New Roman;Times;serif" w:hAnsi="Times New Roman;Times;serif"/>
          <w:sz w:val="14"/>
        </w:rPr>
        <w:t>Net of capitalized interest of $0.3 million during the three and six months ended June 30, 2026, with no interest being capitalized during the three and six months ended June 30, 2025.</w:t>
      </w:r>
    </w:p>
    <w:p>
      <w:pPr>
        <w:pStyle w:val="TextBody"/>
        <w:bidi w:val="0"/>
        <w:spacing w:before="0" w:after="0"/>
        <w:ind w:left="0" w:right="0" w:hanging="0"/>
        <w:jc w:val="both"/>
        <w:rPr/>
      </w:pPr>
      <w:r>
        <w:rPr/>
        <w:t> </w:t>
      </w:r>
    </w:p>
    <w:p>
      <w:pPr>
        <w:pStyle w:val="TextBody"/>
        <w:bidi w:val="0"/>
        <w:spacing w:before="0" w:after="20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was in compliance with all of its debt covenants as of June 30, 2026 and December 31, 2025.</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1590" w:name="Tc_J3IHkNhGkUSccCXmcKm2YA_16_11"/>
      <w:bookmarkStart w:id="1591" w:name="Tc_0ejD-tb_n0KNRxY8ydHKlw_16_8"/>
      <w:bookmarkStart w:id="1592" w:name="Tc_x-Ul7ZZSgkKl4s0kfqOQkA_16_6"/>
      <w:bookmarkStart w:id="1593" w:name="Tc_qSu17o9TH0OFXn6uZWbqdw_16_4"/>
      <w:bookmarkStart w:id="1594" w:name="Tc_NIwutFzHfkCD2l_7C8XTIw_16_2"/>
      <w:bookmarkStart w:id="1595" w:name="Tc_cRcL8dvseUaH5geBfv0qxA_16_0"/>
      <w:bookmarkStart w:id="1596" w:name="Tc_wfzegjAOek-GfMD5QfDoAg_15_11"/>
      <w:bookmarkStart w:id="1597" w:name="Tc_5Ur4MgV-AUSCNJPUaz0Zlw_15_8"/>
      <w:bookmarkStart w:id="1598" w:name="Tc_3feYGYd43EmEbe6766gw6g_15_6"/>
      <w:bookmarkStart w:id="1599" w:name="Tc_8A6UVxyjA0iG8bfvFyMvog_15_4"/>
      <w:bookmarkStart w:id="1600" w:name="Tc_ZMU80lUeukel-jWMbxg4uA_15_2"/>
      <w:bookmarkStart w:id="1601" w:name="Tc_P5PeR5ry90y12YPQXWqqKw_15_0"/>
      <w:bookmarkStart w:id="1602" w:name="Tc_V1lqPUvE5UeUwBTVxWPsMg_14_11"/>
      <w:bookmarkStart w:id="1603" w:name="Tc_lykeVs_V0kSwGVjq6ns6vg_14_8"/>
      <w:bookmarkStart w:id="1604" w:name="Tc_CYZW757E5UOaLyTTJqjFUA_14_6"/>
      <w:bookmarkStart w:id="1605" w:name="Tc_Hc903zB1ckSEUyCihBKzuA_14_4"/>
      <w:bookmarkStart w:id="1606" w:name="Tc_02Wu2cMZLUOvS4Fc2DKNRw_14_2"/>
      <w:bookmarkStart w:id="1607" w:name="Tc_YuADP_ahtkuA0hlZU1TH-w_14_0"/>
      <w:bookmarkStart w:id="1608" w:name="Tc_cAn5MXG8wU-Kbrm5ZJHhxg_13_11"/>
      <w:bookmarkStart w:id="1609" w:name="Tc_93Lx5jZORke6VdhjDrXG0w_13_8"/>
      <w:bookmarkStart w:id="1610" w:name="Tc_VxLzQhCHYUWyY6jiIURCuQ_13_6"/>
      <w:bookmarkStart w:id="1611" w:name="Tc_H0HZqc_1A0CDaxVxvHn1sQ_13_4"/>
      <w:bookmarkStart w:id="1612" w:name="Tc_1twCmTkcPEeKzFyRlJQeHA_13_2"/>
      <w:bookmarkStart w:id="1613" w:name="Tc_AZuZe8SHyka42QLWZky2cQ_13_0"/>
      <w:bookmarkStart w:id="1614" w:name="Tc_IXlP7yUyfUGjD6GETRRbew_12_11"/>
      <w:bookmarkStart w:id="1615" w:name="Tc_wbgzGbgefEOiBBo5vt01wA_12_8"/>
      <w:bookmarkStart w:id="1616" w:name="Tc_fye9tbpvQEuF64e6AgKFAQ_12_6"/>
      <w:bookmarkStart w:id="1617" w:name="Tc_I1dYPCvX5kmW6JM_tAzN5g_12_4"/>
      <w:bookmarkStart w:id="1618" w:name="Tc_iKwnK_165EKB-tDdUi3ddQ_12_2"/>
      <w:bookmarkStart w:id="1619" w:name="Tc_y2qJEB-rG0mZRcRckWLMFg_12_0"/>
      <w:bookmarkStart w:id="1620" w:name="Tc_PxXZcG83dEykI00umbgbYA_11_11"/>
      <w:bookmarkStart w:id="1621" w:name="Tc_vji8_89TIkSE1J34IxURbw_11_8"/>
      <w:bookmarkStart w:id="1622" w:name="Tc_esTlKAjbvkuPl4q2K8Vhzw_11_6"/>
      <w:bookmarkStart w:id="1623" w:name="Tc_q-P0lQGD40exnAqdkjHLoA_11_4"/>
      <w:bookmarkStart w:id="1624" w:name="Tc_U67veoZKFkqghpAjH1qPFA_11_2"/>
      <w:bookmarkStart w:id="1625" w:name="Tc_OIKmlBXJ9EGXrJHXIMSAFg_11_0"/>
      <w:bookmarkStart w:id="1626" w:name="Tc_u34PVXvrwEivWf8rz9TooA_10_11"/>
      <w:bookmarkStart w:id="1627" w:name="Tc_02O7Wmwiv0CqZMGVaSFzJw_10_8"/>
      <w:bookmarkStart w:id="1628" w:name="Tc_eZslacY7j0anOCFNpORnfQ_10_6"/>
      <w:bookmarkStart w:id="1629" w:name="Tc_xdUl8ORl2kGXq3_kRiT96g_10_4"/>
      <w:bookmarkStart w:id="1630" w:name="Tc_6rsGKe67ekyf1CmAIsXckA_10_2"/>
      <w:bookmarkStart w:id="1631" w:name="Tc_6KDYteGbz0yxzXVkqeCjuA_10_0"/>
      <w:bookmarkStart w:id="1632" w:name="Tc_0BJFNxjOcUeWlQ95m5qWew_9_11"/>
      <w:bookmarkStart w:id="1633" w:name="Tc_LHDITIiMAE-oGBAjnGA5Qw_9_8"/>
      <w:bookmarkStart w:id="1634" w:name="Tc_hPSGGY9pLEi73x2SxIw8QQ_9_6"/>
      <w:bookmarkStart w:id="1635" w:name="Tc_DSBST-MlSk-49C98s3EKUg_9_4"/>
      <w:bookmarkStart w:id="1636" w:name="Tc_d_agwbA_oEGiRuEi0kapOg_9_2"/>
      <w:bookmarkStart w:id="1637" w:name="Tc_3ekCVa-C1UuVzEyG8DjsiQ_9_0"/>
      <w:bookmarkStart w:id="1638" w:name="Tc_VCV-fEojCkSQQbxDFOeQZw_8_11"/>
      <w:bookmarkStart w:id="1639" w:name="Tc_L9NabrkC3EGt2CL_Wxewgg_8_8"/>
      <w:bookmarkStart w:id="1640" w:name="Tc_xt6mcU9pbkeYKcJmvHAhog_8_6"/>
      <w:bookmarkStart w:id="1641" w:name="Tc_Cwq0ot2zpUeW4kEOGh5FfQ_8_4"/>
      <w:bookmarkStart w:id="1642" w:name="Tc_ElZbu3zlPkCve97lfcHr4Q_8_2"/>
      <w:bookmarkStart w:id="1643" w:name="Tc_uA2GUDLPYE-8ItaUICr6rg_8_0"/>
      <w:bookmarkStart w:id="1644" w:name="Tc_z5WS6SA6UEmYsLe_K-cBsQ_7_11"/>
      <w:bookmarkStart w:id="1645" w:name="Tc_fFvf6Q8jKE2xPl0wxBjrUw_7_8"/>
      <w:bookmarkStart w:id="1646" w:name="Tc_sgzfkcbFT0WKHWcCs7Wxug_7_6"/>
      <w:bookmarkStart w:id="1647" w:name="Tc_Jj7KgZquVUC8nSYE5WHWjg_7_4"/>
      <w:bookmarkStart w:id="1648" w:name="Tc_VsVlAljChkiXFUn0J1HTTw_7_2"/>
      <w:bookmarkStart w:id="1649" w:name="Tc_BJZVIOSYYkChcf5e5kfF0w_7_0"/>
      <w:bookmarkStart w:id="1650" w:name="Tc_lvB0FMdoY0SKcvd6Fs-w5A_6_11"/>
      <w:bookmarkStart w:id="1651" w:name="Tc_Szb7psI-T0CfhzrTwyWnHw_6_8"/>
      <w:bookmarkStart w:id="1652" w:name="Tc_O0v6wFnfEkutqvsMtmo40g_6_6"/>
      <w:bookmarkStart w:id="1653" w:name="Tc_gl2X_k7_XEWYz7pdZDogRQ_6_4"/>
      <w:bookmarkStart w:id="1654" w:name="Tc_-dhMdbYdW06dF_sWFS0WOQ_6_2"/>
      <w:bookmarkStart w:id="1655" w:name="Tc_8WpLKNPAPUCVGJYOEVKaFA_6_0"/>
      <w:bookmarkStart w:id="1656" w:name="Tc_d5_C3lvAy0mh_glODXLHPg_5_11"/>
      <w:bookmarkStart w:id="1657" w:name="Tc_Mg5TiWf-9kqxkXvts5IMaQ_5_8"/>
      <w:bookmarkStart w:id="1658" w:name="Tc_VjX0iFL9y0ikAO63QYidaQ_5_6"/>
      <w:bookmarkStart w:id="1659" w:name="Tc_fyO1iNmdnkKtlY67BIHdUw_5_4"/>
      <w:bookmarkStart w:id="1660" w:name="Tc_3CyyHCyLdkWCS8v3eo-raw_5_2"/>
      <w:bookmarkStart w:id="1661" w:name="Tc_pKA90s1Dh0m6cWwgbR5pTg_5_0"/>
      <w:bookmarkStart w:id="1662" w:name="Tc_9xLBp_mbcUG45k0tSx7lbg_4_11"/>
      <w:bookmarkStart w:id="1663" w:name="Tc_Whnp-tERUUGoeV4Yk3TgUw_4_8"/>
      <w:bookmarkStart w:id="1664" w:name="Tc_nxDPuGP8JEmxcCCvAu9S4Q_4_6"/>
      <w:bookmarkStart w:id="1665" w:name="Tc_U0mPl1GaWEeP7YAuGef1Xw_4_4"/>
      <w:bookmarkStart w:id="1666" w:name="Tc_TD1pY26ec0mlkmkTz-rWyw_4_2"/>
      <w:bookmarkStart w:id="1667" w:name="Tc_9BpNsIbeN0ua1vZWkEw6qA_4_0"/>
      <w:bookmarkStart w:id="1668" w:name="Tc_HwOemhTKWESFhA9SrsIG9A_3_11"/>
      <w:bookmarkStart w:id="1669" w:name="Tc_-gsngHzH3U2osBtwm_LTVg_3_8"/>
      <w:bookmarkStart w:id="1670" w:name="Tc_VFEOgVEDpUSSaiAyKVOEew_3_6"/>
      <w:bookmarkStart w:id="1671" w:name="Tc_PgXmTndfikSeR6T_UY1k1A_3_4"/>
      <w:bookmarkStart w:id="1672" w:name="Tc_I5yKve7KrUK3Wg9Xa2M4Uw_3_2"/>
      <w:bookmarkStart w:id="1673" w:name="Tc_LjvMxrmmeE25VlIV-s9q5w_3_0"/>
      <w:bookmarkStart w:id="1674" w:name="Tc_4wbWDQdioUWMQJiAdHukzw_2_11"/>
      <w:bookmarkStart w:id="1675" w:name="Tc_wSPaHMWs-EudLpQYIf_0eQ_2_8"/>
      <w:bookmarkStart w:id="1676" w:name="Tc_sm5x0aCa30uIjRoKWRE-rA_2_6"/>
      <w:bookmarkStart w:id="1677" w:name="Tc_UJEQ9LDyzkWWqQF4TbZnSQ_2_4"/>
      <w:bookmarkStart w:id="1678" w:name="Tc_i2ugptJzJE6HKNdXZqlMfQ_2_2"/>
      <w:bookmarkStart w:id="1679" w:name="Tc_pFSkfWcndkqVWZ7D06PfsQ_2_0"/>
      <w:bookmarkStart w:id="1680" w:name="Tc_iWMSscGnpkOnLqfqjpnBXg_1_11"/>
      <w:bookmarkStart w:id="1681" w:name="Tc_cVdJ4EyeB0ex5AL5jGcr_Q_1_8"/>
      <w:bookmarkStart w:id="1682" w:name="Tc_nXsd3cBIs0O6RJ_GPAsrYQ_1_6"/>
      <w:bookmarkStart w:id="1683" w:name="Tc_squfJe_1xEOTYAwa2Vs-YQ_1_4"/>
      <w:bookmarkStart w:id="1684" w:name="Tc_5Ey8FAbY_USHjJQXPxhFNg_1_2"/>
      <w:bookmarkStart w:id="1685" w:name="Tc_GpkZbJu4bUiWg8On1EnlMQ_1_0"/>
      <w:bookmarkStart w:id="1686" w:name="_605493b2_0b12_4c3f_b08b_34679f131bad"/>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r>
        <w:rPr>
          <w:rFonts w:ascii="Times New Roman;Times;serif" w:hAnsi="Times New Roman;Times;serif"/>
          <w:b/>
          <w:sz w:val="20"/>
        </w:rPr>
        <w:t>NOTE 15. INTEREST RATE SWAPS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The Company has entered into interest rate swap agreements to hedge against changes in future cash flows resulting from fluctuating interest rates related to the below noted borrowings. The interest rate agreements were 100% effective during the three and six months ended June 30, 2026 and 2025. Accordingly, the changes in fair value on the interest rate swaps have been classified in accumulated other comprehensive income (loss). The fair value of the interest rate swap agreements are included in </w:t>
      </w:r>
      <w:r>
        <w:rPr>
          <w:rFonts w:ascii="Times New Roman;Times;serif" w:hAnsi="Times New Roman;Times;serif"/>
          <w:b w:val="false"/>
          <w:i w:val="false"/>
          <w:caps w:val="false"/>
          <w:smallCaps w:val="false"/>
          <w:sz w:val="20"/>
        </w:rPr>
        <w:t>other assets</w:t>
      </w:r>
      <w:r>
        <w:rPr>
          <w:rFonts w:ascii="Times New Roman;Times;serif" w:hAnsi="Times New Roman;Times;serif"/>
          <w:sz w:val="20"/>
        </w:rPr>
        <w:t xml:space="preserve"> and accrued and other liabilities, respectively, on the consolidated balance sheets. Information related to the Company’s interest rate swap agreements as of June 30, 2026 is presented below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92"/>
        <w:gridCol w:w="109"/>
        <w:gridCol w:w="1127"/>
        <w:gridCol w:w="109"/>
        <w:gridCol w:w="1157"/>
        <w:gridCol w:w="109"/>
        <w:gridCol w:w="2416"/>
        <w:gridCol w:w="109"/>
        <w:gridCol w:w="196"/>
        <w:gridCol w:w="691"/>
        <w:gridCol w:w="109"/>
        <w:gridCol w:w="592"/>
        <w:gridCol w:w="1689"/>
      </w:tblGrid>
      <w:tr>
        <w:trPr/>
        <w:tc>
          <w:tcPr>
            <w:tcW w:w="1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137920" cy="175260"/>
                      <wp:effectExtent l="0" t="0" r="0" b="0"/>
                      <wp:wrapNone/>
                      <wp:docPr id="310" name="Frame310"/>
                      <a:graphic xmlns:a="http://schemas.openxmlformats.org/drawingml/2006/main">
                        <a:graphicData uri="http://schemas.microsoft.com/office/word/2010/wordprocessingShape">
                          <wps:wsp>
                            <wps:cNvSpPr txBox="1"/>
                            <wps:spPr>
                              <a:xfrm>
                                <a:off x="0" y="0"/>
                                <a:ext cx="1137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9215" cy="175260"/>
                      <wp:effectExtent l="0" t="0" r="0" b="0"/>
                      <wp:wrapNone/>
                      <wp:docPr id="311" name="Frame3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715645" cy="175260"/>
                      <wp:effectExtent l="0" t="0" r="0" b="0"/>
                      <wp:wrapNone/>
                      <wp:docPr id="312" name="Frame312"/>
                      <a:graphic xmlns:a="http://schemas.openxmlformats.org/drawingml/2006/main">
                        <a:graphicData uri="http://schemas.microsoft.com/office/word/2010/wordprocessingShape">
                          <wps:wsp>
                            <wps:cNvSpPr txBox="1"/>
                            <wps:spPr>
                              <a:xfrm>
                                <a:off x="0" y="0"/>
                                <a:ext cx="715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9215" cy="175260"/>
                      <wp:effectExtent l="0" t="0" r="0" b="0"/>
                      <wp:wrapNone/>
                      <wp:docPr id="313" name="Frame3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734695" cy="175260"/>
                      <wp:effectExtent l="0" t="0" r="0" b="0"/>
                      <wp:wrapNone/>
                      <wp:docPr id="314" name="Frame314"/>
                      <a:graphic xmlns:a="http://schemas.openxmlformats.org/drawingml/2006/main">
                        <a:graphicData uri="http://schemas.microsoft.com/office/word/2010/wordprocessingShape">
                          <wps:wsp>
                            <wps:cNvSpPr txBox="1"/>
                            <wps:spPr>
                              <a:xfrm>
                                <a:off x="0" y="0"/>
                                <a:ext cx="734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9215" cy="175260"/>
                      <wp:effectExtent l="0" t="0" r="0" b="0"/>
                      <wp:wrapNone/>
                      <wp:docPr id="315" name="Frame3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534160" cy="175260"/>
                      <wp:effectExtent l="0" t="0" r="0" b="0"/>
                      <wp:wrapNone/>
                      <wp:docPr id="316" name="Frame316"/>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9215" cy="175260"/>
                      <wp:effectExtent l="0" t="0" r="0" b="0"/>
                      <wp:wrapNone/>
                      <wp:docPr id="317" name="Frame3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24460" cy="175260"/>
                      <wp:effectExtent l="0" t="0" r="0" b="0"/>
                      <wp:wrapNone/>
                      <wp:docPr id="318" name="Frame3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438785" cy="175260"/>
                      <wp:effectExtent l="0" t="0" r="0" b="0"/>
                      <wp:wrapNone/>
                      <wp:docPr id="319" name="Frame31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9215" cy="175260"/>
                      <wp:effectExtent l="0" t="0" r="0" b="0"/>
                      <wp:wrapNone/>
                      <wp:docPr id="320" name="Frame3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375920" cy="175260"/>
                      <wp:effectExtent l="0" t="0" r="0" b="0"/>
                      <wp:wrapNone/>
                      <wp:docPr id="321" name="Frame321"/>
                      <a:graphic xmlns:a="http://schemas.openxmlformats.org/drawingml/2006/main">
                        <a:graphicData uri="http://schemas.microsoft.com/office/word/2010/wordprocessingShape">
                          <wps:wsp>
                            <wps:cNvSpPr txBox="1"/>
                            <wps:spPr>
                              <a:xfrm>
                                <a:off x="0" y="0"/>
                                <a:ext cx="375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072515" cy="175260"/>
                      <wp:effectExtent l="0" t="0" r="0" b="0"/>
                      <wp:wrapNone/>
                      <wp:docPr id="322" name="Frame322"/>
                      <a:graphic xmlns:a="http://schemas.openxmlformats.org/drawingml/2006/main">
                        <a:graphicData uri="http://schemas.microsoft.com/office/word/2010/wordprocessingShape">
                          <wps:wsp>
                            <wps:cNvSpPr txBox="1"/>
                            <wps:spPr>
                              <a:xfrm>
                                <a:off x="0" y="0"/>
                                <a:ext cx="1072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9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Hedged Item</w:t>
            </w:r>
          </w:p>
        </w:tc>
        <w:tc>
          <w:tcPr>
            <w:tcW w:w="109" w:type="dxa"/>
            <w:tcBorders/>
            <w:vAlign w:val="center"/>
          </w:tcPr>
          <w:p>
            <w:pPr>
              <w:pStyle w:val="TableContents"/>
              <w:bidi w:val="0"/>
              <w:spacing w:before="0" w:after="0"/>
              <w:ind w:left="0" w:right="0" w:hanging="0"/>
              <w:jc w:val="left"/>
              <w:rPr/>
            </w:pPr>
            <w:r>
              <w:rPr/>
              <w:t>​</w:t>
            </w:r>
          </w:p>
        </w:tc>
        <w:tc>
          <w:tcPr>
            <w:tcW w:w="112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Effective Date</w:t>
            </w:r>
          </w:p>
        </w:tc>
        <w:tc>
          <w:tcPr>
            <w:tcW w:w="109" w:type="dxa"/>
            <w:tcBorders/>
            <w:vAlign w:val="center"/>
          </w:tcPr>
          <w:p>
            <w:pPr>
              <w:pStyle w:val="TableContents"/>
              <w:bidi w:val="0"/>
              <w:spacing w:before="0" w:after="0"/>
              <w:ind w:left="0" w:right="0" w:hanging="0"/>
              <w:jc w:val="left"/>
              <w:rPr/>
            </w:pPr>
            <w:r>
              <w:rPr/>
              <w:t>​</w:t>
            </w:r>
          </w:p>
        </w:tc>
        <w:tc>
          <w:tcPr>
            <w:tcW w:w="115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Maturity Date</w:t>
            </w:r>
          </w:p>
        </w:tc>
        <w:tc>
          <w:tcPr>
            <w:tcW w:w="109" w:type="dxa"/>
            <w:tcBorders/>
            <w:vAlign w:val="center"/>
          </w:tcPr>
          <w:p>
            <w:pPr>
              <w:pStyle w:val="TableContents"/>
              <w:bidi w:val="0"/>
              <w:spacing w:before="0" w:after="0"/>
              <w:ind w:left="0" w:right="0" w:hanging="0"/>
              <w:jc w:val="left"/>
              <w:rPr/>
            </w:pPr>
            <w:r>
              <w:rPr/>
              <w:t>​</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Rate</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109" w:type="dxa"/>
            <w:tcBorders/>
            <w:vAlign w:val="center"/>
          </w:tcPr>
          <w:p>
            <w:pPr>
              <w:pStyle w:val="TableContents"/>
              <w:bidi w:val="0"/>
              <w:spacing w:before="0" w:after="0"/>
              <w:ind w:left="0" w:right="0" w:hanging="0"/>
              <w:jc w:val="center"/>
              <w:rPr/>
            </w:pPr>
            <w:r>
              <w:rPr/>
              <w:t>​</w:t>
            </w:r>
          </w:p>
        </w:tc>
        <w:tc>
          <w:tcPr>
            <w:tcW w:w="22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 as of June 30, 2026</w:t>
            </w:r>
          </w:p>
        </w:tc>
      </w:tr>
      <w:tr>
        <w:trPr/>
        <w:tc>
          <w:tcPr>
            <w:tcW w:w="179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2027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112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3/29/2024</w:t>
            </w:r>
          </w:p>
        </w:tc>
        <w:tc>
          <w:tcPr>
            <w:tcW w:w="109" w:type="dxa"/>
            <w:tcBorders/>
            <w:shd w:fill="CCEEFF" w:val="clear"/>
            <w:vAlign w:val="center"/>
          </w:tcPr>
          <w:p>
            <w:pPr>
              <w:pStyle w:val="TableContents"/>
              <w:bidi w:val="0"/>
              <w:spacing w:before="0" w:after="0"/>
              <w:ind w:left="0" w:right="0" w:hanging="0"/>
              <w:jc w:val="center"/>
              <w:rPr/>
            </w:pPr>
            <w:r>
              <w:rPr/>
              <w:t>​</w:t>
            </w:r>
          </w:p>
        </w:tc>
        <w:tc>
          <w:tcPr>
            <w:tcW w:w="115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1/31/2027</w:t>
            </w:r>
          </w:p>
        </w:tc>
        <w:tc>
          <w:tcPr>
            <w:tcW w:w="109" w:type="dxa"/>
            <w:tcBorders/>
            <w:shd w:fill="CCEEFF" w:val="clear"/>
            <w:vAlign w:val="center"/>
          </w:tcPr>
          <w:p>
            <w:pPr>
              <w:pStyle w:val="TableContents"/>
              <w:bidi w:val="0"/>
              <w:spacing w:before="0" w:after="0"/>
              <w:ind w:left="0" w:right="0" w:hanging="0"/>
              <w:jc w:val="left"/>
              <w:rPr/>
            </w:pPr>
            <w:r>
              <w:rPr/>
              <w:t>​</w:t>
            </w:r>
          </w:p>
        </w:tc>
        <w:tc>
          <w:tcPr>
            <w:tcW w:w="241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1.35% + 0.10%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w:t>
            </w:r>
          </w:p>
        </w:tc>
        <w:tc>
          <w:tcPr>
            <w:tcW w:w="109" w:type="dxa"/>
            <w:tcBorders/>
            <w:shd w:fill="CCEEFF" w:val="clear"/>
            <w:vAlign w:val="center"/>
          </w:tcPr>
          <w:p>
            <w:pPr>
              <w:pStyle w:val="TableContents"/>
              <w:bidi w:val="0"/>
              <w:spacing w:before="0" w:after="0"/>
              <w:ind w:left="0" w:right="0" w:hanging="0"/>
              <w:jc w:val="right"/>
              <w:rPr/>
            </w:pPr>
            <w:r>
              <w:rPr/>
              <w:t>​</w:t>
            </w:r>
          </w:p>
        </w:tc>
        <w:tc>
          <w:tcPr>
            <w:tcW w:w="59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8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1,454</w:t>
            </w:r>
          </w:p>
        </w:tc>
      </w:tr>
      <w:tr>
        <w:trPr/>
        <w:tc>
          <w:tcPr>
            <w:tcW w:w="1792"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2027 Term Loan </w:t>
            </w:r>
            <w:r>
              <w:rPr>
                <w:rFonts w:ascii="Times New Roman;Times;serif" w:hAnsi="Times New Roman;Times;serif"/>
                <w:sz w:val="14"/>
              </w:rPr>
              <w:t>(1)</w:t>
            </w:r>
          </w:p>
        </w:tc>
        <w:tc>
          <w:tcPr>
            <w:tcW w:w="109" w:type="dxa"/>
            <w:tcBorders/>
            <w:vAlign w:val="center"/>
          </w:tcPr>
          <w:p>
            <w:pPr>
              <w:pStyle w:val="TableContents"/>
              <w:bidi w:val="0"/>
              <w:spacing w:before="0" w:after="0"/>
              <w:ind w:left="0" w:right="0" w:hanging="0"/>
              <w:jc w:val="left"/>
              <w:rPr/>
            </w:pPr>
            <w:r>
              <w:rPr/>
              <w:t>​</w:t>
            </w:r>
          </w:p>
        </w:tc>
        <w:tc>
          <w:tcPr>
            <w:tcW w:w="112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1/29/2027</w:t>
            </w:r>
          </w:p>
        </w:tc>
        <w:tc>
          <w:tcPr>
            <w:tcW w:w="109" w:type="dxa"/>
            <w:tcBorders/>
            <w:vAlign w:val="center"/>
          </w:tcPr>
          <w:p>
            <w:pPr>
              <w:pStyle w:val="TableContents"/>
              <w:bidi w:val="0"/>
              <w:spacing w:before="0" w:after="0"/>
              <w:ind w:left="0" w:right="0" w:hanging="0"/>
              <w:jc w:val="center"/>
              <w:rPr/>
            </w:pPr>
            <w:r>
              <w:rPr/>
              <w:t>​</w:t>
            </w:r>
          </w:p>
        </w:tc>
        <w:tc>
          <w:tcPr>
            <w:tcW w:w="115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1/30/2032</w:t>
            </w:r>
          </w:p>
        </w:tc>
        <w:tc>
          <w:tcPr>
            <w:tcW w:w="109"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3.75% + 0.10%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60,000</w:t>
            </w:r>
          </w:p>
        </w:tc>
        <w:tc>
          <w:tcPr>
            <w:tcW w:w="109" w:type="dxa"/>
            <w:tcBorders/>
            <w:vAlign w:val="center"/>
          </w:tcPr>
          <w:p>
            <w:pPr>
              <w:pStyle w:val="TableContents"/>
              <w:bidi w:val="0"/>
              <w:spacing w:before="0" w:after="0"/>
              <w:ind w:left="0" w:right="0" w:hanging="0"/>
              <w:jc w:val="right"/>
              <w:rPr/>
            </w:pPr>
            <w:r>
              <w:rPr/>
              <w:t>​</w:t>
            </w:r>
          </w:p>
        </w:tc>
        <w:tc>
          <w:tcPr>
            <w:tcW w:w="59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8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w:t>
            </w:r>
          </w:p>
        </w:tc>
      </w:tr>
      <w:tr>
        <w:trPr/>
        <w:tc>
          <w:tcPr>
            <w:tcW w:w="179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2028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112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9/30/2022</w:t>
            </w:r>
          </w:p>
        </w:tc>
        <w:tc>
          <w:tcPr>
            <w:tcW w:w="109" w:type="dxa"/>
            <w:tcBorders/>
            <w:shd w:fill="CCEEFF" w:val="clear"/>
            <w:vAlign w:val="center"/>
          </w:tcPr>
          <w:p>
            <w:pPr>
              <w:pStyle w:val="TableContents"/>
              <w:bidi w:val="0"/>
              <w:spacing w:before="0" w:after="0"/>
              <w:ind w:left="0" w:right="0" w:hanging="0"/>
              <w:jc w:val="center"/>
              <w:rPr/>
            </w:pPr>
            <w:r>
              <w:rPr/>
              <w:t>​</w:t>
            </w:r>
          </w:p>
        </w:tc>
        <w:tc>
          <w:tcPr>
            <w:tcW w:w="115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1/31/2028</w:t>
            </w:r>
          </w:p>
        </w:tc>
        <w:tc>
          <w:tcPr>
            <w:tcW w:w="109" w:type="dxa"/>
            <w:tcBorders/>
            <w:shd w:fill="CCEEFF" w:val="clear"/>
            <w:vAlign w:val="center"/>
          </w:tcPr>
          <w:p>
            <w:pPr>
              <w:pStyle w:val="TableContents"/>
              <w:bidi w:val="0"/>
              <w:spacing w:before="0" w:after="0"/>
              <w:ind w:left="0" w:right="0" w:hanging="0"/>
              <w:jc w:val="left"/>
              <w:rPr/>
            </w:pPr>
            <w:r>
              <w:rPr/>
              <w:t>​</w:t>
            </w:r>
          </w:p>
        </w:tc>
        <w:tc>
          <w:tcPr>
            <w:tcW w:w="241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3.78% + 0.10%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shd w:fill="CCEEFF" w:val="clear"/>
            <w:vAlign w:val="center"/>
          </w:tcPr>
          <w:p>
            <w:pPr>
              <w:pStyle w:val="TableContents"/>
              <w:bidi w:val="0"/>
              <w:spacing w:before="0" w:after="0"/>
              <w:ind w:left="0" w:right="0" w:hanging="0"/>
              <w:jc w:val="right"/>
              <w:rPr/>
            </w:pPr>
            <w:r>
              <w:rPr/>
              <w:t>​</w:t>
            </w:r>
          </w:p>
        </w:tc>
        <w:tc>
          <w:tcPr>
            <w:tcW w:w="59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8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w:t>
            </w:r>
          </w:p>
        </w:tc>
      </w:tr>
      <w:tr>
        <w:trPr/>
        <w:tc>
          <w:tcPr>
            <w:tcW w:w="179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2028 Term Loan</w:t>
            </w:r>
          </w:p>
        </w:tc>
        <w:tc>
          <w:tcPr>
            <w:tcW w:w="109" w:type="dxa"/>
            <w:tcBorders/>
            <w:vAlign w:val="center"/>
          </w:tcPr>
          <w:p>
            <w:pPr>
              <w:pStyle w:val="TableContents"/>
              <w:bidi w:val="0"/>
              <w:spacing w:before="0" w:after="0"/>
              <w:ind w:left="0" w:right="0" w:hanging="0"/>
              <w:jc w:val="left"/>
              <w:rPr/>
            </w:pPr>
            <w:r>
              <w:rPr/>
              <w:t>​</w:t>
            </w:r>
          </w:p>
        </w:tc>
        <w:tc>
          <w:tcPr>
            <w:tcW w:w="112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9/30/2022</w:t>
            </w:r>
          </w:p>
        </w:tc>
        <w:tc>
          <w:tcPr>
            <w:tcW w:w="109" w:type="dxa"/>
            <w:tcBorders/>
            <w:vAlign w:val="center"/>
          </w:tcPr>
          <w:p>
            <w:pPr>
              <w:pStyle w:val="TableContents"/>
              <w:bidi w:val="0"/>
              <w:spacing w:before="0" w:after="0"/>
              <w:ind w:left="0" w:right="0" w:hanging="0"/>
              <w:jc w:val="center"/>
              <w:rPr/>
            </w:pPr>
            <w:r>
              <w:rPr/>
              <w:t>​</w:t>
            </w:r>
          </w:p>
        </w:tc>
        <w:tc>
          <w:tcPr>
            <w:tcW w:w="115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1/31/2028</w:t>
            </w:r>
          </w:p>
        </w:tc>
        <w:tc>
          <w:tcPr>
            <w:tcW w:w="109"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3.78% + 0.10%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vAlign w:val="center"/>
          </w:tcPr>
          <w:p>
            <w:pPr>
              <w:pStyle w:val="TableContents"/>
              <w:bidi w:val="0"/>
              <w:spacing w:before="0" w:after="0"/>
              <w:ind w:left="0" w:right="0" w:hanging="0"/>
              <w:jc w:val="right"/>
              <w:rPr/>
            </w:pPr>
            <w:r>
              <w:rPr/>
              <w:t>​</w:t>
            </w:r>
          </w:p>
        </w:tc>
        <w:tc>
          <w:tcPr>
            <w:tcW w:w="59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8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w:t>
            </w:r>
          </w:p>
        </w:tc>
      </w:tr>
      <w:tr>
        <w:trPr/>
        <w:tc>
          <w:tcPr>
            <w:tcW w:w="179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2028 Term Loan </w:t>
            </w:r>
            <w:r>
              <w:rPr>
                <w:rFonts w:ascii="Times New Roman;Times;serif" w:hAnsi="Times New Roman;Times;serif"/>
                <w:sz w:val="14"/>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112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1/31/2028</w:t>
            </w:r>
          </w:p>
        </w:tc>
        <w:tc>
          <w:tcPr>
            <w:tcW w:w="109" w:type="dxa"/>
            <w:tcBorders/>
            <w:shd w:fill="CCEEFF" w:val="clear"/>
            <w:vAlign w:val="center"/>
          </w:tcPr>
          <w:p>
            <w:pPr>
              <w:pStyle w:val="TableContents"/>
              <w:bidi w:val="0"/>
              <w:spacing w:before="0" w:after="0"/>
              <w:ind w:left="0" w:right="0" w:hanging="0"/>
              <w:jc w:val="center"/>
              <w:rPr/>
            </w:pPr>
            <w:r>
              <w:rPr/>
              <w:t>​</w:t>
            </w:r>
          </w:p>
        </w:tc>
        <w:tc>
          <w:tcPr>
            <w:tcW w:w="115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1/31/2033</w:t>
            </w:r>
          </w:p>
        </w:tc>
        <w:tc>
          <w:tcPr>
            <w:tcW w:w="109" w:type="dxa"/>
            <w:tcBorders/>
            <w:shd w:fill="CCEEFF" w:val="clear"/>
            <w:vAlign w:val="center"/>
          </w:tcPr>
          <w:p>
            <w:pPr>
              <w:pStyle w:val="TableContents"/>
              <w:bidi w:val="0"/>
              <w:spacing w:before="0" w:after="0"/>
              <w:ind w:left="0" w:right="0" w:hanging="0"/>
              <w:jc w:val="left"/>
              <w:rPr/>
            </w:pPr>
            <w:r>
              <w:rPr/>
              <w:t>​</w:t>
            </w:r>
          </w:p>
        </w:tc>
        <w:tc>
          <w:tcPr>
            <w:tcW w:w="241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3.81% + 0.10%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60,000</w:t>
            </w:r>
          </w:p>
        </w:tc>
        <w:tc>
          <w:tcPr>
            <w:tcW w:w="109" w:type="dxa"/>
            <w:tcBorders/>
            <w:shd w:fill="CCEEFF" w:val="clear"/>
            <w:vAlign w:val="center"/>
          </w:tcPr>
          <w:p>
            <w:pPr>
              <w:pStyle w:val="TableContents"/>
              <w:bidi w:val="0"/>
              <w:spacing w:before="0" w:after="0"/>
              <w:ind w:left="0" w:right="0" w:hanging="0"/>
              <w:jc w:val="right"/>
              <w:rPr/>
            </w:pPr>
            <w:r>
              <w:rPr/>
              <w:t>​</w:t>
            </w:r>
          </w:p>
        </w:tc>
        <w:tc>
          <w:tcPr>
            <w:tcW w:w="59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8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w:t>
            </w:r>
          </w:p>
        </w:tc>
      </w:tr>
      <w:tr>
        <w:trPr/>
        <w:tc>
          <w:tcPr>
            <w:tcW w:w="179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2029 Term Loan</w:t>
            </w:r>
          </w:p>
        </w:tc>
        <w:tc>
          <w:tcPr>
            <w:tcW w:w="109" w:type="dxa"/>
            <w:tcBorders/>
            <w:vAlign w:val="center"/>
          </w:tcPr>
          <w:p>
            <w:pPr>
              <w:pStyle w:val="TableContents"/>
              <w:bidi w:val="0"/>
              <w:spacing w:before="0" w:after="0"/>
              <w:ind w:left="0" w:right="0" w:hanging="0"/>
              <w:jc w:val="left"/>
              <w:rPr/>
            </w:pPr>
            <w:r>
              <w:rPr/>
              <w:t>​</w:t>
            </w:r>
          </w:p>
        </w:tc>
        <w:tc>
          <w:tcPr>
            <w:tcW w:w="112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1/31/2023</w:t>
            </w:r>
          </w:p>
        </w:tc>
        <w:tc>
          <w:tcPr>
            <w:tcW w:w="109" w:type="dxa"/>
            <w:tcBorders/>
            <w:vAlign w:val="center"/>
          </w:tcPr>
          <w:p>
            <w:pPr>
              <w:pStyle w:val="TableContents"/>
              <w:bidi w:val="0"/>
              <w:spacing w:before="0" w:after="0"/>
              <w:ind w:left="0" w:right="0" w:hanging="0"/>
              <w:jc w:val="center"/>
              <w:rPr/>
            </w:pPr>
            <w:r>
              <w:rPr/>
              <w:t>​</w:t>
            </w:r>
          </w:p>
        </w:tc>
        <w:tc>
          <w:tcPr>
            <w:tcW w:w="115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1/31/2030</w:t>
            </w:r>
          </w:p>
        </w:tc>
        <w:tc>
          <w:tcPr>
            <w:tcW w:w="109"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3.27%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vAlign w:val="center"/>
          </w:tcPr>
          <w:p>
            <w:pPr>
              <w:pStyle w:val="TableContents"/>
              <w:bidi w:val="0"/>
              <w:spacing w:before="0" w:after="0"/>
              <w:ind w:left="0" w:right="0" w:hanging="0"/>
              <w:jc w:val="right"/>
              <w:rPr/>
            </w:pPr>
            <w:r>
              <w:rPr/>
              <w:t>​</w:t>
            </w:r>
          </w:p>
        </w:tc>
        <w:tc>
          <w:tcPr>
            <w:tcW w:w="59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8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962</w:t>
            </w:r>
          </w:p>
        </w:tc>
      </w:tr>
      <w:tr>
        <w:trPr/>
        <w:tc>
          <w:tcPr>
            <w:tcW w:w="179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2029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112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1/31/2023</w:t>
            </w:r>
          </w:p>
        </w:tc>
        <w:tc>
          <w:tcPr>
            <w:tcW w:w="109" w:type="dxa"/>
            <w:tcBorders/>
            <w:shd w:fill="CCEEFF" w:val="clear"/>
            <w:vAlign w:val="center"/>
          </w:tcPr>
          <w:p>
            <w:pPr>
              <w:pStyle w:val="TableContents"/>
              <w:bidi w:val="0"/>
              <w:spacing w:before="0" w:after="0"/>
              <w:ind w:left="0" w:right="0" w:hanging="0"/>
              <w:jc w:val="center"/>
              <w:rPr/>
            </w:pPr>
            <w:r>
              <w:rPr/>
              <w:t>​</w:t>
            </w:r>
          </w:p>
        </w:tc>
        <w:tc>
          <w:tcPr>
            <w:tcW w:w="115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1/31/2030</w:t>
            </w:r>
          </w:p>
        </w:tc>
        <w:tc>
          <w:tcPr>
            <w:tcW w:w="109" w:type="dxa"/>
            <w:tcBorders/>
            <w:shd w:fill="CCEEFF" w:val="clear"/>
            <w:vAlign w:val="center"/>
          </w:tcPr>
          <w:p>
            <w:pPr>
              <w:pStyle w:val="TableContents"/>
              <w:bidi w:val="0"/>
              <w:spacing w:before="0" w:after="0"/>
              <w:ind w:left="0" w:right="0" w:hanging="0"/>
              <w:jc w:val="left"/>
              <w:rPr/>
            </w:pPr>
            <w:r>
              <w:rPr/>
              <w:t>​</w:t>
            </w:r>
          </w:p>
        </w:tc>
        <w:tc>
          <w:tcPr>
            <w:tcW w:w="241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3.26%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33,000</w:t>
            </w:r>
          </w:p>
        </w:tc>
        <w:tc>
          <w:tcPr>
            <w:tcW w:w="109" w:type="dxa"/>
            <w:tcBorders/>
            <w:shd w:fill="CCEEFF" w:val="clear"/>
            <w:vAlign w:val="center"/>
          </w:tcPr>
          <w:p>
            <w:pPr>
              <w:pStyle w:val="TableContents"/>
              <w:bidi w:val="0"/>
              <w:spacing w:before="0" w:after="0"/>
              <w:ind w:left="0" w:right="0" w:hanging="0"/>
              <w:jc w:val="right"/>
              <w:rPr/>
            </w:pPr>
            <w:r>
              <w:rPr/>
              <w:t>​</w:t>
            </w:r>
          </w:p>
        </w:tc>
        <w:tc>
          <w:tcPr>
            <w:tcW w:w="59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8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647</w:t>
            </w:r>
          </w:p>
        </w:tc>
      </w:tr>
      <w:tr>
        <w:trPr/>
        <w:tc>
          <w:tcPr>
            <w:tcW w:w="179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2029 Term Loan</w:t>
            </w:r>
          </w:p>
        </w:tc>
        <w:tc>
          <w:tcPr>
            <w:tcW w:w="109" w:type="dxa"/>
            <w:tcBorders/>
            <w:vAlign w:val="center"/>
          </w:tcPr>
          <w:p>
            <w:pPr>
              <w:pStyle w:val="TableContents"/>
              <w:bidi w:val="0"/>
              <w:spacing w:before="0" w:after="0"/>
              <w:ind w:left="0" w:right="0" w:hanging="0"/>
              <w:jc w:val="left"/>
              <w:rPr/>
            </w:pPr>
            <w:r>
              <w:rPr/>
              <w:t>​</w:t>
            </w:r>
          </w:p>
        </w:tc>
        <w:tc>
          <w:tcPr>
            <w:tcW w:w="112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1/31/2023</w:t>
            </w:r>
          </w:p>
        </w:tc>
        <w:tc>
          <w:tcPr>
            <w:tcW w:w="109" w:type="dxa"/>
            <w:tcBorders/>
            <w:vAlign w:val="center"/>
          </w:tcPr>
          <w:p>
            <w:pPr>
              <w:pStyle w:val="TableContents"/>
              <w:bidi w:val="0"/>
              <w:spacing w:before="0" w:after="0"/>
              <w:ind w:left="0" w:right="0" w:hanging="0"/>
              <w:jc w:val="center"/>
              <w:rPr/>
            </w:pPr>
            <w:r>
              <w:rPr/>
              <w:t>​</w:t>
            </w:r>
          </w:p>
        </w:tc>
        <w:tc>
          <w:tcPr>
            <w:tcW w:w="115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1/31/2030</w:t>
            </w:r>
          </w:p>
        </w:tc>
        <w:tc>
          <w:tcPr>
            <w:tcW w:w="109"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3.36%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17,000</w:t>
            </w:r>
          </w:p>
        </w:tc>
        <w:tc>
          <w:tcPr>
            <w:tcW w:w="109" w:type="dxa"/>
            <w:tcBorders/>
            <w:vAlign w:val="center"/>
          </w:tcPr>
          <w:p>
            <w:pPr>
              <w:pStyle w:val="TableContents"/>
              <w:bidi w:val="0"/>
              <w:spacing w:before="0" w:after="0"/>
              <w:ind w:left="0" w:right="0" w:hanging="0"/>
              <w:jc w:val="right"/>
              <w:rPr/>
            </w:pPr>
            <w:r>
              <w:rPr/>
              <w:t>​</w:t>
            </w:r>
          </w:p>
        </w:tc>
        <w:tc>
          <w:tcPr>
            <w:tcW w:w="59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8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w:t>
            </w:r>
          </w:p>
        </w:tc>
      </w:tr>
      <w:tr>
        <w:trPr/>
        <w:tc>
          <w:tcPr>
            <w:tcW w:w="179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2029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112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3/10/2026</w:t>
            </w:r>
          </w:p>
        </w:tc>
        <w:tc>
          <w:tcPr>
            <w:tcW w:w="109" w:type="dxa"/>
            <w:tcBorders/>
            <w:shd w:fill="CCEEFF" w:val="clear"/>
            <w:vAlign w:val="center"/>
          </w:tcPr>
          <w:p>
            <w:pPr>
              <w:pStyle w:val="TableContents"/>
              <w:bidi w:val="0"/>
              <w:spacing w:before="0" w:after="0"/>
              <w:ind w:left="0" w:right="0" w:hanging="0"/>
              <w:jc w:val="center"/>
              <w:rPr/>
            </w:pPr>
            <w:r>
              <w:rPr/>
              <w:t>​</w:t>
            </w:r>
          </w:p>
        </w:tc>
        <w:tc>
          <w:tcPr>
            <w:tcW w:w="115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3/10/2031</w:t>
            </w:r>
          </w:p>
        </w:tc>
        <w:tc>
          <w:tcPr>
            <w:tcW w:w="109" w:type="dxa"/>
            <w:tcBorders/>
            <w:shd w:fill="CCEEFF" w:val="clear"/>
            <w:vAlign w:val="center"/>
          </w:tcPr>
          <w:p>
            <w:pPr>
              <w:pStyle w:val="TableContents"/>
              <w:bidi w:val="0"/>
              <w:spacing w:before="0" w:after="0"/>
              <w:ind w:left="0" w:right="0" w:hanging="0"/>
              <w:jc w:val="left"/>
              <w:rPr/>
            </w:pPr>
            <w:r>
              <w:rPr/>
              <w:t>​</w:t>
            </w:r>
          </w:p>
        </w:tc>
        <w:tc>
          <w:tcPr>
            <w:tcW w:w="241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3.83%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w:t>
            </w:r>
          </w:p>
        </w:tc>
        <w:tc>
          <w:tcPr>
            <w:tcW w:w="109" w:type="dxa"/>
            <w:tcBorders/>
            <w:shd w:fill="CCEEFF" w:val="clear"/>
            <w:vAlign w:val="center"/>
          </w:tcPr>
          <w:p>
            <w:pPr>
              <w:pStyle w:val="TableContents"/>
              <w:bidi w:val="0"/>
              <w:spacing w:before="0" w:after="0"/>
              <w:ind w:left="0" w:right="0" w:hanging="0"/>
              <w:jc w:val="right"/>
              <w:rPr/>
            </w:pPr>
            <w:r>
              <w:rPr/>
              <w:t>​</w:t>
            </w:r>
          </w:p>
        </w:tc>
        <w:tc>
          <w:tcPr>
            <w:tcW w:w="59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8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r>
      <w:tr>
        <w:trPr/>
        <w:tc>
          <w:tcPr>
            <w:tcW w:w="179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2029 Term Loan</w:t>
            </w:r>
          </w:p>
        </w:tc>
        <w:tc>
          <w:tcPr>
            <w:tcW w:w="109" w:type="dxa"/>
            <w:tcBorders/>
            <w:vAlign w:val="center"/>
          </w:tcPr>
          <w:p>
            <w:pPr>
              <w:pStyle w:val="TableContents"/>
              <w:bidi w:val="0"/>
              <w:spacing w:before="0" w:after="0"/>
              <w:ind w:left="0" w:right="0" w:hanging="0"/>
              <w:jc w:val="left"/>
              <w:rPr/>
            </w:pPr>
            <w:r>
              <w:rPr/>
              <w:t>​</w:t>
            </w:r>
          </w:p>
        </w:tc>
        <w:tc>
          <w:tcPr>
            <w:tcW w:w="112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3/10/2026</w:t>
            </w:r>
          </w:p>
        </w:tc>
        <w:tc>
          <w:tcPr>
            <w:tcW w:w="109" w:type="dxa"/>
            <w:tcBorders/>
            <w:vAlign w:val="center"/>
          </w:tcPr>
          <w:p>
            <w:pPr>
              <w:pStyle w:val="TableContents"/>
              <w:bidi w:val="0"/>
              <w:spacing w:before="0" w:after="0"/>
              <w:ind w:left="0" w:right="0" w:hanging="0"/>
              <w:jc w:val="center"/>
              <w:rPr/>
            </w:pPr>
            <w:r>
              <w:rPr/>
              <w:t>​</w:t>
            </w:r>
          </w:p>
        </w:tc>
        <w:tc>
          <w:tcPr>
            <w:tcW w:w="115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1/30/2030</w:t>
            </w:r>
          </w:p>
        </w:tc>
        <w:tc>
          <w:tcPr>
            <w:tcW w:w="109"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3.26%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w:t>
            </w:r>
          </w:p>
        </w:tc>
        <w:tc>
          <w:tcPr>
            <w:tcW w:w="109" w:type="dxa"/>
            <w:tcBorders/>
            <w:vAlign w:val="center"/>
          </w:tcPr>
          <w:p>
            <w:pPr>
              <w:pStyle w:val="TableContents"/>
              <w:bidi w:val="0"/>
              <w:spacing w:before="0" w:after="0"/>
              <w:ind w:left="0" w:right="0" w:hanging="0"/>
              <w:jc w:val="right"/>
              <w:rPr/>
            </w:pPr>
            <w:r>
              <w:rPr/>
              <w:t>​</w:t>
            </w:r>
          </w:p>
        </w:tc>
        <w:tc>
          <w:tcPr>
            <w:tcW w:w="59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8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w:t>
            </w:r>
          </w:p>
        </w:tc>
      </w:tr>
      <w:tr>
        <w:trPr/>
        <w:tc>
          <w:tcPr>
            <w:tcW w:w="179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2030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112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4/30/2025</w:t>
            </w:r>
          </w:p>
        </w:tc>
        <w:tc>
          <w:tcPr>
            <w:tcW w:w="109" w:type="dxa"/>
            <w:tcBorders/>
            <w:shd w:fill="CCEEFF" w:val="clear"/>
            <w:vAlign w:val="center"/>
          </w:tcPr>
          <w:p>
            <w:pPr>
              <w:pStyle w:val="TableContents"/>
              <w:bidi w:val="0"/>
              <w:spacing w:before="0" w:after="0"/>
              <w:ind w:left="0" w:right="0" w:hanging="0"/>
              <w:jc w:val="center"/>
              <w:rPr/>
            </w:pPr>
            <w:r>
              <w:rPr/>
              <w:t>​</w:t>
            </w:r>
          </w:p>
        </w:tc>
        <w:tc>
          <w:tcPr>
            <w:tcW w:w="115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4/30/2030</w:t>
            </w:r>
          </w:p>
        </w:tc>
        <w:tc>
          <w:tcPr>
            <w:tcW w:w="109" w:type="dxa"/>
            <w:tcBorders/>
            <w:shd w:fill="CCEEFF" w:val="clear"/>
            <w:vAlign w:val="center"/>
          </w:tcPr>
          <w:p>
            <w:pPr>
              <w:pStyle w:val="TableContents"/>
              <w:bidi w:val="0"/>
              <w:spacing w:before="0" w:after="0"/>
              <w:ind w:left="0" w:right="0" w:hanging="0"/>
              <w:jc w:val="left"/>
              <w:rPr/>
            </w:pPr>
            <w:r>
              <w:rPr/>
              <w:t>​</w:t>
            </w:r>
          </w:p>
        </w:tc>
        <w:tc>
          <w:tcPr>
            <w:tcW w:w="241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3.41%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shd w:fill="CCEEFF" w:val="clear"/>
            <w:vAlign w:val="center"/>
          </w:tcPr>
          <w:p>
            <w:pPr>
              <w:pStyle w:val="TableContents"/>
              <w:bidi w:val="0"/>
              <w:spacing w:before="0" w:after="0"/>
              <w:ind w:left="0" w:right="0" w:hanging="0"/>
              <w:jc w:val="right"/>
              <w:rPr/>
            </w:pPr>
            <w:r>
              <w:rPr/>
              <w:t>​</w:t>
            </w:r>
          </w:p>
        </w:tc>
        <w:tc>
          <w:tcPr>
            <w:tcW w:w="59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8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762</w:t>
            </w:r>
          </w:p>
        </w:tc>
      </w:tr>
      <w:tr>
        <w:trPr/>
        <w:tc>
          <w:tcPr>
            <w:tcW w:w="179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2030 Term Loan</w:t>
            </w:r>
          </w:p>
        </w:tc>
        <w:tc>
          <w:tcPr>
            <w:tcW w:w="109" w:type="dxa"/>
            <w:tcBorders/>
            <w:vAlign w:val="center"/>
          </w:tcPr>
          <w:p>
            <w:pPr>
              <w:pStyle w:val="TableContents"/>
              <w:bidi w:val="0"/>
              <w:spacing w:before="0" w:after="0"/>
              <w:ind w:left="0" w:right="0" w:hanging="0"/>
              <w:jc w:val="left"/>
              <w:rPr/>
            </w:pPr>
            <w:r>
              <w:rPr/>
              <w:t>​</w:t>
            </w:r>
          </w:p>
        </w:tc>
        <w:tc>
          <w:tcPr>
            <w:tcW w:w="112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4/30/2025</w:t>
            </w:r>
          </w:p>
        </w:tc>
        <w:tc>
          <w:tcPr>
            <w:tcW w:w="109" w:type="dxa"/>
            <w:tcBorders/>
            <w:vAlign w:val="center"/>
          </w:tcPr>
          <w:p>
            <w:pPr>
              <w:pStyle w:val="TableContents"/>
              <w:bidi w:val="0"/>
              <w:spacing w:before="0" w:after="0"/>
              <w:ind w:left="0" w:right="0" w:hanging="0"/>
              <w:jc w:val="center"/>
              <w:rPr/>
            </w:pPr>
            <w:r>
              <w:rPr/>
              <w:t>​</w:t>
            </w:r>
          </w:p>
        </w:tc>
        <w:tc>
          <w:tcPr>
            <w:tcW w:w="115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4/30/2030</w:t>
            </w:r>
          </w:p>
        </w:tc>
        <w:tc>
          <w:tcPr>
            <w:tcW w:w="109"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3.23%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vAlign w:val="center"/>
          </w:tcPr>
          <w:p>
            <w:pPr>
              <w:pStyle w:val="TableContents"/>
              <w:bidi w:val="0"/>
              <w:spacing w:before="0" w:after="0"/>
              <w:ind w:left="0" w:right="0" w:hanging="0"/>
              <w:jc w:val="right"/>
              <w:rPr/>
            </w:pPr>
            <w:r>
              <w:rPr/>
              <w:t>​</w:t>
            </w:r>
          </w:p>
        </w:tc>
        <w:tc>
          <w:tcPr>
            <w:tcW w:w="59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8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1,086</w:t>
            </w:r>
          </w:p>
        </w:tc>
      </w:tr>
      <w:tr>
        <w:trPr/>
        <w:tc>
          <w:tcPr>
            <w:tcW w:w="179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2030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112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3/10/2026</w:t>
            </w:r>
          </w:p>
        </w:tc>
        <w:tc>
          <w:tcPr>
            <w:tcW w:w="109" w:type="dxa"/>
            <w:tcBorders/>
            <w:shd w:fill="CCEEFF" w:val="clear"/>
            <w:vAlign w:val="center"/>
          </w:tcPr>
          <w:p>
            <w:pPr>
              <w:pStyle w:val="TableContents"/>
              <w:bidi w:val="0"/>
              <w:spacing w:before="0" w:after="0"/>
              <w:ind w:left="0" w:right="0" w:hanging="0"/>
              <w:jc w:val="center"/>
              <w:rPr/>
            </w:pPr>
            <w:r>
              <w:rPr/>
              <w:t>​</w:t>
            </w:r>
          </w:p>
        </w:tc>
        <w:tc>
          <w:tcPr>
            <w:tcW w:w="115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3/10/2031</w:t>
            </w:r>
          </w:p>
        </w:tc>
        <w:tc>
          <w:tcPr>
            <w:tcW w:w="109" w:type="dxa"/>
            <w:tcBorders/>
            <w:shd w:fill="CCEEFF" w:val="clear"/>
            <w:vAlign w:val="center"/>
          </w:tcPr>
          <w:p>
            <w:pPr>
              <w:pStyle w:val="TableContents"/>
              <w:bidi w:val="0"/>
              <w:spacing w:before="0" w:after="0"/>
              <w:ind w:left="0" w:right="0" w:hanging="0"/>
              <w:jc w:val="left"/>
              <w:rPr/>
            </w:pPr>
            <w:r>
              <w:rPr/>
              <w:t>​</w:t>
            </w:r>
          </w:p>
        </w:tc>
        <w:tc>
          <w:tcPr>
            <w:tcW w:w="241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3.78%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w:t>
            </w:r>
          </w:p>
        </w:tc>
        <w:tc>
          <w:tcPr>
            <w:tcW w:w="109" w:type="dxa"/>
            <w:tcBorders/>
            <w:shd w:fill="CCEEFF" w:val="clear"/>
            <w:vAlign w:val="center"/>
          </w:tcPr>
          <w:p>
            <w:pPr>
              <w:pStyle w:val="TableContents"/>
              <w:bidi w:val="0"/>
              <w:spacing w:before="0" w:after="0"/>
              <w:ind w:left="0" w:right="0" w:hanging="0"/>
              <w:jc w:val="right"/>
              <w:rPr/>
            </w:pPr>
            <w:r>
              <w:rPr/>
              <w:t>​</w:t>
            </w:r>
          </w:p>
        </w:tc>
        <w:tc>
          <w:tcPr>
            <w:tcW w:w="59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8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w:t>
            </w:r>
          </w:p>
        </w:tc>
      </w:tr>
      <w:tr>
        <w:trPr/>
        <w:tc>
          <w:tcPr>
            <w:tcW w:w="179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2030 Term Loan</w:t>
            </w:r>
          </w:p>
        </w:tc>
        <w:tc>
          <w:tcPr>
            <w:tcW w:w="109" w:type="dxa"/>
            <w:tcBorders/>
            <w:vAlign w:val="center"/>
          </w:tcPr>
          <w:p>
            <w:pPr>
              <w:pStyle w:val="TableContents"/>
              <w:bidi w:val="0"/>
              <w:spacing w:before="0" w:after="0"/>
              <w:ind w:left="0" w:right="0" w:hanging="0"/>
              <w:jc w:val="left"/>
              <w:rPr/>
            </w:pPr>
            <w:r>
              <w:rPr/>
              <w:t>​</w:t>
            </w:r>
          </w:p>
        </w:tc>
        <w:tc>
          <w:tcPr>
            <w:tcW w:w="112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3/10/2026</w:t>
            </w:r>
          </w:p>
        </w:tc>
        <w:tc>
          <w:tcPr>
            <w:tcW w:w="109" w:type="dxa"/>
            <w:tcBorders/>
            <w:vAlign w:val="center"/>
          </w:tcPr>
          <w:p>
            <w:pPr>
              <w:pStyle w:val="TableContents"/>
              <w:bidi w:val="0"/>
              <w:spacing w:before="0" w:after="0"/>
              <w:ind w:left="0" w:right="0" w:hanging="0"/>
              <w:jc w:val="center"/>
              <w:rPr/>
            </w:pPr>
            <w:r>
              <w:rPr/>
              <w:t>​</w:t>
            </w:r>
          </w:p>
        </w:tc>
        <w:tc>
          <w:tcPr>
            <w:tcW w:w="115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4/30/2030</w:t>
            </w:r>
          </w:p>
        </w:tc>
        <w:tc>
          <w:tcPr>
            <w:tcW w:w="109"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3.27%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w:t>
            </w:r>
          </w:p>
        </w:tc>
        <w:tc>
          <w:tcPr>
            <w:tcW w:w="109" w:type="dxa"/>
            <w:tcBorders/>
            <w:vAlign w:val="center"/>
          </w:tcPr>
          <w:p>
            <w:pPr>
              <w:pStyle w:val="TableContents"/>
              <w:bidi w:val="0"/>
              <w:spacing w:before="0" w:after="0"/>
              <w:ind w:left="0" w:right="0" w:hanging="0"/>
              <w:jc w:val="right"/>
              <w:rPr/>
            </w:pPr>
            <w:r>
              <w:rPr/>
              <w:t>​</w:t>
            </w:r>
          </w:p>
        </w:tc>
        <w:tc>
          <w:tcPr>
            <w:tcW w:w="59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8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w:t>
            </w:r>
          </w:p>
        </w:tc>
      </w:tr>
      <w:tr>
        <w:trPr/>
        <w:tc>
          <w:tcPr>
            <w:tcW w:w="179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Revolving Credit Facility</w:t>
            </w:r>
          </w:p>
        </w:tc>
        <w:tc>
          <w:tcPr>
            <w:tcW w:w="109" w:type="dxa"/>
            <w:tcBorders/>
            <w:shd w:fill="CCEEFF" w:val="clear"/>
            <w:vAlign w:val="center"/>
          </w:tcPr>
          <w:p>
            <w:pPr>
              <w:pStyle w:val="TableContents"/>
              <w:bidi w:val="0"/>
              <w:spacing w:before="0" w:after="0"/>
              <w:ind w:left="0" w:right="0" w:hanging="0"/>
              <w:jc w:val="left"/>
              <w:rPr/>
            </w:pPr>
            <w:r>
              <w:rPr/>
              <w:t>​</w:t>
            </w:r>
          </w:p>
        </w:tc>
        <w:tc>
          <w:tcPr>
            <w:tcW w:w="112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2/1/2024</w:t>
            </w:r>
          </w:p>
        </w:tc>
        <w:tc>
          <w:tcPr>
            <w:tcW w:w="109" w:type="dxa"/>
            <w:tcBorders/>
            <w:shd w:fill="CCEEFF" w:val="clear"/>
            <w:vAlign w:val="center"/>
          </w:tcPr>
          <w:p>
            <w:pPr>
              <w:pStyle w:val="TableContents"/>
              <w:bidi w:val="0"/>
              <w:spacing w:before="0" w:after="0"/>
              <w:ind w:left="0" w:right="0" w:hanging="0"/>
              <w:jc w:val="center"/>
              <w:rPr/>
            </w:pPr>
            <w:r>
              <w:rPr/>
              <w:t>​</w:t>
            </w:r>
          </w:p>
        </w:tc>
        <w:tc>
          <w:tcPr>
            <w:tcW w:w="115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1/31/2028</w:t>
            </w:r>
          </w:p>
        </w:tc>
        <w:tc>
          <w:tcPr>
            <w:tcW w:w="109" w:type="dxa"/>
            <w:tcBorders/>
            <w:shd w:fill="CCEEFF" w:val="clear"/>
            <w:vAlign w:val="center"/>
          </w:tcPr>
          <w:p>
            <w:pPr>
              <w:pStyle w:val="TableContents"/>
              <w:bidi w:val="0"/>
              <w:spacing w:before="0" w:after="0"/>
              <w:ind w:left="0" w:right="0" w:hanging="0"/>
              <w:jc w:val="left"/>
              <w:rPr/>
            </w:pPr>
            <w:r>
              <w:rPr/>
              <w:t>​</w:t>
            </w:r>
          </w:p>
        </w:tc>
        <w:tc>
          <w:tcPr>
            <w:tcW w:w="241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3.85% + 0.10%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shd w:fill="CCEEFF" w:val="clear"/>
            <w:vAlign w:val="center"/>
          </w:tcPr>
          <w:p>
            <w:pPr>
              <w:pStyle w:val="TableContents"/>
              <w:bidi w:val="0"/>
              <w:spacing w:before="0" w:after="0"/>
              <w:ind w:left="0" w:right="0" w:hanging="0"/>
              <w:jc w:val="right"/>
              <w:rPr/>
            </w:pPr>
            <w:r>
              <w:rPr/>
              <w:t>​</w:t>
            </w:r>
          </w:p>
        </w:tc>
        <w:tc>
          <w:tcPr>
            <w:tcW w:w="59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89"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70</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lineRule="auto" w:line="240" w:before="0" w:after="0"/>
              <w:jc w:val="both"/>
              <w:rPr>
                <w:rFonts w:ascii="Times New Roman;Times;serif" w:hAnsi="Times New Roman;Times;serif"/>
                <w:sz w:val="14"/>
              </w:rPr>
            </w:pPr>
            <w:r>
              <w:rPr>
                <w:rFonts w:ascii="Times New Roman;Times;serif" w:hAnsi="Times New Roman;Times;serif"/>
                <w:sz w:val="14"/>
              </w:rPr>
              <w:t>(1)</w:t>
            </w:r>
          </w:p>
        </w:tc>
        <w:tc>
          <w:tcPr>
            <w:tcW w:w="9924"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The Company entered into forward swaps to further fix interest rates through periods that the Company reasonably expects to extend its current term loans.</w:t>
            </w:r>
          </w:p>
        </w:tc>
      </w:tr>
    </w:tbl>
    <w:p>
      <w:pPr>
        <w:pStyle w:val="TextBody"/>
        <w:pBdr/>
        <w:bidi w:val="0"/>
        <w:spacing w:before="0" w:after="0"/>
        <w:ind w:left="0" w:right="0" w:hanging="360"/>
        <w:jc w:val="both"/>
        <w:rPr/>
      </w:pPr>
      <w:r>
        <w:rPr/>
        <w:t> </w:t>
      </w:r>
    </w:p>
    <w:p>
      <w:pPr>
        <w:pStyle w:val="TextBody"/>
        <w:pBdr/>
        <w:bidi w:val="0"/>
        <w:spacing w:before="0" w:after="200"/>
        <w:ind w:left="0" w:right="0" w:hanging="360"/>
        <w:jc w:val="both"/>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use of interest rate swap agreements carries risks, including the risk that the counterparties to these agreements are not able to perform. To mitigate this risk, the Company enters into interest rate swap agreements with counterparties with high credit ratings and with major financial institutions with which the Company and its affiliates may also have other financial relationships. The Company does not currently anticipate that any of the counterparties to the Company’s interest rate swap agreements will fail to meet their obligations. As of June 30, 2026, there were no events of default related to the Company’s interest rate swap agreements.</w:t>
      </w:r>
    </w:p>
    <w:p>
      <w:pPr>
        <w:pStyle w:val="TextBody"/>
        <w:pBdr/>
        <w:bidi w:val="0"/>
        <w:spacing w:before="0" w:after="0"/>
        <w:ind w:left="0" w:right="0" w:hanging="360"/>
        <w:jc w:val="both"/>
        <w:rPr/>
      </w:pPr>
      <w:r>
        <w:rPr/>
        <w:t> </w:t>
      </w:r>
    </w:p>
    <w:p>
      <w:pPr>
        <w:pStyle w:val="TextBody"/>
        <w:pBdr/>
        <w:bidi w:val="0"/>
        <w:spacing w:before="0" w:after="0"/>
        <w:ind w:left="0" w:right="0" w:hanging="360"/>
        <w:jc w:val="both"/>
        <w:rPr/>
      </w:pPr>
      <w:r>
        <w:rPr/>
        <w:t>​</w:t>
      </w:r>
    </w:p>
    <w:p>
      <w:pPr>
        <w:pStyle w:val="TextBody"/>
        <w:bidi w:val="0"/>
        <w:spacing w:before="0" w:after="0"/>
        <w:ind w:left="0" w:right="0" w:hanging="0"/>
        <w:jc w:val="left"/>
        <w:rPr>
          <w:rFonts w:ascii="Times New Roman;Times;serif" w:hAnsi="Times New Roman;Times;serif"/>
          <w:b/>
          <w:sz w:val="20"/>
        </w:rPr>
      </w:pPr>
      <w:bookmarkStart w:id="1687" w:name="Tc_-Rncwx3z80mMhl7AoFZQVA_12_5"/>
      <w:bookmarkStart w:id="1688" w:name="Tc_EDBNYakhjkyRCZrZmwKfag_12_2"/>
      <w:bookmarkStart w:id="1689" w:name="Tc_2tnUShvnhkORQrDT0aiUlw_12_0"/>
      <w:bookmarkStart w:id="1690" w:name="Tc__VlvdaDeVEq0BU83J8OuZQ_11_0"/>
      <w:bookmarkStart w:id="1691" w:name="Tc_bfG3KTtZ7Eu5AZDqtKMCtQ_10_0"/>
      <w:bookmarkStart w:id="1692" w:name="Tc_82zUVbKfk0uoiP0VedxxTg_8_3"/>
      <w:bookmarkStart w:id="1693" w:name="Tc_HmBK9T3B30uFoU38jtX5JA_8_0"/>
      <w:bookmarkStart w:id="1694" w:name="Tc_tWbR1EaUpE2DVBFRV3BhTw_7_0"/>
      <w:bookmarkStart w:id="1695" w:name="Tc_03Ghw0FiM0CGygnstxldqg_6_0"/>
      <w:bookmarkStart w:id="1696" w:name="Tc_nHwu-RZQSE2jaB4XjcXIbQ_5_0"/>
      <w:bookmarkStart w:id="1697" w:name="Tc_DmFiB1cNBU6vsHzCYAR1Pg_4_0"/>
      <w:bookmarkStart w:id="1698" w:name="Tc_INMeIDiaY0KkV8Og9vpE6A_3_5"/>
      <w:bookmarkStart w:id="1699" w:name="Tc_uaqepkggnEWJ2mMIGy8r2Q_3_2"/>
      <w:bookmarkStart w:id="1700" w:name="Tc_TybdqIdn_E6t_W6zyxaMbw_3_0"/>
      <w:bookmarkStart w:id="1701" w:name="Tc_hk8HhBD7TUiW3gN7P31bbQ_2_5"/>
      <w:bookmarkStart w:id="1702" w:name="Tc_ubO0Hy0NWkmNAaJvKXPsow_2_2"/>
      <w:bookmarkStart w:id="1703" w:name="Tc_0ksDX7ZQqUSKobCpzI3GgQ_1_2"/>
      <w:bookmarkStart w:id="1704" w:name="_5997395d_ca53_4c6d_998f_d465e5fe294c"/>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r>
        <w:rPr>
          <w:rFonts w:ascii="Times New Roman;Times;serif" w:hAnsi="Times New Roman;Times;serif"/>
          <w:b/>
          <w:sz w:val="20"/>
        </w:rPr>
        <w:t>NOTE 16. ACCRUED AND OTHER LIABILITIES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Accrued and other liabilities consisted of the following (in thousands):</w:t>
      </w:r>
    </w:p>
    <w:p>
      <w:pPr>
        <w:pStyle w:val="TextBody"/>
        <w:bidi w:val="0"/>
        <w:spacing w:before="0" w:after="0"/>
        <w:ind w:left="0" w:right="0" w:hanging="0"/>
        <w:jc w:val="left"/>
        <w:rPr/>
      </w:pPr>
      <w:r>
        <w:rPr/>
        <w:t>​</w:t>
      </w:r>
    </w:p>
    <w:tbl>
      <w:tblPr>
        <w:tblW w:w="9036" w:type="dxa"/>
        <w:jc w:val="left"/>
        <w:tblInd w:w="0" w:type="dxa"/>
        <w:tblLayout w:type="fixed"/>
        <w:tblCellMar>
          <w:top w:w="0" w:type="dxa"/>
          <w:left w:w="0" w:type="dxa"/>
          <w:bottom w:w="0" w:type="dxa"/>
          <w:right w:w="0" w:type="dxa"/>
        </w:tblCellMar>
      </w:tblPr>
      <w:tblGrid>
        <w:gridCol w:w="6151"/>
        <w:gridCol w:w="346"/>
        <w:gridCol w:w="211"/>
        <w:gridCol w:w="676"/>
        <w:gridCol w:w="346"/>
        <w:gridCol w:w="277"/>
        <w:gridCol w:w="1029"/>
      </w:tblGrid>
      <w:tr>
        <w:trPr/>
        <w:tc>
          <w:tcPr>
            <w:tcW w:w="6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23" name="Frame3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33985" cy="175260"/>
                      <wp:effectExtent l="0" t="0" r="0" b="0"/>
                      <wp:wrapNone/>
                      <wp:docPr id="324" name="Frame3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29260" cy="175260"/>
                      <wp:effectExtent l="0" t="0" r="0" b="0"/>
                      <wp:wrapNone/>
                      <wp:docPr id="325" name="Frame32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19710" cy="175260"/>
                      <wp:effectExtent l="0" t="0" r="0" b="0"/>
                      <wp:wrapNone/>
                      <wp:docPr id="326" name="Frame3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75895" cy="175260"/>
                      <wp:effectExtent l="0" t="0" r="0" b="0"/>
                      <wp:wrapNone/>
                      <wp:docPr id="327" name="Frame327"/>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53415" cy="175260"/>
                      <wp:effectExtent l="0" t="0" r="0" b="0"/>
                      <wp:wrapNone/>
                      <wp:docPr id="328" name="Frame328"/>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5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61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w:t>
              <w:br/>
              <w:t>2026</w:t>
            </w:r>
          </w:p>
        </w:tc>
        <w:tc>
          <w:tcPr>
            <w:tcW w:w="346" w:type="dxa"/>
            <w:tcBorders/>
            <w:vAlign w:val="center"/>
          </w:tcPr>
          <w:p>
            <w:pPr>
              <w:pStyle w:val="TableContents"/>
              <w:bidi w:val="0"/>
              <w:spacing w:before="0" w:after="0"/>
              <w:ind w:left="0" w:right="0" w:hanging="0"/>
              <w:jc w:val="left"/>
              <w:rPr/>
            </w:pPr>
            <w:r>
              <w:rPr/>
              <w:t>  ​ ​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br/>
              <w:t>2025</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Property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7,523</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1,236</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Reserve for Tenant Improvements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Tenant Security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3,169</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3,233</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Construction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4,758</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6,926</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 Hedge - Interest Rate Swaps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3,404</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 -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and Other Reserves from Commercial Loans and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2,275</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3,031</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4,337</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8,342</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and Other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24,322</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28,185</w:t>
            </w:r>
          </w:p>
        </w:tc>
      </w:tr>
    </w:tbl>
    <w:p>
      <w:pPr>
        <w:pStyle w:val="TextBody"/>
        <w:bidi w:val="0"/>
        <w:spacing w:before="0" w:after="0"/>
        <w:ind w:left="0" w:right="0" w:hanging="0"/>
        <w:jc w:val="both"/>
        <w:rPr/>
      </w:pPr>
      <w:r>
        <w:rPr/>
        <w:t> </w:t>
      </w:r>
    </w:p>
    <w:p>
      <w:pPr>
        <w:pStyle w:val="TextBody"/>
        <w:bidi w:val="0"/>
        <w:spacing w:before="0" w:after="200"/>
        <w:ind w:left="0" w:right="0" w:hanging="0"/>
        <w:jc w:val="left"/>
        <w:rPr/>
      </w:pPr>
      <w:r>
        <w:rPr/>
        <w:t>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Reserve for Tenant Improvements. </w:t>
      </w:r>
      <w:r>
        <w:rPr>
          <w:rFonts w:ascii="Times New Roman;Times;serif" w:hAnsi="Times New Roman;Times;serif"/>
          <w:sz w:val="20"/>
        </w:rPr>
        <w:t>In connection with recent acquisitions, the Company received an aggregate of $1.6 million from the sellers of certain properties for tenant improvement allowances, leasing commissions and other capital improvements. These amounts are included in accrued and other liabilities on the consolidated balance sheets. Through June 30, 2026, payments totaling $0.8 million were made leaving a remaining reserve for tenant improvements of $0.8 million.</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Construction and Other Reserves from Commercial Loans and Investments</w:t>
      </w:r>
      <w:r>
        <w:rPr>
          <w:rFonts w:ascii="Times New Roman;Times;serif" w:hAnsi="Times New Roman;Times;serif"/>
          <w:sz w:val="20"/>
        </w:rPr>
        <w:t>. In connection with certain of the Company’s commercial loan investments, the borrower has deposited real estate tax and/or construction reserves in accounts held by the Company. Those accounts balances are included in restricted cash on the Company’s consolidated balance sheets with the corresponding liability recorded in accrued and other liabilities as seen above.</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705" w:name="Tc_YdIiX-dLw0uR_U_aE8j5-g_6_5"/>
      <w:bookmarkStart w:id="1706" w:name="Tc__KOQcNnbVUG4cL1nwhXJOA_6_2"/>
      <w:bookmarkStart w:id="1707" w:name="Tc_P0a7BIoMBESQUD239YGo6g_6_0"/>
      <w:bookmarkStart w:id="1708" w:name="Tc__79Vz7TNkEiYQbvbQCSbDA_5_0"/>
      <w:bookmarkStart w:id="1709" w:name="Tc_biyUdcUM8Ey6niJfZwAnug_4_0"/>
      <w:bookmarkStart w:id="1710" w:name="Tc_9Fx7zuAvz0-0runHVF0HHQ_3_5"/>
      <w:bookmarkStart w:id="1711" w:name="Tc_vBjCi17NTku-tm7KQEfCrA_3_2"/>
      <w:bookmarkStart w:id="1712" w:name="Tc_9kTz9WWasESlTtZ9E1kJEA_3_0"/>
      <w:bookmarkStart w:id="1713" w:name="Tc_HczZ-QZoY0CRoNRNeWcxFA_2_5"/>
      <w:bookmarkStart w:id="1714" w:name="Tc_NSA0KSHA9Umzvc-_L2iPdg_2_2"/>
      <w:bookmarkStart w:id="1715" w:name="Tc_0AIIhbgFAk6JWolxZh6ZZw_1_2"/>
      <w:bookmarkStart w:id="1716" w:name="_b366cf25_b44e_44e7_991f_714e2013e8dc"/>
      <w:bookmarkEnd w:id="1705"/>
      <w:bookmarkEnd w:id="1706"/>
      <w:bookmarkEnd w:id="1707"/>
      <w:bookmarkEnd w:id="1708"/>
      <w:bookmarkEnd w:id="1709"/>
      <w:bookmarkEnd w:id="1710"/>
      <w:bookmarkEnd w:id="1711"/>
      <w:bookmarkEnd w:id="1712"/>
      <w:bookmarkEnd w:id="1713"/>
      <w:bookmarkEnd w:id="1714"/>
      <w:bookmarkEnd w:id="1715"/>
      <w:bookmarkEnd w:id="1716"/>
      <w:r>
        <w:rPr>
          <w:rFonts w:ascii="Times New Roman;Times;serif" w:hAnsi="Times New Roman;Times;serif"/>
          <w:b/>
          <w:sz w:val="20"/>
        </w:rPr>
        <w:t>NOTE 17. DEFERRED REVENUE</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Deferred revenue consisted of the following (in thousands):</w:t>
      </w:r>
    </w:p>
    <w:p>
      <w:pPr>
        <w:pStyle w:val="TextBody"/>
        <w:bidi w:val="0"/>
        <w:spacing w:before="0" w:after="0"/>
        <w:ind w:left="0" w:right="0" w:hanging="0"/>
        <w:jc w:val="left"/>
        <w:rPr/>
      </w:pPr>
      <w:r>
        <w:rPr/>
        <w:t>​</w:t>
      </w:r>
    </w:p>
    <w:tbl>
      <w:tblPr>
        <w:tblW w:w="7656" w:type="dxa"/>
        <w:jc w:val="left"/>
        <w:tblInd w:w="0" w:type="dxa"/>
        <w:tblLayout w:type="fixed"/>
        <w:tblCellMar>
          <w:top w:w="0" w:type="dxa"/>
          <w:left w:w="0" w:type="dxa"/>
          <w:bottom w:w="0" w:type="dxa"/>
          <w:right w:w="0" w:type="dxa"/>
        </w:tblCellMar>
      </w:tblPr>
      <w:tblGrid>
        <w:gridCol w:w="4771"/>
        <w:gridCol w:w="346"/>
        <w:gridCol w:w="211"/>
        <w:gridCol w:w="676"/>
        <w:gridCol w:w="346"/>
        <w:gridCol w:w="277"/>
        <w:gridCol w:w="1029"/>
      </w:tblGrid>
      <w:tr>
        <w:trPr/>
        <w:tc>
          <w:tcPr>
            <w:tcW w:w="47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9710" cy="175260"/>
                      <wp:effectExtent l="0" t="0" r="0" b="0"/>
                      <wp:wrapNone/>
                      <wp:docPr id="329" name="Frame3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33985" cy="175260"/>
                      <wp:effectExtent l="0" t="0" r="0" b="0"/>
                      <wp:wrapNone/>
                      <wp:docPr id="330" name="Frame3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29260" cy="175260"/>
                      <wp:effectExtent l="0" t="0" r="0" b="0"/>
                      <wp:wrapNone/>
                      <wp:docPr id="331" name="Frame33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32" name="Frame3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75895" cy="175260"/>
                      <wp:effectExtent l="0" t="0" r="0" b="0"/>
                      <wp:wrapNone/>
                      <wp:docPr id="333" name="Frame333"/>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53415" cy="175260"/>
                      <wp:effectExtent l="0" t="0" r="0" b="0"/>
                      <wp:wrapNone/>
                      <wp:docPr id="334" name="Frame334"/>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5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47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w:t>
              <w:br/>
              <w:t>2026</w:t>
            </w:r>
          </w:p>
        </w:tc>
        <w:tc>
          <w:tcPr>
            <w:tcW w:w="346" w:type="dxa"/>
            <w:tcBorders/>
            <w:vAlign w:val="center"/>
          </w:tcPr>
          <w:p>
            <w:pPr>
              <w:pStyle w:val="TableContents"/>
              <w:bidi w:val="0"/>
              <w:spacing w:before="0" w:after="0"/>
              <w:ind w:left="0" w:right="0" w:hanging="0"/>
              <w:jc w:val="left"/>
              <w:rPr/>
            </w:pPr>
            <w:r>
              <w:rPr/>
              <w:t>  ​ ​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br/>
              <w:t>2025</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Rent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5,080</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5,055</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Reserve from Commercial Loans and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16,408</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9,559</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Tenant Contributions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4,163</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4,188</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25,651</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18,802</w:t>
            </w:r>
          </w:p>
        </w:tc>
      </w:tr>
    </w:tbl>
    <w:p>
      <w:pPr>
        <w:pStyle w:val="TextBody"/>
        <w:bidi w:val="0"/>
        <w:spacing w:before="0" w:after="0"/>
        <w:ind w:left="0" w:right="0" w:hanging="0"/>
        <w:jc w:val="both"/>
        <w:rPr/>
      </w:pPr>
      <w:r>
        <w:rPr/>
        <w:t> </w:t>
      </w:r>
    </w:p>
    <w:p>
      <w:pPr>
        <w:pStyle w:val="TextBody"/>
        <w:bidi w:val="0"/>
        <w:spacing w:before="0" w:after="20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i/>
          <w:sz w:val="20"/>
        </w:rPr>
        <w:t>Interest Reserve from</w:t>
      </w:r>
      <w:r>
        <w:rPr>
          <w:rFonts w:ascii="Times New Roman;Times;serif" w:hAnsi="Times New Roman;Times;serif"/>
          <w:sz w:val="20"/>
        </w:rPr>
        <w:t xml:space="preserve"> </w:t>
      </w:r>
      <w:r>
        <w:rPr>
          <w:rFonts w:ascii="Times New Roman;Times;serif" w:hAnsi="Times New Roman;Times;serif"/>
          <w:i/>
          <w:sz w:val="20"/>
        </w:rPr>
        <w:t>Commercial Loans and Investments</w:t>
      </w:r>
      <w:r>
        <w:rPr>
          <w:rFonts w:ascii="Times New Roman;Times;serif" w:hAnsi="Times New Roman;Times;serif"/>
          <w:sz w:val="20"/>
        </w:rPr>
        <w:t>. In connection with certain of the Company’s commercial loan investments, the borrower has deposited interest reserves in accounts held by the Company. Those account balances are included in restricted cash on the Company’s consolidated balance sheets with the corresponding liability recorded in deferred revenue as seen above. Pursuant to each respective agreement, interest reserves are either (i) utilized to fund the monthly interest due on the loan or (ii) maintained throughout the term of the loan.</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p>
    <w:p>
      <w:pPr>
        <w:pStyle w:val="TextBody"/>
        <w:bidi w:val="0"/>
        <w:spacing w:before="0" w:after="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17" w:name="Tc_bhHZJilwu0u2j96W7HfAMA_7_5"/>
      <w:bookmarkStart w:id="1718" w:name="Tc_VM0i1JYDDUiSD2G8xQ1r9A_7_0"/>
      <w:bookmarkStart w:id="1719" w:name="Tc_2BoLctPNh0Cnc8hijmE_zQ_6_6"/>
      <w:bookmarkStart w:id="1720" w:name="Tc_wI8Oz-Y_3UGkXp36t-yj7Q_6_3"/>
      <w:bookmarkStart w:id="1721" w:name="Tc_JEug_NSltUS_j6Jaw2LNXg_6_0"/>
      <w:bookmarkStart w:id="1722" w:name="Tc_-pix3jfFtUOAAPLpsdATQQ_5_6"/>
      <w:bookmarkStart w:id="1723" w:name="Tc_e-6jTJnuX0a3YqDRg4EFfw_5_3"/>
      <w:bookmarkStart w:id="1724" w:name="Tc_-OVNrDEdeUWVTmPNyXy3bw_5_0"/>
      <w:bookmarkStart w:id="1725" w:name="Tc_MaUgQ-IBiEmw-Io12krY6w_4_5"/>
      <w:bookmarkStart w:id="1726" w:name="Tc_SvuCIvysGEOpgA7f1bf3sg_4_0"/>
      <w:bookmarkStart w:id="1727" w:name="Tc_p_oUXWf2AU-oLK0j8oZdFQ_3_5"/>
      <w:bookmarkStart w:id="1728" w:name="Tc_LtRJCE4ekU6KwRommNJE3A_3_0"/>
      <w:bookmarkStart w:id="1729" w:name="Tc_qrGizJuvUE2A99F-BXHtyw_2_5"/>
      <w:bookmarkStart w:id="1730" w:name="Tc_anTsfYRrZEq9yR3cnNq39g_2_0"/>
      <w:bookmarkStart w:id="1731" w:name="Tc_CjtiDZnMVEiyhmSF6qzMLw_1_5"/>
      <w:bookmarkStart w:id="1732" w:name="Tc_NUSb0NhcFkONFmsX8Qupsw_1_2"/>
      <w:bookmarkStart w:id="1733" w:name="Tc_tTcUb_qpBkeYrLOe6SqlUg_1_0"/>
      <w:bookmarkStart w:id="1734" w:name="_8c412fab_1391_44a7_8a5b_5a93d2fcfb8a"/>
      <w:bookmarkStart w:id="1735" w:name="Tc_-X92y3DLa0K7lmJnbFxkHA_3_11"/>
      <w:bookmarkStart w:id="1736" w:name="Tc_7UXSlEBVNEi5ZE0K7uPRQQ_3_8"/>
      <w:bookmarkStart w:id="1737" w:name="Tc__li6No9peUKy0fqPh-l0Fg_3_5"/>
      <w:bookmarkStart w:id="1738" w:name="Tc_VZY-z1Nyp0mSW4PxUdYFQw_3_2"/>
      <w:bookmarkStart w:id="1739" w:name="Tc_b459-q5XfkaCidaXgRIe-A_3_0"/>
      <w:bookmarkStart w:id="1740" w:name="Tc_oQHCjVG9t0WIN6FCz4NlnA_2_12"/>
      <w:bookmarkStart w:id="1741" w:name="Tc_LcEB-OBBmkaO2_rDDPTSbg_2_9"/>
      <w:bookmarkStart w:id="1742" w:name="Tc_u4nVYxdI_0qi-mGxXadCAg_2_6"/>
      <w:bookmarkStart w:id="1743" w:name="Tc_FxKuK5zFYE6JG872icc8hA_2_3"/>
      <w:bookmarkStart w:id="1744" w:name="Tc_RjHTWKjVIUuItHrx8sf8IQ_1_9"/>
      <w:bookmarkStart w:id="1745" w:name="Tc_6g4pREU93k2TrOW_cZdEBQ_1_3"/>
      <w:bookmarkStart w:id="1746" w:name="_65e44a32_295e_45ae_88f7_8cb68539addf"/>
      <w:bookmarkStart w:id="1747" w:name="Tc_nU9b87FlIk2DBiWqer_PWQ_4_12"/>
      <w:bookmarkStart w:id="1748" w:name="Tc_ImtyOb28xUC5pDf_2mHIFg_4_0"/>
      <w:bookmarkStart w:id="1749" w:name="Tc_8npKNjFCIkuPGfH_XyMbkQ_3_12"/>
      <w:bookmarkStart w:id="1750" w:name="Tc_AmRcp9n-XUyQaCUAUjNz0w_3_0"/>
      <w:bookmarkStart w:id="1751" w:name="Tc_rFU8znXF0EC2c48O2o4Gpw_2_15"/>
      <w:bookmarkStart w:id="1752" w:name="Tc_L0caWiJ3cUq8OZ8vOMOg1w_2_12"/>
      <w:bookmarkStart w:id="1753" w:name="Tc_rFfTp-R7iEWo8hpaLukxyQ_2_0"/>
      <w:bookmarkStart w:id="1754" w:name="Tc_EOWSede4SkC1GrCHEmvF-w_1_17"/>
      <w:bookmarkStart w:id="1755" w:name="Tc_1vG1WWrjOUugMwXfYq0g5g_1_14"/>
      <w:bookmarkStart w:id="1756" w:name="Tc_XgM2UaJmNUSnAoOX2xwIYQ_1_11"/>
      <w:bookmarkStart w:id="1757" w:name="Tc_eFtJ5R5Pk0i9g8Xbh94vBw_1_8"/>
      <w:bookmarkStart w:id="1758" w:name="Tc_9UvcH5zzFkWZinhwGN9wjA_1_5"/>
      <w:bookmarkStart w:id="1759" w:name="Tc_MMrBzwlMLU-2e40uGO5Ayw_1_2"/>
      <w:bookmarkStart w:id="1760" w:name="Tc_L9NPyZQGi0WdrL2Doleidg_1_0"/>
      <w:bookmarkStart w:id="1761" w:name="_fef2356e_4866_4bcd_94d2_4b4e4a9c54db"/>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r>
        <w:rPr>
          <w:rFonts w:ascii="Times New Roman;Times;serif" w:hAnsi="Times New Roman;Times;serif"/>
          <w:b/>
          <w:sz w:val="20"/>
        </w:rPr>
        <w:t>NOTE 18. STOCK-BASED COMPENSATION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SUMMARY OF STOCK-BASED COMPENSATION</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A summary of share activity for all equity classified stock compensation during the six months ended June 30, 2026 is presented below.</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97"/>
        <w:gridCol w:w="346"/>
        <w:gridCol w:w="187"/>
        <w:gridCol w:w="1190"/>
        <w:gridCol w:w="346"/>
        <w:gridCol w:w="123"/>
        <w:gridCol w:w="783"/>
        <w:gridCol w:w="109"/>
        <w:gridCol w:w="146"/>
        <w:gridCol w:w="1019"/>
        <w:gridCol w:w="109"/>
        <w:gridCol w:w="199"/>
        <w:gridCol w:w="638"/>
        <w:gridCol w:w="109"/>
        <w:gridCol w:w="145"/>
        <w:gridCol w:w="767"/>
        <w:gridCol w:w="346"/>
        <w:gridCol w:w="172"/>
        <w:gridCol w:w="1274"/>
      </w:tblGrid>
      <w:tr>
        <w:trPr/>
        <w:tc>
          <w:tcPr>
            <w:tcW w:w="21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9710" cy="175260"/>
                      <wp:effectExtent l="0" t="0" r="0" b="0"/>
                      <wp:wrapNone/>
                      <wp:docPr id="335" name="Frame3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18745" cy="175260"/>
                      <wp:effectExtent l="0" t="0" r="0" b="0"/>
                      <wp:wrapNone/>
                      <wp:docPr id="336" name="Frame336"/>
                      <a:graphic xmlns:a="http://schemas.openxmlformats.org/drawingml/2006/main">
                        <a:graphicData uri="http://schemas.microsoft.com/office/word/2010/wordprocessingShape">
                          <wps:wsp>
                            <wps:cNvSpPr txBox="1"/>
                            <wps:spPr>
                              <a:xfrm>
                                <a:off x="0" y="0"/>
                                <a:ext cx="118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755650" cy="175260"/>
                      <wp:effectExtent l="0" t="0" r="0" b="0"/>
                      <wp:wrapNone/>
                      <wp:docPr id="337" name="Frame337"/>
                      <a:graphic xmlns:a="http://schemas.openxmlformats.org/drawingml/2006/main">
                        <a:graphicData uri="http://schemas.microsoft.com/office/word/2010/wordprocessingShape">
                          <wps:wsp>
                            <wps:cNvSpPr txBox="1"/>
                            <wps:spPr>
                              <a:xfrm>
                                <a:off x="0" y="0"/>
                                <a:ext cx="755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9710" cy="175260"/>
                      <wp:effectExtent l="0" t="0" r="0" b="0"/>
                      <wp:wrapNone/>
                      <wp:docPr id="338" name="Frame3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78105" cy="175260"/>
                      <wp:effectExtent l="0" t="0" r="0" b="0"/>
                      <wp:wrapNone/>
                      <wp:docPr id="339" name="Frame339"/>
                      <a:graphic xmlns:a="http://schemas.openxmlformats.org/drawingml/2006/main">
                        <a:graphicData uri="http://schemas.microsoft.com/office/word/2010/wordprocessingShape">
                          <wps:wsp>
                            <wps:cNvSpPr txBox="1"/>
                            <wps:spPr>
                              <a:xfrm>
                                <a:off x="0" y="0"/>
                                <a:ext cx="78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497205" cy="175260"/>
                      <wp:effectExtent l="0" t="0" r="0" b="0"/>
                      <wp:wrapNone/>
                      <wp:docPr id="340" name="Frame340"/>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9215" cy="175260"/>
                      <wp:effectExtent l="0" t="0" r="0" b="0"/>
                      <wp:wrapNone/>
                      <wp:docPr id="341" name="Frame3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92710" cy="175260"/>
                      <wp:effectExtent l="0" t="0" r="0" b="0"/>
                      <wp:wrapNone/>
                      <wp:docPr id="342" name="Frame34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7065" cy="175260"/>
                      <wp:effectExtent l="0" t="0" r="0" b="0"/>
                      <wp:wrapNone/>
                      <wp:docPr id="343" name="Frame343"/>
                      <a:graphic xmlns:a="http://schemas.openxmlformats.org/drawingml/2006/main">
                        <a:graphicData uri="http://schemas.microsoft.com/office/word/2010/wordprocessingShape">
                          <wps:wsp>
                            <wps:cNvSpPr txBox="1"/>
                            <wps:spPr>
                              <a:xfrm>
                                <a:off x="0" y="0"/>
                                <a:ext cx="647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9215" cy="175260"/>
                      <wp:effectExtent l="0" t="0" r="0" b="0"/>
                      <wp:wrapNone/>
                      <wp:docPr id="344" name="Frame3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26365" cy="175260"/>
                      <wp:effectExtent l="0" t="0" r="0" b="0"/>
                      <wp:wrapNone/>
                      <wp:docPr id="345" name="Frame345"/>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405130" cy="175260"/>
                      <wp:effectExtent l="0" t="0" r="0" b="0"/>
                      <wp:wrapNone/>
                      <wp:docPr id="346" name="Frame346"/>
                      <a:graphic xmlns:a="http://schemas.openxmlformats.org/drawingml/2006/main">
                        <a:graphicData uri="http://schemas.microsoft.com/office/word/2010/wordprocessingShape">
                          <wps:wsp>
                            <wps:cNvSpPr txBox="1"/>
                            <wps:spPr>
                              <a:xfrm>
                                <a:off x="0" y="0"/>
                                <a:ext cx="405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9215" cy="175260"/>
                      <wp:effectExtent l="0" t="0" r="0" b="0"/>
                      <wp:wrapNone/>
                      <wp:docPr id="347" name="Frame3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92075" cy="175260"/>
                      <wp:effectExtent l="0" t="0" r="0" b="0"/>
                      <wp:wrapNone/>
                      <wp:docPr id="348" name="Frame348"/>
                      <a:graphic xmlns:a="http://schemas.openxmlformats.org/drawingml/2006/main">
                        <a:graphicData uri="http://schemas.microsoft.com/office/word/2010/wordprocessingShape">
                          <wps:wsp>
                            <wps:cNvSpPr txBox="1"/>
                            <wps:spPr>
                              <a:xfrm>
                                <a:off x="0" y="0"/>
                                <a:ext cx="92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487045" cy="175260"/>
                      <wp:effectExtent l="0" t="0" r="0" b="0"/>
                      <wp:wrapNone/>
                      <wp:docPr id="349" name="Frame349"/>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9710" cy="175260"/>
                      <wp:effectExtent l="0" t="0" r="0" b="0"/>
                      <wp:wrapNone/>
                      <wp:docPr id="350" name="Frame3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09220" cy="175260"/>
                      <wp:effectExtent l="0" t="0" r="0" b="0"/>
                      <wp:wrapNone/>
                      <wp:docPr id="351" name="Frame351"/>
                      <a:graphic xmlns:a="http://schemas.openxmlformats.org/drawingml/2006/main">
                        <a:graphicData uri="http://schemas.microsoft.com/office/word/2010/wordprocessingShape">
                          <wps:wsp>
                            <wps:cNvSpPr txBox="1"/>
                            <wps:spPr>
                              <a:xfrm>
                                <a:off x="0" y="0"/>
                                <a:ext cx="109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808990" cy="175260"/>
                      <wp:effectExtent l="0" t="0" r="0" b="0"/>
                      <wp:wrapNone/>
                      <wp:docPr id="352" name="Frame352"/>
                      <a:graphic xmlns:a="http://schemas.openxmlformats.org/drawingml/2006/main">
                        <a:graphicData uri="http://schemas.microsoft.com/office/word/2010/wordprocessingShape">
                          <wps:wsp>
                            <wps:cNvSpPr txBox="1"/>
                            <wps:spPr>
                              <a:xfrm>
                                <a:off x="0" y="0"/>
                                <a:ext cx="808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9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Type of Award</w:t>
            </w:r>
          </w:p>
        </w:tc>
        <w:tc>
          <w:tcPr>
            <w:tcW w:w="346" w:type="dxa"/>
            <w:tcBorders/>
            <w:vAlign w:val="center"/>
          </w:tcPr>
          <w:p>
            <w:pPr>
              <w:pStyle w:val="TableContents"/>
              <w:bidi w:val="0"/>
              <w:spacing w:before="0" w:after="0"/>
              <w:ind w:left="0" w:right="0" w:hanging="0"/>
              <w:jc w:val="left"/>
              <w:rPr/>
            </w:pPr>
            <w:r>
              <w:rPr/>
              <w:t>  ​ ​ ​</w:t>
            </w:r>
          </w:p>
        </w:tc>
        <w:tc>
          <w:tcPr>
            <w:tcW w:w="13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Shares Outstanding at 1/1/2026</w:t>
            </w:r>
          </w:p>
        </w:tc>
        <w:tc>
          <w:tcPr>
            <w:tcW w:w="346" w:type="dxa"/>
            <w:tcBorders/>
            <w:vAlign w:val="center"/>
          </w:tcPr>
          <w:p>
            <w:pPr>
              <w:pStyle w:val="TableContents"/>
              <w:bidi w:val="0"/>
              <w:spacing w:before="0" w:after="0"/>
              <w:ind w:left="0" w:right="0" w:hanging="0"/>
              <w:jc w:val="center"/>
              <w:rPr/>
            </w:pPr>
            <w:r>
              <w:rPr/>
              <w:t>  ​ ​ ​</w:t>
            </w:r>
          </w:p>
        </w:tc>
        <w:tc>
          <w:tcPr>
            <w:tcW w:w="9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Granted Shares</w:t>
            </w:r>
          </w:p>
        </w:tc>
        <w:tc>
          <w:tcPr>
            <w:tcW w:w="109" w:type="dxa"/>
            <w:tcBorders/>
            <w:vAlign w:val="center"/>
          </w:tcPr>
          <w:p>
            <w:pPr>
              <w:pStyle w:val="TableContents"/>
              <w:bidi w:val="0"/>
              <w:spacing w:before="0" w:after="0"/>
              <w:ind w:left="0" w:right="0" w:hanging="0"/>
              <w:jc w:val="center"/>
              <w:rPr/>
            </w:pPr>
            <w:r>
              <w:rPr/>
              <w:t>​</w:t>
            </w:r>
          </w:p>
        </w:tc>
        <w:tc>
          <w:tcPr>
            <w:tcW w:w="11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Vested / Exercised Shares</w:t>
            </w:r>
          </w:p>
        </w:tc>
        <w:tc>
          <w:tcPr>
            <w:tcW w:w="109" w:type="dxa"/>
            <w:tcBorders/>
            <w:vAlign w:val="center"/>
          </w:tcPr>
          <w:p>
            <w:pPr>
              <w:pStyle w:val="TableContents"/>
              <w:bidi w:val="0"/>
              <w:spacing w:before="0" w:after="0"/>
              <w:ind w:left="0" w:right="0" w:hanging="0"/>
              <w:jc w:val="left"/>
              <w:rPr/>
            </w:pPr>
            <w:r>
              <w:rPr/>
              <w:t>​</w:t>
            </w:r>
          </w:p>
        </w:tc>
        <w:tc>
          <w:tcPr>
            <w:tcW w:w="8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Expired Shares</w:t>
            </w:r>
          </w:p>
        </w:tc>
        <w:tc>
          <w:tcPr>
            <w:tcW w:w="109" w:type="dxa"/>
            <w:tcBorders/>
            <w:vAlign w:val="center"/>
          </w:tcPr>
          <w:p>
            <w:pPr>
              <w:pStyle w:val="TableContents"/>
              <w:bidi w:val="0"/>
              <w:spacing w:before="0" w:after="0"/>
              <w:ind w:left="0" w:right="0" w:hanging="0"/>
              <w:jc w:val="center"/>
              <w:rPr/>
            </w:pPr>
            <w:r>
              <w:rPr/>
              <w:t>​</w:t>
            </w:r>
          </w:p>
        </w:tc>
        <w:tc>
          <w:tcPr>
            <w:tcW w:w="9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Forfeited Shares</w:t>
            </w:r>
          </w:p>
        </w:tc>
        <w:tc>
          <w:tcPr>
            <w:tcW w:w="346" w:type="dxa"/>
            <w:tcBorders/>
            <w:vAlign w:val="center"/>
          </w:tcPr>
          <w:p>
            <w:pPr>
              <w:pStyle w:val="TableContents"/>
              <w:bidi w:val="0"/>
              <w:spacing w:before="0" w:after="0"/>
              <w:ind w:left="0" w:right="0" w:hanging="0"/>
              <w:jc w:val="center"/>
              <w:rPr/>
            </w:pPr>
            <w:r>
              <w:rPr/>
              <w:t>  ​ ​ ​</w:t>
            </w:r>
          </w:p>
        </w:tc>
        <w:tc>
          <w:tcPr>
            <w:tcW w:w="14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Shares Outstanding at 6/30/2026</w:t>
            </w:r>
          </w:p>
        </w:tc>
      </w:tr>
      <w:tr>
        <w:trPr/>
        <w:tc>
          <w:tcPr>
            <w:tcW w:w="219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Classified - Performance Share Awards - Peer Group Market Condition Vesting</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119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262,887</w:t>
            </w:r>
          </w:p>
        </w:tc>
        <w:tc>
          <w:tcPr>
            <w:tcW w:w="346" w:type="dxa"/>
            <w:tcBorders/>
            <w:shd w:fill="CCEEFF" w:val="clear"/>
            <w:vAlign w:val="center"/>
          </w:tcPr>
          <w:p>
            <w:pPr>
              <w:pStyle w:val="TableContents"/>
              <w:bidi w:val="0"/>
              <w:spacing w:before="0" w:after="0"/>
              <w:ind w:left="0" w:right="0" w:hanging="0"/>
              <w:jc w:val="left"/>
              <w:rPr/>
            </w:pPr>
            <w:r>
              <w:rPr/>
              <w:t>​</w:t>
            </w:r>
          </w:p>
        </w:tc>
        <w:tc>
          <w:tcPr>
            <w:tcW w:w="123" w:type="dxa"/>
            <w:tcBorders/>
            <w:shd w:fill="CCEEFF" w:val="clear"/>
            <w:vAlign w:val="center"/>
          </w:tcPr>
          <w:p>
            <w:pPr>
              <w:pStyle w:val="TableContents"/>
              <w:bidi w:val="0"/>
              <w:spacing w:before="0" w:after="0"/>
              <w:ind w:left="0" w:right="0" w:hanging="0"/>
              <w:jc w:val="right"/>
              <w:rPr/>
            </w:pPr>
            <w:r>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121,053</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(69,558)</w:t>
            </w:r>
          </w:p>
        </w:tc>
        <w:tc>
          <w:tcPr>
            <w:tcW w:w="109"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3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72" w:type="dxa"/>
            <w:tcBorders/>
            <w:shd w:fill="CCEEFF" w:val="clear"/>
            <w:vAlign w:val="center"/>
          </w:tcPr>
          <w:p>
            <w:pPr>
              <w:pStyle w:val="TableContents"/>
              <w:bidi w:val="0"/>
              <w:spacing w:before="0" w:after="0"/>
              <w:ind w:left="0" w:right="0" w:hanging="0"/>
              <w:jc w:val="left"/>
              <w:rPr/>
            </w:pPr>
            <w:r>
              <w:rPr/>
              <w:t>​</w:t>
            </w:r>
          </w:p>
        </w:tc>
        <w:tc>
          <w:tcPr>
            <w:tcW w:w="12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314,382</w:t>
            </w:r>
          </w:p>
        </w:tc>
      </w:tr>
      <w:tr>
        <w:trPr/>
        <w:tc>
          <w:tcPr>
            <w:tcW w:w="219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Classified - Three Year Vest Restricted Shares</w:t>
            </w:r>
          </w:p>
        </w:tc>
        <w:tc>
          <w:tcPr>
            <w:tcW w:w="346" w:type="dxa"/>
            <w:tcBorders/>
            <w:vAlign w:val="center"/>
          </w:tcPr>
          <w:p>
            <w:pPr>
              <w:pStyle w:val="TableContents"/>
              <w:bidi w:val="0"/>
              <w:spacing w:before="0" w:after="0"/>
              <w:ind w:left="0" w:right="0" w:hanging="0"/>
              <w:jc w:val="left"/>
              <w:rPr/>
            </w:pPr>
            <w:r>
              <w:rPr/>
              <w:t>​</w:t>
            </w:r>
          </w:p>
        </w:tc>
        <w:tc>
          <w:tcPr>
            <w:tcW w:w="18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203,252</w:t>
            </w:r>
          </w:p>
        </w:tc>
        <w:tc>
          <w:tcPr>
            <w:tcW w:w="346" w:type="dxa"/>
            <w:tcBorders/>
            <w:vAlign w:val="center"/>
          </w:tcPr>
          <w:p>
            <w:pPr>
              <w:pStyle w:val="TableContents"/>
              <w:bidi w:val="0"/>
              <w:spacing w:before="0" w:after="0"/>
              <w:ind w:left="0" w:right="0" w:hanging="0"/>
              <w:jc w:val="left"/>
              <w:rPr/>
            </w:pPr>
            <w:r>
              <w:rPr/>
              <w:t>​</w:t>
            </w:r>
          </w:p>
        </w:tc>
        <w:tc>
          <w:tcPr>
            <w:tcW w:w="1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134,642</w:t>
            </w:r>
          </w:p>
        </w:tc>
        <w:tc>
          <w:tcPr>
            <w:tcW w:w="109" w:type="dxa"/>
            <w:tcBorders/>
            <w:vAlign w:val="center"/>
          </w:tcPr>
          <w:p>
            <w:pPr>
              <w:pStyle w:val="TableContents"/>
              <w:bidi w:val="0"/>
              <w:spacing w:before="0" w:after="0"/>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(94,648)</w:t>
            </w:r>
          </w:p>
        </w:tc>
        <w:tc>
          <w:tcPr>
            <w:tcW w:w="109"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(1,703)</w:t>
            </w:r>
          </w:p>
        </w:tc>
        <w:tc>
          <w:tcPr>
            <w:tcW w:w="346" w:type="dxa"/>
            <w:tcBorders/>
            <w:vAlign w:val="center"/>
          </w:tcPr>
          <w:p>
            <w:pPr>
              <w:pStyle w:val="TableContents"/>
              <w:bidi w:val="0"/>
              <w:spacing w:before="0" w:after="0"/>
              <w:ind w:left="0" w:right="0" w:hanging="0"/>
              <w:jc w:val="left"/>
              <w:rPr/>
            </w:pPr>
            <w:r>
              <w:rPr/>
              <w:t>​</w:t>
            </w:r>
          </w:p>
        </w:tc>
        <w:tc>
          <w:tcPr>
            <w:tcW w:w="17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241,543</w:t>
            </w:r>
          </w:p>
        </w:tc>
      </w:tr>
      <w:tr>
        <w:trPr/>
        <w:tc>
          <w:tcPr>
            <w:tcW w:w="219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Shares</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466,139</w:t>
            </w:r>
          </w:p>
        </w:tc>
        <w:tc>
          <w:tcPr>
            <w:tcW w:w="346" w:type="dxa"/>
            <w:tcBorders/>
            <w:shd w:fill="CCEEFF" w:val="clear"/>
            <w:vAlign w:val="center"/>
          </w:tcPr>
          <w:p>
            <w:pPr>
              <w:pStyle w:val="TableContents"/>
              <w:bidi w:val="0"/>
              <w:spacing w:before="0" w:after="0"/>
              <w:ind w:left="0" w:right="0" w:hanging="0"/>
              <w:jc w:val="left"/>
              <w:rPr/>
            </w:pPr>
            <w:r>
              <w:rPr/>
              <w:t>​</w:t>
            </w:r>
          </w:p>
        </w:tc>
        <w:tc>
          <w:tcPr>
            <w:tcW w:w="1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255,695</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(164,206)</w:t>
            </w:r>
          </w:p>
        </w:tc>
        <w:tc>
          <w:tcPr>
            <w:tcW w:w="109" w:type="dxa"/>
            <w:tcBorders/>
            <w:shd w:fill="CCEEFF" w:val="clear"/>
            <w:vAlign w:val="center"/>
          </w:tcPr>
          <w:p>
            <w:pPr>
              <w:pStyle w:val="TableContents"/>
              <w:bidi w:val="0"/>
              <w:spacing w:before="0" w:after="0"/>
              <w:ind w:left="0" w:right="0" w:hanging="0"/>
              <w:jc w:val="left"/>
              <w:rPr/>
            </w:pPr>
            <w:r>
              <w:rPr/>
              <w:t>​</w:t>
            </w:r>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(1,703)</w:t>
            </w:r>
          </w:p>
        </w:tc>
        <w:tc>
          <w:tcPr>
            <w:tcW w:w="346" w:type="dxa"/>
            <w:tcBorders/>
            <w:shd w:fill="CCEEFF" w:val="clear"/>
            <w:vAlign w:val="center"/>
          </w:tcPr>
          <w:p>
            <w:pPr>
              <w:pStyle w:val="TableContents"/>
              <w:bidi w:val="0"/>
              <w:spacing w:before="0" w:after="0"/>
              <w:ind w:left="0" w:right="0" w:hanging="0"/>
              <w:jc w:val="left"/>
              <w:rPr/>
            </w:pPr>
            <w:r>
              <w:rPr/>
              <w:t>​</w:t>
            </w:r>
          </w:p>
        </w:tc>
        <w:tc>
          <w:tcPr>
            <w:tcW w:w="1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7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555,925</w:t>
            </w:r>
          </w:p>
        </w:tc>
      </w:tr>
    </w:tbl>
    <w:p>
      <w:pPr>
        <w:pStyle w:val="TextBody"/>
        <w:bidi w:val="0"/>
        <w:spacing w:before="0" w:after="0"/>
        <w:ind w:left="0" w:right="0" w:hanging="0"/>
        <w:jc w:val="both"/>
        <w:rPr/>
      </w:pPr>
      <w:r>
        <w:rPr/>
        <w:t> </w:t>
      </w:r>
    </w:p>
    <w:p>
      <w:pPr>
        <w:pStyle w:val="TextBody"/>
        <w:bidi w:val="0"/>
        <w:spacing w:before="0" w:after="160"/>
        <w:ind w:left="0" w:right="0" w:hanging="0"/>
        <w:jc w:val="both"/>
        <w:rPr/>
      </w:pPr>
      <w:r>
        <w:rPr/>
        <w:t> </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Amounts recognized in the financial statements for stock-based compensation are as follows (in thousands):</w:t>
      </w:r>
    </w:p>
    <w:p>
      <w:pPr>
        <w:pStyle w:val="TextBody"/>
        <w:bidi w:val="0"/>
        <w:spacing w:before="0" w:after="0"/>
        <w:ind w:left="0" w:right="0" w:hanging="0"/>
        <w:jc w:val="left"/>
        <w:rPr/>
      </w:pPr>
      <w:r>
        <w:rPr/>
        <w:t>​</w:t>
      </w:r>
    </w:p>
    <w:tbl>
      <w:tblPr>
        <w:tblW w:w="10053" w:type="dxa"/>
        <w:jc w:val="left"/>
        <w:tblInd w:w="0" w:type="dxa"/>
        <w:tblLayout w:type="fixed"/>
        <w:tblCellMar>
          <w:top w:w="0" w:type="dxa"/>
          <w:left w:w="0" w:type="dxa"/>
          <w:bottom w:w="0" w:type="dxa"/>
          <w:right w:w="0" w:type="dxa"/>
        </w:tblCellMar>
      </w:tblPr>
      <w:tblGrid>
        <w:gridCol w:w="4246"/>
        <w:gridCol w:w="346"/>
        <w:gridCol w:w="196"/>
        <w:gridCol w:w="799"/>
        <w:gridCol w:w="541"/>
        <w:gridCol w:w="306"/>
        <w:gridCol w:w="799"/>
        <w:gridCol w:w="346"/>
        <w:gridCol w:w="196"/>
        <w:gridCol w:w="698"/>
        <w:gridCol w:w="472"/>
        <w:gridCol w:w="267"/>
        <w:gridCol w:w="841"/>
      </w:tblGrid>
      <w:tr>
        <w:trPr/>
        <w:tc>
          <w:tcPr>
            <w:tcW w:w="4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696210" cy="175260"/>
                      <wp:effectExtent l="0" t="0" r="0" b="0"/>
                      <wp:wrapNone/>
                      <wp:docPr id="353" name="Frame353"/>
                      <a:graphic xmlns:a="http://schemas.openxmlformats.org/drawingml/2006/main">
                        <a:graphicData uri="http://schemas.microsoft.com/office/word/2010/wordprocessingShape">
                          <wps:wsp>
                            <wps:cNvSpPr txBox="1"/>
                            <wps:spPr>
                              <a:xfrm>
                                <a:off x="0" y="0"/>
                                <a:ext cx="269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19710" cy="175260"/>
                      <wp:effectExtent l="0" t="0" r="0" b="0"/>
                      <wp:wrapNone/>
                      <wp:docPr id="354" name="Frame3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24460" cy="175260"/>
                      <wp:effectExtent l="0" t="0" r="0" b="0"/>
                      <wp:wrapNone/>
                      <wp:docPr id="355" name="Frame3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507365" cy="175260"/>
                      <wp:effectExtent l="0" t="0" r="0" b="0"/>
                      <wp:wrapNone/>
                      <wp:docPr id="356" name="Frame356"/>
                      <a:graphic xmlns:a="http://schemas.openxmlformats.org/drawingml/2006/main">
                        <a:graphicData uri="http://schemas.microsoft.com/office/word/2010/wordprocessingShape">
                          <wps:wsp>
                            <wps:cNvSpPr txBox="1"/>
                            <wps:spPr>
                              <a:xfrm>
                                <a:off x="0" y="0"/>
                                <a:ext cx="507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343535" cy="175260"/>
                      <wp:effectExtent l="0" t="0" r="0" b="0"/>
                      <wp:wrapNone/>
                      <wp:docPr id="357" name="Frame35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94310" cy="175260"/>
                      <wp:effectExtent l="0" t="0" r="0" b="0"/>
                      <wp:wrapNone/>
                      <wp:docPr id="358" name="Frame358"/>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507365" cy="175260"/>
                      <wp:effectExtent l="0" t="0" r="0" b="0"/>
                      <wp:wrapNone/>
                      <wp:docPr id="359" name="Frame359"/>
                      <a:graphic xmlns:a="http://schemas.openxmlformats.org/drawingml/2006/main">
                        <a:graphicData uri="http://schemas.microsoft.com/office/word/2010/wordprocessingShape">
                          <wps:wsp>
                            <wps:cNvSpPr txBox="1"/>
                            <wps:spPr>
                              <a:xfrm>
                                <a:off x="0" y="0"/>
                                <a:ext cx="507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19710" cy="175260"/>
                      <wp:effectExtent l="0" t="0" r="0" b="0"/>
                      <wp:wrapNone/>
                      <wp:docPr id="360"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24460" cy="175260"/>
                      <wp:effectExtent l="0" t="0" r="0" b="0"/>
                      <wp:wrapNone/>
                      <wp:docPr id="361" name="Frame3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443230" cy="175260"/>
                      <wp:effectExtent l="0" t="0" r="0" b="0"/>
                      <wp:wrapNone/>
                      <wp:docPr id="362" name="Frame362"/>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99720" cy="175260"/>
                      <wp:effectExtent l="0" t="0" r="0" b="0"/>
                      <wp:wrapNone/>
                      <wp:docPr id="363" name="Frame363"/>
                      <a:graphic xmlns:a="http://schemas.openxmlformats.org/drawingml/2006/main">
                        <a:graphicData uri="http://schemas.microsoft.com/office/word/2010/wordprocessingShape">
                          <wps:wsp>
                            <wps:cNvSpPr txBox="1"/>
                            <wps:spPr>
                              <a:xfrm>
                                <a:off x="0" y="0"/>
                                <a:ext cx="299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69545" cy="175260"/>
                      <wp:effectExtent l="0" t="0" r="0" b="0"/>
                      <wp:wrapNone/>
                      <wp:docPr id="364" name="Frame364"/>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534035" cy="175260"/>
                      <wp:effectExtent l="0" t="0" r="0" b="0"/>
                      <wp:wrapNone/>
                      <wp:docPr id="365" name="Frame36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44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June 30,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7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Six Months Ended June 30,</w:t>
            </w:r>
          </w:p>
        </w:tc>
      </w:tr>
      <w:tr>
        <w:trPr/>
        <w:tc>
          <w:tcPr>
            <w:tcW w:w="42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541" w:type="dxa"/>
            <w:tcBorders/>
            <w:vAlign w:val="center"/>
          </w:tcPr>
          <w:p>
            <w:pPr>
              <w:pStyle w:val="TableContents"/>
              <w:bidi w:val="0"/>
              <w:spacing w:before="0" w:after="0"/>
              <w:ind w:left="0" w:right="0" w:hanging="0"/>
              <w:jc w:val="center"/>
              <w:rPr/>
            </w:pPr>
            <w:r>
              <w:rPr/>
              <w:t>  ​ ​ ​</w:t>
            </w:r>
          </w:p>
        </w:tc>
        <w:tc>
          <w:tcPr>
            <w:tcW w:w="3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 ​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472" w:type="dxa"/>
            <w:tcBorders/>
            <w:vAlign w:val="center"/>
          </w:tcPr>
          <w:p>
            <w:pPr>
              <w:pStyle w:val="TableContents"/>
              <w:bidi w:val="0"/>
              <w:spacing w:before="0" w:after="0"/>
              <w:ind w:left="0" w:right="0" w:hanging="0"/>
              <w:jc w:val="center"/>
              <w:rPr/>
            </w:pPr>
            <w:r>
              <w:rPr/>
              <w:t>  ​ ​ ​</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Cost of Share-Based Plans Charged Against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1,116</w:t>
            </w:r>
          </w:p>
        </w:tc>
        <w:tc>
          <w:tcPr>
            <w:tcW w:w="541" w:type="dxa"/>
            <w:tcBorders/>
            <w:shd w:fill="CCEEFF" w:val="clear"/>
            <w:vAlign w:val="center"/>
          </w:tcPr>
          <w:p>
            <w:pPr>
              <w:pStyle w:val="TableContents"/>
              <w:bidi w:val="0"/>
              <w:spacing w:before="0" w:after="0"/>
              <w:ind w:left="0" w:right="0" w:hanging="0"/>
              <w:jc w:val="left"/>
              <w:rPr/>
            </w:pPr>
            <w:r>
              <w:rPr/>
              <w:t>​</w:t>
            </w:r>
          </w:p>
        </w:tc>
        <w:tc>
          <w:tcPr>
            <w:tcW w:w="3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2,522</w:t>
            </w:r>
          </w:p>
        </w:tc>
        <w:tc>
          <w:tcPr>
            <w:tcW w:w="472"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2,286</w:t>
            </w:r>
          </w:p>
        </w:tc>
      </w:tr>
    </w:tbl>
    <w:p>
      <w:pPr>
        <w:pStyle w:val="TextBody"/>
        <w:bidi w:val="0"/>
        <w:spacing w:before="0" w:after="0"/>
        <w:ind w:left="0" w:right="0" w:hanging="0"/>
        <w:jc w:val="both"/>
        <w:rPr/>
      </w:pPr>
      <w:r>
        <w:rPr/>
        <w:t> </w:t>
      </w:r>
    </w:p>
    <w:p>
      <w:pPr>
        <w:pStyle w:val="TextBody"/>
        <w:bidi w:val="0"/>
        <w:spacing w:before="0" w:after="160"/>
        <w:ind w:left="0" w:right="0" w:hanging="0"/>
        <w:jc w:val="both"/>
        <w:rPr/>
      </w:pPr>
      <w:r>
        <w:rPr/>
        <w:t>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EQUITY-CLASSIFIED STOCK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Performance Share Awards – Peer Group Market Condition Vesting</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Performance shares have been granted to certain employees under the Company’s 2010 Equity Incentive Plan (as amended and/or restated from time to time, the “2010 Plan”). The performance share awards entitle the recipient to receive, upon the vesting thereof, shares of common stock of the Company equal to (a) in the case of performance share awards granted in 2024 and 2025, between 0% and 150% of the number of performance shares awarded, and (b) in the case of performance share awards granted in 2026, between 0% and 200% of the number of performance shares awarded.  The number of shares of common stock ultimately received by the award recipient is determined based on the Company’s total stockholder return as compared to the total stockholder return of a certain peer group during a three-year performance period. The Company granted a total of 121,053 performance shares during the six months ended June 30, 2026.</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Company used a Monte Carlo simulation pricing model to determine the fair value of its awards that are based on market conditions. The determination of the fair value of market condition-based awards is affected by the Company’s stock price as well as assumptions regarding a number of other variables. These variables include expected stock price volatility over the requisite performance term of the awards, the relative performance of the Company’s stock price and stockholder returns to companies in its peer group, annual dividends, and a risk-free interest rate assumption. Compensation cost is recognized regardless of the achievement of the market conditions, provided the requisite service period is met.</w:t>
      </w:r>
    </w:p>
    <w:p>
      <w:pPr>
        <w:pStyle w:val="TextBody"/>
        <w:bidi w:val="0"/>
        <w:spacing w:before="0" w:after="200"/>
        <w:ind w:left="0" w:right="0" w:firstLine="490"/>
        <w:jc w:val="both"/>
        <w:rPr>
          <w:rFonts w:ascii="Times New Roman;Times;serif" w:hAnsi="Times New Roman;Times;serif"/>
          <w:sz w:val="20"/>
        </w:rPr>
      </w:pPr>
      <w:r>
        <w:rPr>
          <w:rFonts w:ascii="Times New Roman;Times;serif" w:hAnsi="Times New Roman;Times;serif"/>
          <w:sz w:val="20"/>
        </w:rPr>
        <w:t>As of June 30, 2026, there was $3.4 million of unrecognized compensation cost, adjusted for estimated forfeitures, related to the non-vested performance share awards, which will be recognized over a remaining weighted average period of 2.0 years.</w:t>
      </w:r>
    </w:p>
    <w:p>
      <w:pPr>
        <w:pStyle w:val="TextBody"/>
        <w:bidi w:val="0"/>
        <w:spacing w:before="0" w:after="200"/>
        <w:ind w:left="0" w:right="0" w:firstLine="490"/>
        <w:jc w:val="both"/>
        <w:rPr>
          <w:rFonts w:ascii="Times New Roman;Times;serif" w:hAnsi="Times New Roman;Times;serif"/>
          <w:sz w:val="20"/>
        </w:rPr>
      </w:pPr>
      <w:r>
        <w:rPr>
          <w:rFonts w:ascii="Times New Roman;Times;serif" w:hAnsi="Times New Roman;Times;serif"/>
          <w:sz w:val="20"/>
        </w:rPr>
        <w:t>A summary of the activity for these awards during the six months ended June 30, 2026 is presented below:</w:t>
      </w:r>
    </w:p>
    <w:p>
      <w:pPr>
        <w:pStyle w:val="TextBody"/>
        <w:bidi w:val="0"/>
        <w:spacing w:before="0" w:after="0"/>
        <w:ind w:left="0" w:right="0" w:hanging="0"/>
        <w:jc w:val="left"/>
        <w:rPr/>
      </w:pPr>
      <w:r>
        <w:rPr/>
        <w:t>​</w:t>
      </w:r>
    </w:p>
    <w:tbl>
      <w:tblPr>
        <w:tblW w:w="8141" w:type="dxa"/>
        <w:jc w:val="left"/>
        <w:tblInd w:w="0" w:type="dxa"/>
        <w:tblLayout w:type="fixed"/>
        <w:tblCellMar>
          <w:top w:w="0" w:type="dxa"/>
          <w:left w:w="0" w:type="dxa"/>
          <w:bottom w:w="0" w:type="dxa"/>
          <w:right w:w="0" w:type="dxa"/>
        </w:tblCellMar>
      </w:tblPr>
      <w:tblGrid>
        <w:gridCol w:w="3946"/>
        <w:gridCol w:w="346"/>
        <w:gridCol w:w="109"/>
        <w:gridCol w:w="796"/>
        <w:gridCol w:w="109"/>
        <w:gridCol w:w="674"/>
        <w:gridCol w:w="2161"/>
      </w:tblGrid>
      <w:tr>
        <w:trPr/>
        <w:tc>
          <w:tcPr>
            <w:tcW w:w="3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9710" cy="175260"/>
                      <wp:effectExtent l="0" t="0" r="0" b="0"/>
                      <wp:wrapNone/>
                      <wp:docPr id="366" name="Frame3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9215" cy="175260"/>
                      <wp:effectExtent l="0" t="0" r="0" b="0"/>
                      <wp:wrapNone/>
                      <wp:docPr id="367" name="Frame3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505460" cy="175260"/>
                      <wp:effectExtent l="0" t="0" r="0" b="0"/>
                      <wp:wrapNone/>
                      <wp:docPr id="368" name="Frame36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9215" cy="175260"/>
                      <wp:effectExtent l="0" t="0" r="0" b="0"/>
                      <wp:wrapNone/>
                      <wp:docPr id="369" name="Frame3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427990" cy="175260"/>
                      <wp:effectExtent l="0" t="0" r="0" b="0"/>
                      <wp:wrapNone/>
                      <wp:docPr id="370" name="Frame370"/>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372235" cy="175260"/>
                      <wp:effectExtent l="0" t="0" r="0" b="0"/>
                      <wp:wrapNone/>
                      <wp:docPr id="371" name="Frame371"/>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Performance Shares With Market Conditions</w:t>
            </w:r>
          </w:p>
        </w:tc>
        <w:tc>
          <w:tcPr>
            <w:tcW w:w="346" w:type="dxa"/>
            <w:tcBorders/>
            <w:vAlign w:val="center"/>
          </w:tcPr>
          <w:p>
            <w:pPr>
              <w:pStyle w:val="TableContents"/>
              <w:bidi w:val="0"/>
              <w:spacing w:before="0" w:after="0"/>
              <w:ind w:left="0" w:right="0" w:hanging="0"/>
              <w:jc w:val="left"/>
              <w:rPr/>
            </w:pPr>
            <w:r>
              <w:rPr/>
              <w:t>  ​ ​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109" w:type="dxa"/>
            <w:tcBorders/>
            <w:vAlign w:val="center"/>
          </w:tcPr>
          <w:p>
            <w:pPr>
              <w:pStyle w:val="TableContents"/>
              <w:bidi w:val="0"/>
              <w:spacing w:before="0" w:after="0"/>
              <w:ind w:left="0" w:right="0" w:hanging="0"/>
              <w:jc w:val="left"/>
              <w:rPr/>
            </w:pPr>
            <w:r>
              <w:rPr/>
              <w:t>​</w:t>
            </w:r>
          </w:p>
        </w:tc>
        <w:tc>
          <w:tcPr>
            <w:tcW w:w="28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Wtd. Avg. Fair Value Per Share</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January 1, 2026</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262,887</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18.29</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121,053</w:t>
            </w:r>
          </w:p>
        </w:tc>
        <w:tc>
          <w:tcPr>
            <w:tcW w:w="109"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20.51</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(69,558)</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18.10</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pPr>
            <w:r>
              <w:rPr/>
              <w:t>​</w:t>
            </w:r>
          </w:p>
        </w:tc>
        <w:tc>
          <w:tcPr>
            <w:tcW w:w="2161" w:type="dxa"/>
            <w:tcBorders/>
            <w:vAlign w:val="center"/>
          </w:tcPr>
          <w:p>
            <w:pPr>
              <w:pStyle w:val="TableContents"/>
              <w:bidi w:val="0"/>
              <w:spacing w:before="0" w:after="0"/>
              <w:ind w:left="0" w:right="0" w:hanging="0"/>
              <w:jc w:val="right"/>
              <w:rPr/>
            </w:pPr>
            <w:r>
              <w:rPr/>
              <w:t>—</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June 30, 2026</w:t>
            </w:r>
          </w:p>
        </w:tc>
        <w:tc>
          <w:tcPr>
            <w:tcW w:w="346" w:type="dxa"/>
            <w:tcBorders/>
            <w:vAlign w:val="center"/>
          </w:tcPr>
          <w:p>
            <w:pPr>
              <w:pStyle w:val="TableContents"/>
              <w:bidi w:val="0"/>
              <w:spacing w:before="0" w:after="0"/>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314,382</w:t>
            </w:r>
          </w:p>
        </w:tc>
        <w:tc>
          <w:tcPr>
            <w:tcW w:w="109" w:type="dxa"/>
            <w:tcBorders/>
            <w:vAlign w:val="center"/>
          </w:tcPr>
          <w:p>
            <w:pPr>
              <w:pStyle w:val="TableContents"/>
              <w:bidi w:val="0"/>
              <w:spacing w:before="0" w:after="0"/>
              <w:ind w:left="0" w:right="0" w:hanging="0"/>
              <w:jc w:val="left"/>
              <w:rPr/>
            </w:pPr>
            <w:r>
              <w:rPr/>
              <w:t>​</w:t>
            </w:r>
          </w:p>
        </w:tc>
        <w:tc>
          <w:tcPr>
            <w:tcW w:w="6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19.19</w:t>
            </w:r>
          </w:p>
        </w:tc>
      </w:tr>
    </w:tbl>
    <w:p>
      <w:pPr>
        <w:pStyle w:val="TextBody"/>
        <w:bidi w:val="0"/>
        <w:spacing w:before="0" w:after="0"/>
        <w:ind w:left="0" w:right="0" w:hanging="0"/>
        <w:jc w:val="both"/>
        <w:rPr/>
      </w:pPr>
      <w:r>
        <w:rPr/>
        <w:t> </w:t>
      </w:r>
    </w:p>
    <w:p>
      <w:pPr>
        <w:pStyle w:val="TextBody"/>
        <w:bidi w:val="0"/>
        <w:spacing w:before="0" w:after="200"/>
        <w:ind w:left="0" w:right="0" w:hanging="0"/>
        <w:jc w:val="both"/>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56" w:before="0" w:after="240"/>
        <w:ind w:left="0" w:right="0" w:hanging="0"/>
        <w:jc w:val="both"/>
        <w:rPr>
          <w:rFonts w:ascii="Times New Roman;Times;serif" w:hAnsi="Times New Roman;Times;serif"/>
          <w:b/>
          <w:i/>
          <w:sz w:val="20"/>
        </w:rPr>
      </w:pPr>
      <w:bookmarkStart w:id="1762" w:name="Tc_zguxx_zDM0iZY4lQIx1Wjg_7_5"/>
      <w:bookmarkStart w:id="1763" w:name="Tc_5uay9mgKNk-MrgLjUKTC8g_7_0"/>
      <w:bookmarkStart w:id="1764" w:name="Tc_upar0j5VJUiSFqr3N4rbQA_6_5"/>
      <w:bookmarkStart w:id="1765" w:name="Tc_qySzVnyIEEmibit0IutEkw_6_0"/>
      <w:bookmarkStart w:id="1766" w:name="Tc_nSZGSum9qk6YWC_b7BXwmQ_5_6"/>
      <w:bookmarkStart w:id="1767" w:name="Tc_-b74Zoh1DEGBFWpjWZTbNA_5_3"/>
      <w:bookmarkStart w:id="1768" w:name="Tc_XHNafWXUj0eE49wQBdsjLA_5_0"/>
      <w:bookmarkStart w:id="1769" w:name="Tc_oPl98Em5jUOwOwVIZQkAQA_4_5"/>
      <w:bookmarkStart w:id="1770" w:name="Tc_c2b5k07iyU-v0nGz7C81OQ_4_0"/>
      <w:bookmarkStart w:id="1771" w:name="Tc_aiiRBk_qxEClNCzsSQApEA_3_5"/>
      <w:bookmarkStart w:id="1772" w:name="Tc_MjcOsxOD6Eq-g_iicJpMzw_3_0"/>
      <w:bookmarkStart w:id="1773" w:name="Tc_jTxH6J-4hECLvxXf-kvDPQ_2_5"/>
      <w:bookmarkStart w:id="1774" w:name="Tc_9lFhYM1yEEG6kN3FxBQbQQ_2_0"/>
      <w:bookmarkStart w:id="1775" w:name="Tc_G34ladNsZUaYdiZjP3lDYQ_1_5"/>
      <w:bookmarkStart w:id="1776" w:name="Tc__CYcWz8wUUOTehgbymPv9Q_1_2"/>
      <w:bookmarkStart w:id="1777" w:name="Tc_dQxNBTWSt0mj8H1QXF1zYA_1_0"/>
      <w:bookmarkStart w:id="1778" w:name="_a40a95b1_0307_4cbb_9b7a_0f53387de2f2"/>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r>
        <w:rPr>
          <w:rFonts w:ascii="Times New Roman;Times;serif" w:hAnsi="Times New Roman;Times;serif"/>
          <w:b/>
          <w:i/>
          <w:sz w:val="20"/>
        </w:rPr>
        <w:t>Restricted Shares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Restricted shares have been granted to certain employees under the 2010 Plan. Certain of the restricted shares vest on each of the first, second, and third anniversaries of January 28 of the applicable year provided the grantee is an employee of the Company on those dates. In addition, any unvested portion of the restricted shares will vest upon a change in control. The Company granted a total of 134,642 shares of restricted Company common stock during the three months ended June 30, 2026.</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Company’s determination of the fair value of the restricted stock awards was calculated by multiplying the number of shares issued by the Company’s stock price at the grant date. Compensation cost is recognized on a straight-line basis over the applicable vesting period.</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As of June 30, 2026, there was $3.7 million of unrecognized compensation cost, adjusted for estimated forfeitures, related to the non-vested restricted share awards, which will be recognized over a remaining weighted average period of 2.1 years.</w:t>
      </w:r>
    </w:p>
    <w:p>
      <w:pPr>
        <w:pStyle w:val="TextBody"/>
        <w:bidi w:val="0"/>
        <w:spacing w:lineRule="auto" w:line="256" w:before="0" w:after="240"/>
        <w:ind w:left="0" w:right="0" w:firstLine="490"/>
        <w:jc w:val="both"/>
        <w:rPr>
          <w:rFonts w:ascii="Times New Roman;Times;serif" w:hAnsi="Times New Roman;Times;serif"/>
          <w:sz w:val="20"/>
        </w:rPr>
      </w:pPr>
      <w:r>
        <w:rPr>
          <w:rFonts w:ascii="Times New Roman;Times;serif" w:hAnsi="Times New Roman;Times;serif"/>
          <w:sz w:val="20"/>
        </w:rPr>
        <w:t>A summary of the activity for these awards during the six months ended June 30, 2026 is presented below:</w:t>
      </w:r>
    </w:p>
    <w:tbl>
      <w:tblPr>
        <w:tblW w:w="7043" w:type="dxa"/>
        <w:jc w:val="left"/>
        <w:tblInd w:w="0" w:type="dxa"/>
        <w:tblLayout w:type="fixed"/>
        <w:tblCellMar>
          <w:top w:w="0" w:type="dxa"/>
          <w:left w:w="0" w:type="dxa"/>
          <w:bottom w:w="0" w:type="dxa"/>
          <w:right w:w="0" w:type="dxa"/>
        </w:tblCellMar>
      </w:tblPr>
      <w:tblGrid>
        <w:gridCol w:w="2611"/>
        <w:gridCol w:w="346"/>
        <w:gridCol w:w="109"/>
        <w:gridCol w:w="796"/>
        <w:gridCol w:w="346"/>
        <w:gridCol w:w="674"/>
        <w:gridCol w:w="2161"/>
      </w:tblGrid>
      <w:tr>
        <w:trPr/>
        <w:tc>
          <w:tcPr>
            <w:tcW w:w="26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19710" cy="175260"/>
                      <wp:effectExtent l="0" t="0" r="0" b="0"/>
                      <wp:wrapNone/>
                      <wp:docPr id="372" name="Frame3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9215" cy="175260"/>
                      <wp:effectExtent l="0" t="0" r="0" b="0"/>
                      <wp:wrapNone/>
                      <wp:docPr id="373" name="Frame3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505460" cy="175260"/>
                      <wp:effectExtent l="0" t="0" r="0" b="0"/>
                      <wp:wrapNone/>
                      <wp:docPr id="374" name="Frame37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19710" cy="175260"/>
                      <wp:effectExtent l="0" t="0" r="0" b="0"/>
                      <wp:wrapNone/>
                      <wp:docPr id="375" name="Frame3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427990" cy="175260"/>
                      <wp:effectExtent l="0" t="0" r="0" b="0"/>
                      <wp:wrapNone/>
                      <wp:docPr id="376" name="Frame376"/>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372235" cy="175260"/>
                      <wp:effectExtent l="0" t="0" r="0" b="0"/>
                      <wp:wrapNone/>
                      <wp:docPr id="377" name="Frame377"/>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Non-Vested Restricted Shares</w:t>
            </w:r>
          </w:p>
        </w:tc>
        <w:tc>
          <w:tcPr>
            <w:tcW w:w="346" w:type="dxa"/>
            <w:tcBorders/>
            <w:vAlign w:val="center"/>
          </w:tcPr>
          <w:p>
            <w:pPr>
              <w:pStyle w:val="TableContents"/>
              <w:bidi w:val="0"/>
              <w:spacing w:before="0" w:after="0"/>
              <w:ind w:left="0" w:right="0" w:hanging="0"/>
              <w:jc w:val="left"/>
              <w:rPr/>
            </w:pPr>
            <w:r>
              <w:rPr/>
              <w:t>  ​ ​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346" w:type="dxa"/>
            <w:tcBorders/>
            <w:vAlign w:val="center"/>
          </w:tcPr>
          <w:p>
            <w:pPr>
              <w:pStyle w:val="TableContents"/>
              <w:bidi w:val="0"/>
              <w:spacing w:before="0" w:after="0"/>
              <w:ind w:left="0" w:right="0" w:hanging="0"/>
              <w:jc w:val="left"/>
              <w:rPr/>
            </w:pPr>
            <w:r>
              <w:rPr/>
              <w:t>  ​ ​ ​</w:t>
            </w:r>
          </w:p>
        </w:tc>
        <w:tc>
          <w:tcPr>
            <w:tcW w:w="28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Wtd. Avg. Fair Value Per Share</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January 1, 2026</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203,252</w:t>
            </w:r>
          </w:p>
        </w:tc>
        <w:tc>
          <w:tcPr>
            <w:tcW w:w="346"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19.02</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134,642</w:t>
            </w:r>
          </w:p>
        </w:tc>
        <w:tc>
          <w:tcPr>
            <w:tcW w:w="346"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18.53</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(94,648)</w:t>
            </w:r>
          </w:p>
        </w:tc>
        <w:tc>
          <w:tcPr>
            <w:tcW w:w="346"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18.75</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pPr>
            <w:r>
              <w:rPr/>
              <w:t>​</w:t>
            </w:r>
          </w:p>
        </w:tc>
        <w:tc>
          <w:tcPr>
            <w:tcW w:w="2161" w:type="dxa"/>
            <w:tcBorders/>
            <w:vAlign w:val="center"/>
          </w:tcPr>
          <w:p>
            <w:pPr>
              <w:pStyle w:val="TableContents"/>
              <w:bidi w:val="0"/>
              <w:spacing w:before="0" w:after="0"/>
              <w:ind w:left="0" w:right="0" w:hanging="0"/>
              <w:jc w:val="right"/>
              <w:rPr/>
            </w:pPr>
            <w:r>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(1,703)</w:t>
            </w:r>
          </w:p>
        </w:tc>
        <w:tc>
          <w:tcPr>
            <w:tcW w:w="346" w:type="dxa"/>
            <w:tcBorders/>
            <w:shd w:fill="CCEEFF" w:val="clear"/>
            <w:vAlign w:val="center"/>
          </w:tcPr>
          <w:p>
            <w:pPr>
              <w:pStyle w:val="TableContents"/>
              <w:bidi w:val="0"/>
              <w:spacing w:before="0" w:after="0"/>
              <w:ind w:left="0" w:right="0" w:hanging="0"/>
              <w:jc w:val="left"/>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19.15</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June 30, 2026</w:t>
            </w:r>
          </w:p>
        </w:tc>
        <w:tc>
          <w:tcPr>
            <w:tcW w:w="346" w:type="dxa"/>
            <w:tcBorders/>
            <w:vAlign w:val="center"/>
          </w:tcPr>
          <w:p>
            <w:pPr>
              <w:pStyle w:val="TableContents"/>
              <w:bidi w:val="0"/>
              <w:spacing w:before="0" w:after="0"/>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241,543</w:t>
            </w:r>
          </w:p>
        </w:tc>
        <w:tc>
          <w:tcPr>
            <w:tcW w:w="346" w:type="dxa"/>
            <w:tcBorders/>
            <w:vAlign w:val="center"/>
          </w:tcPr>
          <w:p>
            <w:pPr>
              <w:pStyle w:val="TableContents"/>
              <w:bidi w:val="0"/>
              <w:spacing w:before="0" w:after="0"/>
              <w:ind w:left="0" w:right="0" w:hanging="0"/>
              <w:jc w:val="left"/>
              <w:rPr/>
            </w:pPr>
            <w:r>
              <w:rPr/>
              <w:t>​</w:t>
            </w:r>
          </w:p>
        </w:tc>
        <w:tc>
          <w:tcPr>
            <w:tcW w:w="6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18.85</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NON-EMPLOYEE DIRECTOR STOCK COMPENSATION</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Each member of the Company’s Board of Directors has the option to receive his or her annual cash retainer and applicable committee retainers in shares of Company common stock rather than cash. The number of shares awarded to the directors making such election is calculated quarterly by dividing (i) the sum of (A) the amount of the quarterly retainer payment due to such director, by (ii) the trailing 20-day average price of the Company’s common stock as of the last day of the quarter, rounded down to the nearest whole number of shares.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Each non-employee director serving as of the beginning of each calendar year shall receive an annual award of the Company’s common stock. The value of such award totaled $62,500 for each of the six month periods ended June 30, 2026 and 2025 (the “Annual Award”). The number of shares awarded is calculated based on the trailing 20-day average price of the Company’s common stock as of the date two business days prior to the date of the award, rounded down to the nearest whole number of shares.</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During the six months ended June 30, 2026 and 2025, the expense recognized for the value of the Company’s common stock received by non-employee directors totaled $0.5 million, or 24,244 shares, and $0.5 million, or 25,499 shares, respectively. The expense recognized includes the Annual Award received during the first quarter of each respective year, which totaled $0.3 million during each of the six month periods ended June 30, 2026 and 2025, respectively.</w:t>
      </w:r>
    </w:p>
    <w:p>
      <w:pPr>
        <w:pStyle w:val="TextBody"/>
        <w:bidi w:val="0"/>
        <w:spacing w:before="280" w:after="0"/>
        <w:ind w:left="0" w:right="0" w:hanging="0"/>
        <w:jc w:val="both"/>
        <w:rPr/>
      </w:pPr>
      <w:r>
        <w:rPr/>
        <w:t> </w:t>
      </w:r>
    </w:p>
    <w:p>
      <w:pPr>
        <w:pStyle w:val="TextBody"/>
        <w:bidi w:val="0"/>
        <w:spacing w:before="280" w:after="0"/>
        <w:ind w:left="0" w:right="0" w:hanging="0"/>
        <w:jc w:val="left"/>
        <w:rPr>
          <w:spacing w:val="1"/>
        </w:rPr>
      </w:pPr>
      <w:r>
        <w:rPr>
          <w:spacing w:val="1"/>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19. INCOME TAXES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Company elected to be taxed as a REIT for U.S. federal income tax purposes,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TRSs and subsidiaries of TRSs, which are subject to applicable U.S. federal, state and local corporate income tax on their taxable income. For the taxable years ending December 31, 2026 and 2025, the Company owns one TRS, which is subject to federal and applicable state income taxation. The TRS is required to file a separate corporate income tax return.</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As a result of the Company’s election to be taxed as a REIT, during the year ended December 31, 2020, an $82.5 million deferred tax benefit was recorded to de-recognize the deferred tax assets and liabilities associated with the entities included in the REIT. A significant portion of the deferred tax benefit recognized related to the de-recognition of deferred tax liabilities resulting from Internal Revenue Code Section 1031 like-kind exchanges (“1031 Exchanges”). The Company will be subject to corporate income taxes related to assets held by it that are sold during the 5-year period following the date of conversion to the extent such sold assets had a built-in gain as of January 1, 2020. The Company has disposed of certain, primarily single-tenant REIT assets after the REIT conversion within the 5-year period. All such sales were completed using 1031 Exchanges or other deferred tax structures to mitigate the built-in gain tax liability of conversion.</w:t>
      </w:r>
    </w:p>
    <w:p>
      <w:pPr>
        <w:pStyle w:val="TextBody"/>
        <w:bidi w:val="0"/>
        <w:spacing w:before="0" w:after="0"/>
        <w:ind w:left="0" w:right="0" w:hanging="0"/>
        <w:jc w:val="both"/>
        <w:rPr/>
      </w:pPr>
      <w:r>
        <w:rPr/>
        <w:t> </w:t>
      </w:r>
    </w:p>
    <w:p>
      <w:pPr>
        <w:pStyle w:val="TextBody"/>
        <w:bidi w:val="0"/>
        <w:spacing w:before="100" w:after="10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1779" w:name="Tc_UJOKrMxWIkOIw3JlfiSK4w_4_2"/>
      <w:bookmarkStart w:id="1780" w:name="Tc_KCrh9M6zv0OHesTZE-B2YA_4_0"/>
      <w:bookmarkStart w:id="1781" w:name="Tc_nx8a7VnhnUCsmrVsqZeFeg_3_0"/>
      <w:bookmarkStart w:id="1782" w:name="Tc_3YSSdC95CUu-S6_3VhYy9Q_2_2"/>
      <w:bookmarkStart w:id="1783" w:name="Tc_OxR3sH2UpEObdx3ZB56Ktw_2_0"/>
      <w:bookmarkStart w:id="1784" w:name="Tc_v_4oJX_SxUiWgNDff1c8Rg_1_2"/>
      <w:bookmarkStart w:id="1785" w:name="_b8bd35ba_7484_4167_970c_fe69309f0060"/>
      <w:bookmarkEnd w:id="1779"/>
      <w:bookmarkEnd w:id="1780"/>
      <w:bookmarkEnd w:id="1781"/>
      <w:bookmarkEnd w:id="1782"/>
      <w:bookmarkEnd w:id="1783"/>
      <w:bookmarkEnd w:id="1784"/>
      <w:bookmarkEnd w:id="1785"/>
      <w:r>
        <w:rPr>
          <w:rFonts w:ascii="Times New Roman;Times;serif" w:hAnsi="Times New Roman;Times;serif"/>
          <w:b/>
          <w:sz w:val="20"/>
        </w:rPr>
        <w:t>NOTE 20. COMMITMENTS AND CONTINGENCIES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From time to time, the Company may be a party to certain legal proceedings, incidental to the normal course of its business. While the outcome of legal proceedings cannot be predicted with certainty, the Company is not currently a party to any pending or threatened legal proceedings that we believe could have a material adverse effect on the Company’s business or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Contractual Commitments – Expenditures</w:t>
      </w:r>
    </w:p>
    <w:p>
      <w:pPr>
        <w:pStyle w:val="TextBody"/>
        <w:bidi w:val="0"/>
        <w:spacing w:lineRule="auto" w:line="268"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The Company has committed to fund the following capital improvements. The improvements, which are related to several properties, are estimated to be generally completed within twelve months. These commitments, as of June 30, 2026, are as follows (in thousands): </w:t>
      </w:r>
    </w:p>
    <w:p>
      <w:pPr>
        <w:pStyle w:val="TextBody"/>
        <w:bidi w:val="0"/>
        <w:spacing w:before="0" w:after="0"/>
        <w:ind w:left="0" w:right="0" w:hanging="0"/>
        <w:jc w:val="left"/>
        <w:rPr/>
      </w:pPr>
      <w:r>
        <w:rPr/>
        <w:t>​</w:t>
      </w:r>
    </w:p>
    <w:tbl>
      <w:tblPr>
        <w:tblW w:w="4025" w:type="dxa"/>
        <w:jc w:val="left"/>
        <w:tblInd w:w="0" w:type="dxa"/>
        <w:tblLayout w:type="fixed"/>
        <w:tblCellMar>
          <w:top w:w="0" w:type="dxa"/>
          <w:left w:w="0" w:type="dxa"/>
          <w:bottom w:w="0" w:type="dxa"/>
          <w:right w:w="0" w:type="dxa"/>
        </w:tblCellMar>
      </w:tblPr>
      <w:tblGrid>
        <w:gridCol w:w="2131"/>
        <w:gridCol w:w="109"/>
        <w:gridCol w:w="379"/>
        <w:gridCol w:w="140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353185" cy="175260"/>
                      <wp:effectExtent l="0" t="0" r="0" b="0"/>
                      <wp:wrapNone/>
                      <wp:docPr id="378" name="Frame378"/>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9215" cy="175260"/>
                      <wp:effectExtent l="0" t="0" r="0" b="0"/>
                      <wp:wrapNone/>
                      <wp:docPr id="379" name="Frame3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40665" cy="175260"/>
                      <wp:effectExtent l="0" t="0" r="0" b="0"/>
                      <wp:wrapNone/>
                      <wp:docPr id="380" name="Frame380"/>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892810" cy="175260"/>
                      <wp:effectExtent l="0" t="0" r="0" b="0"/>
                      <wp:wrapNone/>
                      <wp:docPr id="381" name="Frame381"/>
                      <a:graphic xmlns:a="http://schemas.openxmlformats.org/drawingml/2006/main">
                        <a:graphicData uri="http://schemas.microsoft.com/office/word/2010/wordprocessingShape">
                          <wps:wsp>
                            <wps:cNvSpPr txBox="1"/>
                            <wps:spPr>
                              <a:xfrm>
                                <a:off x="0" y="0"/>
                                <a:ext cx="89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 June 30, 2026</w:t>
            </w:r>
          </w:p>
        </w:tc>
      </w:tr>
      <w:tr>
        <w:trPr/>
        <w:tc>
          <w:tcPr>
            <w:tcW w:w="21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Commitment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37,555</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Amount Funded</w:t>
            </w:r>
          </w:p>
        </w:tc>
        <w:tc>
          <w:tcPr>
            <w:tcW w:w="109" w:type="dxa"/>
            <w:tcBorders/>
            <w:vAlign w:val="center"/>
          </w:tcPr>
          <w:p>
            <w:pPr>
              <w:pStyle w:val="TableContents"/>
              <w:bidi w:val="0"/>
              <w:spacing w:before="0" w:after="0"/>
              <w:ind w:left="0" w:right="0" w:hanging="0"/>
              <w:jc w:val="left"/>
              <w:rPr/>
            </w:pPr>
            <w:r>
              <w:rPr/>
              <w:t>​</w:t>
            </w:r>
          </w:p>
        </w:tc>
        <w:tc>
          <w:tcPr>
            <w:tcW w:w="3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(9,301)</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Commitment</w:t>
            </w:r>
          </w:p>
        </w:tc>
        <w:tc>
          <w:tcPr>
            <w:tcW w:w="109" w:type="dxa"/>
            <w:tcBorders/>
            <w:shd w:fill="CCEEFF" w:val="clear"/>
            <w:vAlign w:val="center"/>
          </w:tcPr>
          <w:p>
            <w:pPr>
              <w:pStyle w:val="TableContents"/>
              <w:bidi w:val="0"/>
              <w:spacing w:before="0" w:after="0"/>
              <w:ind w:left="0" w:right="0" w:hanging="0"/>
              <w:jc w:val="left"/>
              <w:rPr/>
            </w:pPr>
            <w:r>
              <w:rPr/>
              <w:t>​</w:t>
            </w:r>
          </w:p>
        </w:tc>
        <w:tc>
          <w:tcPr>
            <w:tcW w:w="3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28,254</w:t>
            </w:r>
          </w:p>
        </w:tc>
      </w:tr>
    </w:tbl>
    <w:tbl>
      <w:tblPr>
        <w:tblW w:w="9516" w:type="dxa"/>
        <w:jc w:val="left"/>
        <w:tblInd w:w="0" w:type="dxa"/>
        <w:tblLayout w:type="fixed"/>
        <w:tblCellMar>
          <w:top w:w="28" w:type="dxa"/>
          <w:left w:w="28" w:type="dxa"/>
          <w:bottom w:w="28" w:type="dxa"/>
          <w:right w:w="28" w:type="dxa"/>
        </w:tblCellMar>
      </w:tblPr>
      <w:tblGrid>
        <w:gridCol w:w="124"/>
        <w:gridCol w:w="271"/>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Commitment includes tenant improvements, leasing commissions, rebranding, facility expansion and other capital improvements.</w:t>
            </w:r>
          </w:p>
        </w:tc>
      </w:tr>
    </w:tbl>
    <w:p>
      <w:pPr>
        <w:pStyle w:val="TextBody"/>
        <w:bidi w:val="0"/>
        <w:spacing w:before="0" w:after="0"/>
        <w:ind w:left="0" w:right="0" w:hanging="0"/>
        <w:jc w:val="both"/>
        <w:rPr/>
      </w:pPr>
      <w:r>
        <w:rPr/>
        <w:t> </w:t>
      </w:r>
    </w:p>
    <w:p>
      <w:pPr>
        <w:pStyle w:val="TextBody"/>
        <w:bidi w:val="0"/>
        <w:spacing w:before="0" w:after="20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unfunded loan commitments under two construction loans as described in Note 4, “Commercial Loans and Investments.” The unfunded portion of these construction loans totaled $33.5 million as of June 30, 2026.</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both"/>
        <w:rPr>
          <w:rFonts w:ascii="Times New Roman;Times;serif" w:hAnsi="Times New Roman;Times;serif"/>
          <w:b/>
          <w:sz w:val="20"/>
        </w:rPr>
      </w:pPr>
      <w:bookmarkStart w:id="1786" w:name="Tc_UbC7_MnVDEWgtrsEt53bgg_25_11"/>
      <w:bookmarkStart w:id="1787" w:name="Tc_bVMEGRZRjEy_dmWri9Lf3g_25_0"/>
      <w:bookmarkStart w:id="1788" w:name="Tc_Srtd0GggKUKO2bAxY4Zh9w_24_0"/>
      <w:bookmarkStart w:id="1789" w:name="Tc_p952qjiRjEi_wfemuMV4pg_23_11"/>
      <w:bookmarkStart w:id="1790" w:name="Tc_6LQ6NEDY30KMynDaIm8P-Q_23_0"/>
      <w:bookmarkStart w:id="1791" w:name="Tc_CMFlL9ADGUWr-CZ6Ls8rkQ_22_0"/>
      <w:bookmarkStart w:id="1792" w:name="Tc_GXIMT4msD0S_2tbJV9D41A_21_0"/>
      <w:bookmarkStart w:id="1793" w:name="Tc_2WvE92okTUWEVKttoc-YYQ_20_0"/>
      <w:bookmarkStart w:id="1794" w:name="Tc_HmEC2HkYB0CbQmMt2WxSzg_19_0"/>
      <w:bookmarkStart w:id="1795" w:name="Tc_tC_gcJogy0GVuWvUeY4hDA_18_0"/>
      <w:bookmarkStart w:id="1796" w:name="Tc_3JTvpweMOkeY2pfiFWaCYQ_16_11"/>
      <w:bookmarkStart w:id="1797" w:name="Tc_R8E71XDupU6TExsyP9OZ4Q_16_8"/>
      <w:bookmarkStart w:id="1798" w:name="Tc_ob6reAoN20SuPd0gjjWttg_16_5"/>
      <w:bookmarkStart w:id="1799" w:name="Tc_2G1iA9h2i0aMUl1v2AOCUw_16_2"/>
      <w:bookmarkStart w:id="1800" w:name="Tc_qMOBSnXnFEestXnTFpDTDA_16_0"/>
      <w:bookmarkStart w:id="1801" w:name="Tc_6usYaffxfUiSbq4wTV3Yqw_15_9"/>
      <w:bookmarkStart w:id="1802" w:name="Tc_ViOq2eVMuEek01_DTqF2CQ_15_6"/>
      <w:bookmarkStart w:id="1803" w:name="Tc_NagDCQ-oRU67W77WijGAQQ_15_0"/>
      <w:bookmarkStart w:id="1804" w:name="Tc_j_Fa2cecd0iOBaf3x8Sxsg_14_11"/>
      <w:bookmarkStart w:id="1805" w:name="Tc_bHJi6mmW0U6HWDlSPNgPUw_14_8"/>
      <w:bookmarkStart w:id="1806" w:name="Tc_rZ4lBOhANkaAYvj3k8zYjQ_14_5"/>
      <w:bookmarkStart w:id="1807" w:name="Tc_kWdyJ0U340O0klXY8bre3A_14_2"/>
      <w:bookmarkStart w:id="1808" w:name="Tc_4K-g1Gpe2U-H-MRuu0otvQ_14_0"/>
      <w:bookmarkStart w:id="1809" w:name="Tc_unOT6LAXSEq8ynp7sraoyw_13_9"/>
      <w:bookmarkStart w:id="1810" w:name="Tc_i4Q5-Jo5P0ybLXDjtnfQkw_13_6"/>
      <w:bookmarkStart w:id="1811" w:name="Tc_CssbJ07cb0GEeBXWR5sIhA_13_0"/>
      <w:bookmarkStart w:id="1812" w:name="Tc_zfPMB2sHfE2iOF4Wkr3vog_12_6"/>
      <w:bookmarkStart w:id="1813" w:name="Tc_3mVs_vYtVES6aBN1cWiKKw_12_3"/>
      <w:bookmarkStart w:id="1814" w:name="Tc_3vpt7yDAqEmryTCvXF0Gxg_12_0"/>
      <w:bookmarkStart w:id="1815" w:name="Tc_ihlgZs-GhkWEYbPKirAftw_11_11"/>
      <w:bookmarkStart w:id="1816" w:name="Tc_OYy_to-K7EGxgjcDLZwVYA_11_8"/>
      <w:bookmarkStart w:id="1817" w:name="Tc_AyeQqpopCEG1pV-DH_XFwQ_11_5"/>
      <w:bookmarkStart w:id="1818" w:name="Tc_qqPqk69Lh0W1ZUNE8RcifQ_11_2"/>
      <w:bookmarkStart w:id="1819" w:name="Tc_ZeAta7wC8kqNbqYz64Sw1g_11_0"/>
      <w:bookmarkStart w:id="1820" w:name="Tc_b5_4zOelGkiNDWo3AxCkSA_10_11"/>
      <w:bookmarkStart w:id="1821" w:name="Tc_7MNnAcO-DUaFUas8rACxVw_10_9"/>
      <w:bookmarkStart w:id="1822" w:name="Tc_1Y3pFPoRw0maxwpBlRL03A_10_8"/>
      <w:bookmarkStart w:id="1823" w:name="Tc_55EMtygOxkSQ-CFLwlsWcg_10_6"/>
      <w:bookmarkStart w:id="1824" w:name="Tc_lqv7kK7I0keCwq-FbInJIg_10_5"/>
      <w:bookmarkStart w:id="1825" w:name="Tc_MZTMhkpvokem3My8QTEJ5Q_10_2"/>
      <w:bookmarkStart w:id="1826" w:name="Tc__c185sFS8UGOiWzTyDIT3A_10_0"/>
      <w:bookmarkStart w:id="1827" w:name="Tc_gv55kjWzFUKkcyyOtB5Xsw_9_0"/>
      <w:bookmarkStart w:id="1828" w:name="Tc_fmYpOfKiH0SxD01uz69SIg_7_11"/>
      <w:bookmarkStart w:id="1829" w:name="Tc_K3qm-HS9GE2GOgzcyco4XA_7_8"/>
      <w:bookmarkStart w:id="1830" w:name="Tc_hm1UiTgugUSQh2yJgay2Kw_7_5"/>
      <w:bookmarkStart w:id="1831" w:name="Tc_l4otIlwsLES_b2MepF61lw_7_2"/>
      <w:bookmarkStart w:id="1832" w:name="Tc_NUqjvefrLk-kyAkDEVdbMA_7_0"/>
      <w:bookmarkStart w:id="1833" w:name="Tc_ZGrdIopkrEStUsvfyxJNTQ_6_6"/>
      <w:bookmarkStart w:id="1834" w:name="Tc_Q2U2xGTnREyFhsS3rHvDrQ_6_3"/>
      <w:bookmarkStart w:id="1835" w:name="Tc_oYIWTnASMUWGv5pD6RUADA_6_0"/>
      <w:bookmarkStart w:id="1836" w:name="Tc_0xLFkboCyESRXGyyLdbZJg_5_9"/>
      <w:bookmarkStart w:id="1837" w:name="Tc_BCXGo2pWvEqLN2w7HrCb_Q_5_3"/>
      <w:bookmarkStart w:id="1838" w:name="Tc_FoOMHzU910yhvbPMHLHqqg_5_0"/>
      <w:bookmarkStart w:id="1839" w:name="Tc_N1rDB0X2M0CQD867Duvskw_4_11"/>
      <w:bookmarkStart w:id="1840" w:name="Tc_Apksg5hMDUG0e6OHSU3Vyw_4_9"/>
      <w:bookmarkStart w:id="1841" w:name="Tc_-yHutsz8_UG30-KAzSabHg_4_8"/>
      <w:bookmarkStart w:id="1842" w:name="Tc_gar6m3zaWECRqhczjIkDeg_4_6"/>
      <w:bookmarkStart w:id="1843" w:name="Tc_yHPKQOp5Qk665VDPt63sSw_4_5"/>
      <w:bookmarkStart w:id="1844" w:name="Tc_ndky7ygjbkSDhcT2ZaXWMA_4_2"/>
      <w:bookmarkStart w:id="1845" w:name="Tc_Bk-znDUiL0mrh3RqvRljvg_4_0"/>
      <w:bookmarkStart w:id="1846" w:name="Tc_iBtgUJm0D0-hWTC8QGAXOA_3_0"/>
      <w:bookmarkStart w:id="1847" w:name="Tc_TNZl6qTpU0e-o_j0XZMNyg_2_11"/>
      <w:bookmarkStart w:id="1848" w:name="Tc_XTwbidIxCEuhSflVhgLIxQ_2_8"/>
      <w:bookmarkStart w:id="1849" w:name="Tc_wOXCCt0NZEGEz-t_sD0vXQ_2_5"/>
      <w:bookmarkStart w:id="1850" w:name="Tc_sBI5DGZJ9k2AFzTcRMHJmg_2_2"/>
      <w:bookmarkStart w:id="1851" w:name="_8fa4ff72_3882_4a41_8292_cb7847479b93"/>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r>
        <w:rPr>
          <w:rFonts w:ascii="Times New Roman;Times;serif" w:hAnsi="Times New Roman;Times;serif"/>
          <w:b/>
          <w:sz w:val="20"/>
        </w:rPr>
        <w:t>NOTE 21. BUSINESS SEGMENT DATA</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operates in three primary business segments: income properties, management services, and commercial loans and investments. The management services segment consists of the revenue generated from managing PINE, the Portfolio Management Agreement and a subsurface management agreement, as described further in Note 5, “Management Services Business.”</w:t>
      </w:r>
    </w:p>
    <w:p>
      <w:pPr>
        <w:pStyle w:val="TextBody"/>
        <w:shd w:fill="FFFFFF" w:val="clear"/>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Our income property operations consist of income-producing properties, and our business plan is focused on investing in additional income-producing properties. Our income property operations accounted for 81.7% and 87.2% of our identifiable assets as of June 30, 2026 and December 31, 2025, respectively. Our income property operations accounted for 86.7% and 88.6% of our consolidated revenues for the six months ended June 30, 2026 and 2025, respectively. Our management fee income consists of the management fees earned for the management of PINE, the Portfolio Management Agreement and a subsurface management agreement during the six months ended June 30, 2026 and 2025. As of June 30, 2026, our commercial loan and investment portfolio consisted of four commercial loan investments and three preferred equity investments which are classified as commercial loan investments.</w:t>
      </w:r>
    </w:p>
    <w:p>
      <w:pPr>
        <w:pStyle w:val="TextBody"/>
        <w:bidi w:val="0"/>
        <w:spacing w:lineRule="auto" w:line="273" w:before="0" w:after="240"/>
        <w:ind w:left="0" w:right="0" w:firstLine="547"/>
        <w:jc w:val="both"/>
        <w:rPr>
          <w:rFonts w:ascii="Times New Roman;Times;serif" w:hAnsi="Times New Roman;Times;serif"/>
          <w:sz w:val="20"/>
        </w:rPr>
      </w:pPr>
      <w:r>
        <w:rPr>
          <w:rFonts w:ascii="Times New Roman;Times;serif" w:hAnsi="Times New Roman;Times;serif"/>
          <w:sz w:val="20"/>
        </w:rPr>
        <w:t>Information about the Company’s operations in different segments for the three months ended June 30, 2026 is as follows (in thousands):</w:t>
      </w:r>
    </w:p>
    <w:tbl>
      <w:tblPr>
        <w:tblW w:w="10205" w:type="dxa"/>
        <w:jc w:val="left"/>
        <w:tblInd w:w="0" w:type="dxa"/>
        <w:tblLayout w:type="fixed"/>
        <w:tblCellMar>
          <w:top w:w="0" w:type="dxa"/>
          <w:left w:w="0" w:type="dxa"/>
          <w:bottom w:w="0" w:type="dxa"/>
          <w:right w:w="0" w:type="dxa"/>
        </w:tblCellMar>
      </w:tblPr>
      <w:tblGrid>
        <w:gridCol w:w="3167"/>
        <w:gridCol w:w="346"/>
        <w:gridCol w:w="271"/>
        <w:gridCol w:w="1015"/>
        <w:gridCol w:w="346"/>
        <w:gridCol w:w="416"/>
        <w:gridCol w:w="1128"/>
        <w:gridCol w:w="346"/>
        <w:gridCol w:w="510"/>
        <w:gridCol w:w="1529"/>
        <w:gridCol w:w="109"/>
        <w:gridCol w:w="211"/>
        <w:gridCol w:w="811"/>
      </w:tblGrid>
      <w:tr>
        <w:trPr/>
        <w:tc>
          <w:tcPr>
            <w:tcW w:w="3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11045" cy="175260"/>
                      <wp:effectExtent l="0" t="0" r="0" b="0"/>
                      <wp:wrapNone/>
                      <wp:docPr id="382" name="Frame382"/>
                      <a:graphic xmlns:a="http://schemas.openxmlformats.org/drawingml/2006/main">
                        <a:graphicData uri="http://schemas.microsoft.com/office/word/2010/wordprocessingShape">
                          <wps:wsp>
                            <wps:cNvSpPr txBox="1"/>
                            <wps:spPr>
                              <a:xfrm>
                                <a:off x="0" y="0"/>
                                <a:ext cx="2011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9710" cy="175260"/>
                      <wp:effectExtent l="0" t="0" r="0" b="0"/>
                      <wp:wrapNone/>
                      <wp:docPr id="383" name="Frame3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72085" cy="175260"/>
                      <wp:effectExtent l="0" t="0" r="0" b="0"/>
                      <wp:wrapNone/>
                      <wp:docPr id="384" name="Frame38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4525" cy="175260"/>
                      <wp:effectExtent l="0" t="0" r="0" b="0"/>
                      <wp:wrapNone/>
                      <wp:docPr id="385" name="Frame385"/>
                      <a:graphic xmlns:a="http://schemas.openxmlformats.org/drawingml/2006/main">
                        <a:graphicData uri="http://schemas.microsoft.com/office/word/2010/wordprocessingShape">
                          <wps:wsp>
                            <wps:cNvSpPr txBox="1"/>
                            <wps:spPr>
                              <a:xfrm>
                                <a:off x="0" y="0"/>
                                <a:ext cx="644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9710" cy="175260"/>
                      <wp:effectExtent l="0" t="0" r="0" b="0"/>
                      <wp:wrapNone/>
                      <wp:docPr id="386" name="Frame3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64160" cy="175260"/>
                      <wp:effectExtent l="0" t="0" r="0" b="0"/>
                      <wp:wrapNone/>
                      <wp:docPr id="387" name="Frame387"/>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716280" cy="175260"/>
                      <wp:effectExtent l="0" t="0" r="0" b="0"/>
                      <wp:wrapNone/>
                      <wp:docPr id="388" name="Frame388"/>
                      <a:graphic xmlns:a="http://schemas.openxmlformats.org/drawingml/2006/main">
                        <a:graphicData uri="http://schemas.microsoft.com/office/word/2010/wordprocessingShape">
                          <wps:wsp>
                            <wps:cNvSpPr txBox="1"/>
                            <wps:spPr>
                              <a:xfrm>
                                <a:off x="0" y="0"/>
                                <a:ext cx="716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19710" cy="175260"/>
                      <wp:effectExtent l="0" t="0" r="0" b="0"/>
                      <wp:wrapNone/>
                      <wp:docPr id="389" name="Frame3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323850" cy="175260"/>
                      <wp:effectExtent l="0" t="0" r="0" b="0"/>
                      <wp:wrapNone/>
                      <wp:docPr id="390" name="Frame390"/>
                      <a:graphic xmlns:a="http://schemas.openxmlformats.org/drawingml/2006/main">
                        <a:graphicData uri="http://schemas.microsoft.com/office/word/2010/wordprocessingShape">
                          <wps:wsp>
                            <wps:cNvSpPr txBox="1"/>
                            <wps:spPr>
                              <a:xfrm>
                                <a:off x="0" y="0"/>
                                <a:ext cx="323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970915" cy="175260"/>
                      <wp:effectExtent l="0" t="0" r="0" b="0"/>
                      <wp:wrapNone/>
                      <wp:docPr id="391" name="Frame391"/>
                      <a:graphic xmlns:a="http://schemas.openxmlformats.org/drawingml/2006/main">
                        <a:graphicData uri="http://schemas.microsoft.com/office/word/2010/wordprocessingShape">
                          <wps:wsp>
                            <wps:cNvSpPr txBox="1"/>
                            <wps:spPr>
                              <a:xfrm>
                                <a:off x="0" y="0"/>
                                <a:ext cx="970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9215" cy="175260"/>
                      <wp:effectExtent l="0" t="0" r="0" b="0"/>
                      <wp:wrapNone/>
                      <wp:docPr id="392" name="Frame3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33985" cy="175260"/>
                      <wp:effectExtent l="0" t="0" r="0" b="0"/>
                      <wp:wrapNone/>
                      <wp:docPr id="393" name="Frame3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514985" cy="175260"/>
                      <wp:effectExtent l="0" t="0" r="0" b="0"/>
                      <wp:wrapNone/>
                      <wp:docPr id="394" name="Frame39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pPr>
            <w:r>
              <w:rPr/>
              <w:t>​</w:t>
            </w:r>
          </w:p>
        </w:tc>
        <w:tc>
          <w:tcPr>
            <w:tcW w:w="11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0" w:type="dxa"/>
            <w:tcBorders/>
            <w:vAlign w:val="center"/>
          </w:tcPr>
          <w:p>
            <w:pPr>
              <w:pStyle w:val="TableContents"/>
              <w:bidi w:val="0"/>
              <w:spacing w:before="0" w:after="0"/>
              <w:ind w:left="0" w:right="0" w:hanging="0"/>
              <w:jc w:val="left"/>
              <w:rPr/>
            </w:pPr>
            <w:r>
              <w:rPr/>
              <w:t>​</w:t>
            </w:r>
          </w:p>
        </w:tc>
        <w:tc>
          <w:tcPr>
            <w:tcW w:w="152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r>
      <w:tr>
        <w:trPr/>
        <w:tc>
          <w:tcPr>
            <w:tcW w:w="316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Income Properties</w:t>
            </w:r>
          </w:p>
        </w:tc>
        <w:tc>
          <w:tcPr>
            <w:tcW w:w="346" w:type="dxa"/>
            <w:tcBorders/>
            <w:vAlign w:val="center"/>
          </w:tcPr>
          <w:p>
            <w:pPr>
              <w:pStyle w:val="TableContents"/>
              <w:bidi w:val="0"/>
              <w:spacing w:before="0" w:after="0"/>
              <w:ind w:left="0" w:right="0" w:hanging="0"/>
              <w:jc w:val="center"/>
              <w:rPr/>
            </w:pPr>
            <w:r>
              <w:rPr/>
              <w:t>  ​ ​ ​</w:t>
            </w:r>
          </w:p>
        </w:tc>
        <w:tc>
          <w:tcPr>
            <w:tcW w:w="15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 Services</w:t>
            </w:r>
          </w:p>
        </w:tc>
        <w:tc>
          <w:tcPr>
            <w:tcW w:w="346" w:type="dxa"/>
            <w:tcBorders/>
            <w:vAlign w:val="center"/>
          </w:tcPr>
          <w:p>
            <w:pPr>
              <w:pStyle w:val="TableContents"/>
              <w:bidi w:val="0"/>
              <w:spacing w:before="0" w:after="0"/>
              <w:ind w:left="0" w:right="0" w:hanging="0"/>
              <w:jc w:val="left"/>
              <w:rPr/>
            </w:pPr>
            <w:r>
              <w:rPr/>
              <w:t>  ​ ​ ​</w:t>
            </w:r>
          </w:p>
        </w:tc>
        <w:tc>
          <w:tcPr>
            <w:tcW w:w="20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Commercial Loans and Investments</w:t>
            </w:r>
          </w:p>
        </w:tc>
        <w:tc>
          <w:tcPr>
            <w:tcW w:w="109"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316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pPr>
            <w:r>
              <w:rPr/>
              <w:t>​</w:t>
            </w:r>
          </w:p>
        </w:tc>
        <w:tc>
          <w:tcPr>
            <w:tcW w:w="11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510" w:type="dxa"/>
            <w:tcBorders/>
            <w:shd w:fill="CCEEFF" w:val="clear"/>
            <w:vAlign w:val="center"/>
          </w:tcPr>
          <w:p>
            <w:pPr>
              <w:pStyle w:val="TableContents"/>
              <w:bidi w:val="0"/>
              <w:spacing w:before="0" w:after="0"/>
              <w:ind w:left="0" w:right="0" w:hanging="0"/>
              <w:jc w:val="left"/>
              <w:rPr/>
            </w:pPr>
            <w:r>
              <w:rPr/>
              <w:t>​</w:t>
            </w:r>
          </w:p>
        </w:tc>
        <w:tc>
          <w:tcPr>
            <w:tcW w:w="152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r>
      <w:tr>
        <w:trPr/>
        <w:tc>
          <w:tcPr>
            <w:tcW w:w="3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37,136</w:t>
            </w:r>
          </w:p>
        </w:tc>
        <w:tc>
          <w:tcPr>
            <w:tcW w:w="34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5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2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37,136</w:t>
            </w:r>
          </w:p>
        </w:tc>
      </w:tr>
      <w:tr>
        <w:trPr/>
        <w:tc>
          <w:tcPr>
            <w:tcW w:w="31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Management Fee Income </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pPr>
            <w:r>
              <w:rPr/>
              <w:t>​</w:t>
            </w:r>
          </w:p>
        </w:tc>
        <w:tc>
          <w:tcPr>
            <w:tcW w:w="11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w:t>
            </w:r>
          </w:p>
        </w:tc>
        <w:tc>
          <w:tcPr>
            <w:tcW w:w="346" w:type="dxa"/>
            <w:tcBorders/>
            <w:shd w:fill="CCEEFF" w:val="clear"/>
            <w:vAlign w:val="center"/>
          </w:tcPr>
          <w:p>
            <w:pPr>
              <w:pStyle w:val="TableContents"/>
              <w:bidi w:val="0"/>
              <w:spacing w:before="0" w:after="0"/>
              <w:ind w:left="0" w:right="0" w:hanging="0"/>
              <w:jc w:val="right"/>
              <w:rPr/>
            </w:pPr>
            <w:r>
              <w:rPr/>
              <w:t>​</w:t>
            </w:r>
          </w:p>
        </w:tc>
        <w:tc>
          <w:tcPr>
            <w:tcW w:w="510" w:type="dxa"/>
            <w:tcBorders/>
            <w:shd w:fill="CCEEFF" w:val="clear"/>
            <w:vAlign w:val="center"/>
          </w:tcPr>
          <w:p>
            <w:pPr>
              <w:pStyle w:val="TableContents"/>
              <w:bidi w:val="0"/>
              <w:spacing w:before="0" w:after="0"/>
              <w:ind w:left="0" w:right="0" w:hanging="0"/>
              <w:jc w:val="left"/>
              <w:rPr/>
            </w:pPr>
            <w:r>
              <w:rPr/>
              <w:t>​</w:t>
            </w:r>
          </w:p>
        </w:tc>
        <w:tc>
          <w:tcPr>
            <w:tcW w:w="152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w:t>
            </w:r>
          </w:p>
        </w:tc>
      </w:tr>
      <w:tr>
        <w:trPr/>
        <w:tc>
          <w:tcPr>
            <w:tcW w:w="3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5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5,229</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5,229</w:t>
            </w:r>
          </w:p>
        </w:tc>
      </w:tr>
      <w:tr>
        <w:trPr/>
        <w:tc>
          <w:tcPr>
            <w:tcW w:w="316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Revenues for Reportable Segments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37,136</w:t>
            </w:r>
          </w:p>
        </w:tc>
        <w:tc>
          <w:tcPr>
            <w:tcW w:w="34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w:t>
            </w:r>
          </w:p>
        </w:tc>
        <w:tc>
          <w:tcPr>
            <w:tcW w:w="346" w:type="dxa"/>
            <w:tcBorders/>
            <w:shd w:fill="CCEEFF" w:val="clear"/>
            <w:vAlign w:val="center"/>
          </w:tcPr>
          <w:p>
            <w:pPr>
              <w:pStyle w:val="TableContents"/>
              <w:bidi w:val="0"/>
              <w:spacing w:before="0" w:after="0"/>
              <w:ind w:left="0" w:right="0" w:hanging="0"/>
              <w:jc w:val="right"/>
              <w:rPr/>
            </w:pPr>
            <w:r>
              <w:rPr/>
              <w:t>​</w:t>
            </w:r>
          </w:p>
        </w:tc>
        <w:tc>
          <w:tcPr>
            <w:tcW w:w="5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43,831</w:t>
            </w:r>
          </w:p>
        </w:tc>
      </w:tr>
      <w:tr>
        <w:trPr/>
        <w:tc>
          <w:tcPr>
            <w:tcW w:w="316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pPr>
            <w:r>
              <w:rPr/>
              <w:t>​</w:t>
            </w:r>
          </w:p>
        </w:tc>
        <w:tc>
          <w:tcPr>
            <w:tcW w:w="11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510" w:type="dxa"/>
            <w:tcBorders/>
            <w:vAlign w:val="center"/>
          </w:tcPr>
          <w:p>
            <w:pPr>
              <w:pStyle w:val="TableContents"/>
              <w:bidi w:val="0"/>
              <w:spacing w:before="0" w:after="0"/>
              <w:ind w:left="0" w:right="0" w:hanging="0"/>
              <w:jc w:val="left"/>
              <w:rPr/>
            </w:pPr>
            <w:r>
              <w:rPr/>
              <w:t>​</w:t>
            </w:r>
          </w:p>
        </w:tc>
        <w:tc>
          <w:tcPr>
            <w:tcW w:w="152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316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pPr>
            <w:r>
              <w:rPr/>
              <w:t>​</w:t>
            </w:r>
          </w:p>
        </w:tc>
        <w:tc>
          <w:tcPr>
            <w:tcW w:w="11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510" w:type="dxa"/>
            <w:tcBorders/>
            <w:shd w:fill="CCEEFF" w:val="clear"/>
            <w:vAlign w:val="center"/>
          </w:tcPr>
          <w:p>
            <w:pPr>
              <w:pStyle w:val="TableContents"/>
              <w:bidi w:val="0"/>
              <w:spacing w:before="0" w:after="0"/>
              <w:ind w:left="0" w:right="0" w:hanging="0"/>
              <w:jc w:val="left"/>
              <w:rPr/>
            </w:pPr>
            <w:r>
              <w:rPr/>
              <w:t>​</w:t>
            </w:r>
          </w:p>
        </w:tc>
        <w:tc>
          <w:tcPr>
            <w:tcW w:w="152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r>
      <w:tr>
        <w:trPr/>
        <w:tc>
          <w:tcPr>
            <w:tcW w:w="3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(11,126)</w:t>
            </w:r>
          </w:p>
        </w:tc>
        <w:tc>
          <w:tcPr>
            <w:tcW w:w="346" w:type="dxa"/>
            <w:tcBorders/>
            <w:vAlign w:val="center"/>
          </w:tcPr>
          <w:p>
            <w:pPr>
              <w:pStyle w:val="TableContents"/>
              <w:bidi w:val="0"/>
              <w:spacing w:before="0" w:after="0"/>
              <w:ind w:left="0" w:right="0" w:hanging="0"/>
              <w:jc w:val="left"/>
              <w:rPr/>
            </w:pPr>
            <w:r>
              <w:rPr/>
              <w:t>​</w:t>
            </w:r>
          </w:p>
        </w:tc>
        <w:tc>
          <w:tcPr>
            <w:tcW w:w="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5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(11,126)</w:t>
            </w:r>
          </w:p>
        </w:tc>
      </w:tr>
      <w:tr>
        <w:trPr/>
        <w:tc>
          <w:tcPr>
            <w:tcW w:w="31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Less Direct Costs of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26,010</w:t>
            </w:r>
          </w:p>
        </w:tc>
        <w:tc>
          <w:tcPr>
            <w:tcW w:w="34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w:t>
            </w:r>
          </w:p>
        </w:tc>
        <w:tc>
          <w:tcPr>
            <w:tcW w:w="346" w:type="dxa"/>
            <w:tcBorders/>
            <w:shd w:fill="CCEEFF" w:val="clear"/>
            <w:vAlign w:val="center"/>
          </w:tcPr>
          <w:p>
            <w:pPr>
              <w:pStyle w:val="TableContents"/>
              <w:bidi w:val="0"/>
              <w:spacing w:before="0" w:after="0"/>
              <w:ind w:left="0" w:right="0" w:hanging="0"/>
              <w:jc w:val="right"/>
              <w:rPr/>
            </w:pPr>
            <w:r>
              <w:rPr/>
              <w:t>​</w:t>
            </w:r>
          </w:p>
        </w:tc>
        <w:tc>
          <w:tcPr>
            <w:tcW w:w="5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32,705</w:t>
            </w:r>
          </w:p>
        </w:tc>
      </w:tr>
      <w:tr>
        <w:trPr/>
        <w:tc>
          <w:tcPr>
            <w:tcW w:w="3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 and Adjustment to CECL Reserve</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pPr>
            <w:r>
              <w:rPr/>
              <w:t>​</w:t>
            </w:r>
          </w:p>
        </w:tc>
        <w:tc>
          <w:tcPr>
            <w:tcW w:w="11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510" w:type="dxa"/>
            <w:tcBorders/>
            <w:vAlign w:val="center"/>
          </w:tcPr>
          <w:p>
            <w:pPr>
              <w:pStyle w:val="TableContents"/>
              <w:bidi w:val="0"/>
              <w:spacing w:before="0" w:after="0"/>
              <w:ind w:left="0" w:right="0" w:hanging="0"/>
              <w:jc w:val="left"/>
              <w:rPr/>
            </w:pPr>
            <w:r>
              <w:rPr/>
              <w:t>​</w:t>
            </w:r>
          </w:p>
        </w:tc>
        <w:tc>
          <w:tcPr>
            <w:tcW w:w="15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w:t>
            </w:r>
          </w:p>
        </w:tc>
      </w:tr>
      <w:tr>
        <w:trPr/>
        <w:tc>
          <w:tcPr>
            <w:tcW w:w="31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 Real Estate</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(15,831)</w:t>
            </w:r>
          </w:p>
        </w:tc>
        <w:tc>
          <w:tcPr>
            <w:tcW w:w="346" w:type="dxa"/>
            <w:tcBorders/>
            <w:shd w:fill="CCEEFF" w:val="clear"/>
            <w:vAlign w:val="center"/>
          </w:tcPr>
          <w:p>
            <w:pPr>
              <w:pStyle w:val="TableContents"/>
              <w:bidi w:val="0"/>
              <w:spacing w:before="0" w:after="0"/>
              <w:ind w:left="0" w:right="0" w:hanging="0"/>
              <w:jc w:val="left"/>
              <w:rPr/>
            </w:pPr>
            <w:r>
              <w:rPr/>
              <w:t>​</w:t>
            </w:r>
          </w:p>
        </w:tc>
        <w:tc>
          <w:tcPr>
            <w:tcW w:w="4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5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(15,831)</w:t>
            </w:r>
          </w:p>
        </w:tc>
      </w:tr>
      <w:tr>
        <w:trPr/>
        <w:tc>
          <w:tcPr>
            <w:tcW w:w="3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Less Operating Expenses for Reportable Segments</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10,179</w:t>
            </w:r>
          </w:p>
        </w:tc>
        <w:tc>
          <w:tcPr>
            <w:tcW w:w="34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w:t>
            </w:r>
          </w:p>
        </w:tc>
        <w:tc>
          <w:tcPr>
            <w:tcW w:w="346" w:type="dxa"/>
            <w:tcBorders/>
            <w:vAlign w:val="center"/>
          </w:tcPr>
          <w:p>
            <w:pPr>
              <w:pStyle w:val="TableContents"/>
              <w:bidi w:val="0"/>
              <w:spacing w:before="0" w:after="0"/>
              <w:ind w:left="0" w:right="0" w:hanging="0"/>
              <w:jc w:val="right"/>
              <w:rPr/>
            </w:pPr>
            <w:r>
              <w:rPr/>
              <w:t>​</w:t>
            </w:r>
          </w:p>
        </w:tc>
        <w:tc>
          <w:tcPr>
            <w:tcW w:w="5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4,145</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15,790</w:t>
            </w:r>
          </w:p>
        </w:tc>
      </w:tr>
      <w:tr>
        <w:trPr/>
        <w:tc>
          <w:tcPr>
            <w:tcW w:w="31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2,107</w:t>
            </w:r>
          </w:p>
        </w:tc>
        <w:tc>
          <w:tcPr>
            <w:tcW w:w="346" w:type="dxa"/>
            <w:tcBorders/>
            <w:shd w:fill="CCEEFF" w:val="clear"/>
            <w:vAlign w:val="center"/>
          </w:tcPr>
          <w:p>
            <w:pPr>
              <w:pStyle w:val="TableContents"/>
              <w:bidi w:val="0"/>
              <w:spacing w:before="0" w:after="0"/>
              <w:ind w:left="0" w:right="0" w:hanging="0"/>
              <w:jc w:val="left"/>
              <w:rPr/>
            </w:pPr>
            <w:r>
              <w:rPr/>
              <w:t>​</w:t>
            </w:r>
          </w:p>
        </w:tc>
        <w:tc>
          <w:tcPr>
            <w:tcW w:w="4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5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2,107</w:t>
            </w:r>
          </w:p>
        </w:tc>
      </w:tr>
      <w:tr>
        <w:trPr/>
        <w:tc>
          <w:tcPr>
            <w:tcW w:w="316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From Operations for Reportable Segments</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12,286</w:t>
            </w:r>
          </w:p>
        </w:tc>
        <w:tc>
          <w:tcPr>
            <w:tcW w:w="34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w:t>
            </w:r>
          </w:p>
        </w:tc>
        <w:tc>
          <w:tcPr>
            <w:tcW w:w="346" w:type="dxa"/>
            <w:tcBorders/>
            <w:vAlign w:val="center"/>
          </w:tcPr>
          <w:p>
            <w:pPr>
              <w:pStyle w:val="TableContents"/>
              <w:bidi w:val="0"/>
              <w:spacing w:before="0" w:after="0"/>
              <w:ind w:left="0" w:right="0" w:hanging="0"/>
              <w:jc w:val="right"/>
              <w:rPr/>
            </w:pPr>
            <w:r>
              <w:rPr/>
              <w:t>​</w:t>
            </w:r>
          </w:p>
        </w:tc>
        <w:tc>
          <w:tcPr>
            <w:tcW w:w="5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4,145</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17,897</w:t>
            </w:r>
          </w:p>
        </w:tc>
      </w:tr>
      <w:tr>
        <w:trPr/>
        <w:tc>
          <w:tcPr>
            <w:tcW w:w="316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pPr>
            <w:r>
              <w:rPr/>
              <w:t>​</w:t>
            </w:r>
          </w:p>
        </w:tc>
        <w:tc>
          <w:tcPr>
            <w:tcW w:w="11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510" w:type="dxa"/>
            <w:tcBorders/>
            <w:shd w:fill="CCEEFF" w:val="clear"/>
            <w:vAlign w:val="center"/>
          </w:tcPr>
          <w:p>
            <w:pPr>
              <w:pStyle w:val="TableContents"/>
              <w:bidi w:val="0"/>
              <w:spacing w:before="0" w:after="0"/>
              <w:ind w:left="0" w:right="0" w:hanging="0"/>
              <w:jc w:val="left"/>
              <w:rPr/>
            </w:pPr>
            <w:r>
              <w:rPr/>
              <w:t>​</w:t>
            </w:r>
          </w:p>
        </w:tc>
        <w:tc>
          <w:tcPr>
            <w:tcW w:w="152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r>
      <w:tr>
        <w:trPr/>
        <w:tc>
          <w:tcPr>
            <w:tcW w:w="3167"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to Consolidated Net Income</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pPr>
            <w:r>
              <w:rPr/>
              <w:t>​</w:t>
            </w:r>
          </w:p>
        </w:tc>
        <w:tc>
          <w:tcPr>
            <w:tcW w:w="11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510" w:type="dxa"/>
            <w:tcBorders/>
            <w:vAlign w:val="center"/>
          </w:tcPr>
          <w:p>
            <w:pPr>
              <w:pStyle w:val="TableContents"/>
              <w:bidi w:val="0"/>
              <w:spacing w:before="0" w:after="0"/>
              <w:ind w:left="0" w:right="0" w:hanging="0"/>
              <w:jc w:val="left"/>
              <w:rPr/>
            </w:pPr>
            <w:r>
              <w:rPr/>
              <w:t>​</w:t>
            </w:r>
          </w:p>
        </w:tc>
        <w:tc>
          <w:tcPr>
            <w:tcW w:w="152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31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pPr>
            <w:r>
              <w:rPr/>
              <w:t>​</w:t>
            </w:r>
          </w:p>
        </w:tc>
        <w:tc>
          <w:tcPr>
            <w:tcW w:w="11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0" w:type="dxa"/>
            <w:tcBorders/>
            <w:shd w:fill="CCEEFF" w:val="clear"/>
            <w:vAlign w:val="center"/>
          </w:tcPr>
          <w:p>
            <w:pPr>
              <w:pStyle w:val="TableContents"/>
              <w:bidi w:val="0"/>
              <w:spacing w:before="0" w:after="0"/>
              <w:ind w:left="0" w:right="0" w:hanging="0"/>
              <w:jc w:val="left"/>
              <w:rPr/>
            </w:pPr>
            <w:r>
              <w:rPr/>
              <w:t>​</w:t>
            </w:r>
          </w:p>
        </w:tc>
        <w:tc>
          <w:tcPr>
            <w:tcW w:w="152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(4,630)</w:t>
            </w:r>
          </w:p>
        </w:tc>
      </w:tr>
      <w:tr>
        <w:trPr/>
        <w:tc>
          <w:tcPr>
            <w:tcW w:w="3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pPr>
            <w:r>
              <w:rPr/>
              <w:t>​</w:t>
            </w:r>
          </w:p>
        </w:tc>
        <w:tc>
          <w:tcPr>
            <w:tcW w:w="11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10" w:type="dxa"/>
            <w:tcBorders/>
            <w:vAlign w:val="center"/>
          </w:tcPr>
          <w:p>
            <w:pPr>
              <w:pStyle w:val="TableContents"/>
              <w:bidi w:val="0"/>
              <w:spacing w:before="0" w:after="0"/>
              <w:ind w:left="0" w:right="0" w:hanging="0"/>
              <w:jc w:val="left"/>
              <w:rPr/>
            </w:pPr>
            <w:r>
              <w:rPr/>
              <w:t>​</w:t>
            </w:r>
          </w:p>
        </w:tc>
        <w:tc>
          <w:tcPr>
            <w:tcW w:w="152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10,765</w:t>
            </w:r>
          </w:p>
        </w:tc>
      </w:tr>
      <w:tr>
        <w:trPr/>
        <w:tc>
          <w:tcPr>
            <w:tcW w:w="31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pPr>
            <w:r>
              <w:rPr/>
              <w:t>​</w:t>
            </w:r>
          </w:p>
        </w:tc>
        <w:tc>
          <w:tcPr>
            <w:tcW w:w="11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510" w:type="dxa"/>
            <w:tcBorders/>
            <w:shd w:fill="CCEEFF" w:val="clear"/>
            <w:vAlign w:val="center"/>
          </w:tcPr>
          <w:p>
            <w:pPr>
              <w:pStyle w:val="TableContents"/>
              <w:bidi w:val="0"/>
              <w:spacing w:before="0" w:after="0"/>
              <w:ind w:left="0" w:right="0" w:hanging="0"/>
              <w:jc w:val="left"/>
              <w:rPr/>
            </w:pPr>
            <w:r>
              <w:rPr/>
              <w:t>​</w:t>
            </w:r>
          </w:p>
        </w:tc>
        <w:tc>
          <w:tcPr>
            <w:tcW w:w="152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(7,783)</w:t>
            </w:r>
          </w:p>
        </w:tc>
      </w:tr>
      <w:tr>
        <w:trPr/>
        <w:tc>
          <w:tcPr>
            <w:tcW w:w="3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 Other</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pPr>
            <w:r>
              <w:rPr/>
              <w:t>​</w:t>
            </w:r>
          </w:p>
        </w:tc>
        <w:tc>
          <w:tcPr>
            <w:tcW w:w="11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510" w:type="dxa"/>
            <w:tcBorders/>
            <w:vAlign w:val="center"/>
          </w:tcPr>
          <w:p>
            <w:pPr>
              <w:pStyle w:val="TableContents"/>
              <w:bidi w:val="0"/>
              <w:spacing w:before="0" w:after="0"/>
              <w:ind w:left="0" w:right="0" w:hanging="0"/>
              <w:jc w:val="left"/>
              <w:rPr/>
            </w:pPr>
            <w:r>
              <w:rPr/>
              <w:t>​</w:t>
            </w:r>
          </w:p>
        </w:tc>
        <w:tc>
          <w:tcPr>
            <w:tcW w:w="152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31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Before 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pPr>
            <w:r>
              <w:rPr/>
              <w:t>​</w:t>
            </w:r>
          </w:p>
        </w:tc>
        <w:tc>
          <w:tcPr>
            <w:tcW w:w="11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510" w:type="dxa"/>
            <w:tcBorders/>
            <w:shd w:fill="CCEEFF" w:val="clear"/>
            <w:vAlign w:val="center"/>
          </w:tcPr>
          <w:p>
            <w:pPr>
              <w:pStyle w:val="TableContents"/>
              <w:bidi w:val="0"/>
              <w:spacing w:before="0" w:after="0"/>
              <w:ind w:left="0" w:right="0" w:hanging="0"/>
              <w:jc w:val="left"/>
              <w:rPr/>
            </w:pPr>
            <w:r>
              <w:rPr/>
              <w:t>​</w:t>
            </w:r>
          </w:p>
        </w:tc>
        <w:tc>
          <w:tcPr>
            <w:tcW w:w="152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16,233</w:t>
            </w:r>
          </w:p>
        </w:tc>
      </w:tr>
      <w:tr>
        <w:trPr/>
        <w:tc>
          <w:tcPr>
            <w:tcW w:w="3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pPr>
            <w:r>
              <w:rPr/>
              <w:t>​</w:t>
            </w:r>
          </w:p>
        </w:tc>
        <w:tc>
          <w:tcPr>
            <w:tcW w:w="11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510" w:type="dxa"/>
            <w:tcBorders/>
            <w:vAlign w:val="center"/>
          </w:tcPr>
          <w:p>
            <w:pPr>
              <w:pStyle w:val="TableContents"/>
              <w:bidi w:val="0"/>
              <w:spacing w:before="0" w:after="0"/>
              <w:ind w:left="0" w:right="0" w:hanging="0"/>
              <w:jc w:val="left"/>
              <w:rPr/>
            </w:pPr>
            <w:r>
              <w:rPr/>
              <w:t>​</w:t>
            </w:r>
          </w:p>
        </w:tc>
        <w:tc>
          <w:tcPr>
            <w:tcW w:w="152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w:t>
            </w:r>
          </w:p>
        </w:tc>
      </w:tr>
      <w:tr>
        <w:trPr/>
        <w:tc>
          <w:tcPr>
            <w:tcW w:w="31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the Company</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pPr>
            <w:r>
              <w:rPr/>
              <w:t>​</w:t>
            </w:r>
          </w:p>
        </w:tc>
        <w:tc>
          <w:tcPr>
            <w:tcW w:w="11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510" w:type="dxa"/>
            <w:tcBorders/>
            <w:shd w:fill="CCEEFF" w:val="clear"/>
            <w:vAlign w:val="center"/>
          </w:tcPr>
          <w:p>
            <w:pPr>
              <w:pStyle w:val="TableContents"/>
              <w:bidi w:val="0"/>
              <w:spacing w:before="0" w:after="0"/>
              <w:ind w:left="0" w:right="0" w:hanging="0"/>
              <w:jc w:val="left"/>
              <w:rPr/>
            </w:pPr>
            <w:r>
              <w:rPr/>
              <w:t>​</w:t>
            </w:r>
          </w:p>
        </w:tc>
        <w:tc>
          <w:tcPr>
            <w:tcW w:w="152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15,112</w:t>
            </w:r>
          </w:p>
        </w:tc>
      </w:tr>
    </w:tbl>
    <w:p>
      <w:pPr>
        <w:pStyle w:val="TextBody"/>
        <w:bidi w:val="0"/>
        <w:spacing w:lineRule="auto" w:line="273" w:before="0" w:after="240"/>
        <w:ind w:left="0" w:right="0" w:hanging="0"/>
        <w:jc w:val="both"/>
        <w:rPr/>
      </w:pPr>
      <w:r>
        <w:rPr/>
        <w:t> </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852" w:name="Tc_TjXyMvsTRkautyrVceeKBw_24_11"/>
      <w:bookmarkStart w:id="1853" w:name="Tc_YYotLmkErkOr2ifH8-dFvw_24_0"/>
      <w:bookmarkStart w:id="1854" w:name="Tc_YxNksX9U5EaoX_IS6TFpdw_23_0"/>
      <w:bookmarkStart w:id="1855" w:name="Tc_9Hm1mzQDi0qDAeARTQ24PA_22_11"/>
      <w:bookmarkStart w:id="1856" w:name="Tc_QStVKWjSE0-MAyRyIc8euQ_22_0"/>
      <w:bookmarkStart w:id="1857" w:name="Tc_NDXwMiHVJ06s9mPirTZWJQ_21_0"/>
      <w:bookmarkStart w:id="1858" w:name="Tc_ZrD_RLAJkUSm1W3aMEeWBQ_20_0"/>
      <w:bookmarkStart w:id="1859" w:name="Tc_tS4Cxbl2lkiKdQUyle44uQ_19_0"/>
      <w:bookmarkStart w:id="1860" w:name="Tc_Xo9gLaTSCEWyf6BjMChS9g_18_0"/>
      <w:bookmarkStart w:id="1861" w:name="Tc_3LPgyiGYVk6yDJJ5T0j2ZA_17_0"/>
      <w:bookmarkStart w:id="1862" w:name="Tc_SuzoTJSSTEyxkdyyL3phCQ_16_0"/>
      <w:bookmarkStart w:id="1863" w:name="Tc_0qHRN6lzfUiGDN_sKu13Kg_14_11"/>
      <w:bookmarkStart w:id="1864" w:name="Tc_XU7FFEOkwEmftCGbaQQNfw_14_8"/>
      <w:bookmarkStart w:id="1865" w:name="Tc_pj0voLqLg0aA-a8If8oi8w_14_5"/>
      <w:bookmarkStart w:id="1866" w:name="Tc_S3u3TmngX0OGe2-9lD5Suw_14_2"/>
      <w:bookmarkStart w:id="1867" w:name="Tc_DiKZBBoHrkypagwE8EN1vA_14_0"/>
      <w:bookmarkStart w:id="1868" w:name="Tc_eNS7XuHe2kOx-2TvlAfoWw_13_11"/>
      <w:bookmarkStart w:id="1869" w:name="Tc_nIRQBb2PV0Ci-4xQpjUt_g_13_8"/>
      <w:bookmarkStart w:id="1870" w:name="Tc_sVtDHH5n40WUI3vhxBPXDA_13_5"/>
      <w:bookmarkStart w:id="1871" w:name="Tc_GBa7ed0h2kqs7TxzGb8AeA_13_2"/>
      <w:bookmarkStart w:id="1872" w:name="Tc_6Ehbvyp4wkae_KI8ksDr4g_13_0"/>
      <w:bookmarkStart w:id="1873" w:name="Tc__x8m6qyJYkmbWtRdwhPv0A_12_9"/>
      <w:bookmarkStart w:id="1874" w:name="Tc_BpHW-I2hWUaXQvd0zgl44Q_12_6"/>
      <w:bookmarkStart w:id="1875" w:name="Tc_MOZJPRUaV0e0oqLjpH_7Hg_12_0"/>
      <w:bookmarkStart w:id="1876" w:name="Tc_I0pkTmlx2kKLWbf1Xhhtdw_11_11"/>
      <w:bookmarkStart w:id="1877" w:name="Tc_mG2G2kqZHESd13MUytHfcQ_11_8"/>
      <w:bookmarkStart w:id="1878" w:name="Tc_r7DM6lkuGkK8CPSP6Iqg-Q_11_5"/>
      <w:bookmarkStart w:id="1879" w:name="Tc_hsvlt_QysUmEEYn4BMaJsA_11_2"/>
      <w:bookmarkStart w:id="1880" w:name="Tc_wl3xtasuIUakoLCtMy5wvg_11_0"/>
      <w:bookmarkStart w:id="1881" w:name="Tc_iQ1e8tKVJ0aQWzrzFjjUlQ_10_11"/>
      <w:bookmarkStart w:id="1882" w:name="Tc__xTuaL1AbkWbdinGFLEuZg_10_9"/>
      <w:bookmarkStart w:id="1883" w:name="Tc_Qd7zhvrRSkyMRjb5bJWTQA_10_8"/>
      <w:bookmarkStart w:id="1884" w:name="Tc_jYvs3rzbQkKqGbPHJ2g5-g_10_6"/>
      <w:bookmarkStart w:id="1885" w:name="Tc_aSGxQQytQEG-EUe4US1zeg_10_5"/>
      <w:bookmarkStart w:id="1886" w:name="Tc_pe3ovDvc6E2kZgUSaYCR2g_10_2"/>
      <w:bookmarkStart w:id="1887" w:name="Tc_ChAiDQUUqUa08B6E4_flOA_10_0"/>
      <w:bookmarkStart w:id="1888" w:name="Tc_0anUrCxv8EWhhE5gJXSY3Q_9_0"/>
      <w:bookmarkStart w:id="1889" w:name="Tc_v2FUfLWKFUi5ONsIWo49Zw_7_11"/>
      <w:bookmarkStart w:id="1890" w:name="Tc_bHQT5Wx_DkCYxH4cwuQp2g_7_8"/>
      <w:bookmarkStart w:id="1891" w:name="Tc_FrayBnh2OUCeRrjLiP1q3g_7_5"/>
      <w:bookmarkStart w:id="1892" w:name="Tc_YSky27rEE0eZvufUJyf_gg_7_2"/>
      <w:bookmarkStart w:id="1893" w:name="Tc_C5H3cubLBkG7DhEwDnDGIQ_7_0"/>
      <w:bookmarkStart w:id="1894" w:name="Tc_lXdExXlUFEqa4mfTb9qq9w_6_6"/>
      <w:bookmarkStart w:id="1895" w:name="Tc_Dl6eB-wqyUi8JyMizLSIGg_6_3"/>
      <w:bookmarkStart w:id="1896" w:name="Tc_fqZeypfaMUqWOdA_Q84T2Q_6_0"/>
      <w:bookmarkStart w:id="1897" w:name="Tc_Tgn9c9xg2UOmYPSiXtDz0g_5_9"/>
      <w:bookmarkStart w:id="1898" w:name="Tc_d5cdADopBUefEodnNaJRxg_5_3"/>
      <w:bookmarkStart w:id="1899" w:name="Tc_vZWS0vlGhEOWuVN_0dlDtQ_5_0"/>
      <w:bookmarkStart w:id="1900" w:name="Tc_khRMDCETnUK6an7TYCuw6Q_4_11"/>
      <w:bookmarkStart w:id="1901" w:name="Tc_xYRFdGOiqUOLHeL0MLww4Q_4_9"/>
      <w:bookmarkStart w:id="1902" w:name="Tc_YATthLO77Eat0u3T6YKHzA_4_8"/>
      <w:bookmarkStart w:id="1903" w:name="Tc_Nbo89BRMUUOm5Rq6V5ZvoA_4_6"/>
      <w:bookmarkStart w:id="1904" w:name="Tc_VLKtsDrpmESGn20H1xW2Xw_4_5"/>
      <w:bookmarkStart w:id="1905" w:name="Tc_BNq2RSQPV0SQOGpo-DeLXA_4_2"/>
      <w:bookmarkStart w:id="1906" w:name="Tc_7Sjot-ZfIE-Y4bRA7GUzoA_4_0"/>
      <w:bookmarkStart w:id="1907" w:name="Tc_U2_3QveATkuw31aXEpntqQ_3_0"/>
      <w:bookmarkStart w:id="1908" w:name="Tc_q5Cqxq3E_EGaReknKgyK8g_2_11"/>
      <w:bookmarkStart w:id="1909" w:name="Tc_nCZYEnk_X0KbYdwX6x_krA_2_8"/>
      <w:bookmarkStart w:id="1910" w:name="Tc_-8jeY7ApLkGkTEBtnqbkkw_2_5"/>
      <w:bookmarkStart w:id="1911" w:name="Tc_FUD7wS6APU-xldTrOpuxyA_2_2"/>
      <w:bookmarkStart w:id="1912" w:name="_98dbf280_c348_43f7_beb7_8bc8f8612099"/>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r>
        <w:rPr>
          <w:rFonts w:ascii="Times New Roman;Times;serif" w:hAnsi="Times New Roman;Times;serif"/>
          <w:sz w:val="20"/>
        </w:rPr>
        <w:t>Information about the Company’s operations in different segments for the three months ended June 30, 2025 is as follows (in thousands):</w:t>
      </w:r>
    </w:p>
    <w:tbl>
      <w:tblPr>
        <w:tblW w:w="10205" w:type="dxa"/>
        <w:jc w:val="left"/>
        <w:tblInd w:w="0" w:type="dxa"/>
        <w:tblLayout w:type="fixed"/>
        <w:tblCellMar>
          <w:top w:w="0" w:type="dxa"/>
          <w:left w:w="0" w:type="dxa"/>
          <w:bottom w:w="0" w:type="dxa"/>
          <w:right w:w="0" w:type="dxa"/>
        </w:tblCellMar>
      </w:tblPr>
      <w:tblGrid>
        <w:gridCol w:w="3190"/>
        <w:gridCol w:w="346"/>
        <w:gridCol w:w="270"/>
        <w:gridCol w:w="1011"/>
        <w:gridCol w:w="346"/>
        <w:gridCol w:w="415"/>
        <w:gridCol w:w="1124"/>
        <w:gridCol w:w="346"/>
        <w:gridCol w:w="545"/>
        <w:gridCol w:w="1481"/>
        <w:gridCol w:w="109"/>
        <w:gridCol w:w="211"/>
        <w:gridCol w:w="811"/>
      </w:tblGrid>
      <w:tr>
        <w:trPr/>
        <w:tc>
          <w:tcPr>
            <w:tcW w:w="31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025650" cy="175260"/>
                      <wp:effectExtent l="0" t="0" r="0" b="0"/>
                      <wp:wrapNone/>
                      <wp:docPr id="395" name="Frame395"/>
                      <a:graphic xmlns:a="http://schemas.openxmlformats.org/drawingml/2006/main">
                        <a:graphicData uri="http://schemas.microsoft.com/office/word/2010/wordprocessingShape">
                          <wps:wsp>
                            <wps:cNvSpPr txBox="1"/>
                            <wps:spPr>
                              <a:xfrm>
                                <a:off x="0" y="0"/>
                                <a:ext cx="2025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19710" cy="175260"/>
                      <wp:effectExtent l="0" t="0" r="0" b="0"/>
                      <wp:wrapNone/>
                      <wp:docPr id="396" name="Frame3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71450" cy="175260"/>
                      <wp:effectExtent l="0" t="0" r="0" b="0"/>
                      <wp:wrapNone/>
                      <wp:docPr id="397" name="Frame397"/>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1985" cy="175260"/>
                      <wp:effectExtent l="0" t="0" r="0" b="0"/>
                      <wp:wrapNone/>
                      <wp:docPr id="398" name="Frame398"/>
                      <a:graphic xmlns:a="http://schemas.openxmlformats.org/drawingml/2006/main">
                        <a:graphicData uri="http://schemas.microsoft.com/office/word/2010/wordprocessingShape">
                          <wps:wsp>
                            <wps:cNvSpPr txBox="1"/>
                            <wps:spPr>
                              <a:xfrm>
                                <a:off x="0" y="0"/>
                                <a:ext cx="641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19710" cy="175260"/>
                      <wp:effectExtent l="0" t="0" r="0" b="0"/>
                      <wp:wrapNone/>
                      <wp:docPr id="399" name="Frame3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63525" cy="175260"/>
                      <wp:effectExtent l="0" t="0" r="0" b="0"/>
                      <wp:wrapNone/>
                      <wp:docPr id="400" name="Frame400"/>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713740" cy="175260"/>
                      <wp:effectExtent l="0" t="0" r="0" b="0"/>
                      <wp:wrapNone/>
                      <wp:docPr id="401" name="Frame401"/>
                      <a:graphic xmlns:a="http://schemas.openxmlformats.org/drawingml/2006/main">
                        <a:graphicData uri="http://schemas.microsoft.com/office/word/2010/wordprocessingShape">
                          <wps:wsp>
                            <wps:cNvSpPr txBox="1"/>
                            <wps:spPr>
                              <a:xfrm>
                                <a:off x="0" y="0"/>
                                <a:ext cx="713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19710" cy="175260"/>
                      <wp:effectExtent l="0" t="0" r="0" b="0"/>
                      <wp:wrapNone/>
                      <wp:docPr id="402" name="Frame4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346075" cy="175260"/>
                      <wp:effectExtent l="0" t="0" r="0" b="0"/>
                      <wp:wrapNone/>
                      <wp:docPr id="403" name="Frame403"/>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940435" cy="175260"/>
                      <wp:effectExtent l="0" t="0" r="0" b="0"/>
                      <wp:wrapNone/>
                      <wp:docPr id="404" name="Frame404"/>
                      <a:graphic xmlns:a="http://schemas.openxmlformats.org/drawingml/2006/main">
                        <a:graphicData uri="http://schemas.microsoft.com/office/word/2010/wordprocessingShape">
                          <wps:wsp>
                            <wps:cNvSpPr txBox="1"/>
                            <wps:spPr>
                              <a:xfrm>
                                <a:off x="0" y="0"/>
                                <a:ext cx="940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9215" cy="175260"/>
                      <wp:effectExtent l="0" t="0" r="0" b="0"/>
                      <wp:wrapNone/>
                      <wp:docPr id="405" name="Frame4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33985" cy="175260"/>
                      <wp:effectExtent l="0" t="0" r="0" b="0"/>
                      <wp:wrapNone/>
                      <wp:docPr id="406" name="Frame4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514985" cy="175260"/>
                      <wp:effectExtent l="0" t="0" r="0" b="0"/>
                      <wp:wrapNone/>
                      <wp:docPr id="407" name="Frame40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9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10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112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45" w:type="dxa"/>
            <w:tcBorders/>
            <w:vAlign w:val="center"/>
          </w:tcPr>
          <w:p>
            <w:pPr>
              <w:pStyle w:val="TableContents"/>
              <w:bidi w:val="0"/>
              <w:spacing w:before="0" w:after="1"/>
              <w:ind w:left="0" w:right="0" w:hanging="0"/>
              <w:jc w:val="left"/>
              <w:rPr/>
            </w:pPr>
            <w:r>
              <w:rPr/>
              <w:t>​</w:t>
            </w:r>
          </w:p>
        </w:tc>
        <w:tc>
          <w:tcPr>
            <w:tcW w:w="14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r>
      <w:tr>
        <w:trPr/>
        <w:tc>
          <w:tcPr>
            <w:tcW w:w="319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2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Income Properties</w:t>
            </w:r>
          </w:p>
        </w:tc>
        <w:tc>
          <w:tcPr>
            <w:tcW w:w="346" w:type="dxa"/>
            <w:tcBorders/>
            <w:vAlign w:val="center"/>
          </w:tcPr>
          <w:p>
            <w:pPr>
              <w:pStyle w:val="TableContents"/>
              <w:bidi w:val="0"/>
              <w:spacing w:before="0" w:after="1"/>
              <w:ind w:left="0" w:right="0" w:hanging="0"/>
              <w:jc w:val="center"/>
              <w:rPr/>
            </w:pPr>
            <w:r>
              <w:rPr/>
              <w:t>  ​ ​ ​</w:t>
            </w:r>
          </w:p>
        </w:tc>
        <w:tc>
          <w:tcPr>
            <w:tcW w:w="15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Management Services</w:t>
            </w:r>
          </w:p>
        </w:tc>
        <w:tc>
          <w:tcPr>
            <w:tcW w:w="346" w:type="dxa"/>
            <w:tcBorders/>
            <w:vAlign w:val="center"/>
          </w:tcPr>
          <w:p>
            <w:pPr>
              <w:pStyle w:val="TableContents"/>
              <w:bidi w:val="0"/>
              <w:spacing w:before="0" w:after="1"/>
              <w:ind w:left="0" w:right="0" w:hanging="0"/>
              <w:jc w:val="left"/>
              <w:rPr/>
            </w:pPr>
            <w:r>
              <w:rPr/>
              <w:t>  ​ ​ ​</w:t>
            </w:r>
          </w:p>
        </w:tc>
        <w:tc>
          <w:tcPr>
            <w:tcW w:w="20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Commercial Loans and Investments</w:t>
            </w:r>
          </w:p>
        </w:tc>
        <w:tc>
          <w:tcPr>
            <w:tcW w:w="109"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319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0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w:t>
            </w:r>
          </w:p>
        </w:tc>
        <w:tc>
          <w:tcPr>
            <w:tcW w:w="112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45" w:type="dxa"/>
            <w:tcBorders/>
            <w:shd w:fill="CCEEFF" w:val="clear"/>
            <w:vAlign w:val="center"/>
          </w:tcPr>
          <w:p>
            <w:pPr>
              <w:pStyle w:val="TableContents"/>
              <w:bidi w:val="0"/>
              <w:spacing w:before="0" w:after="1"/>
              <w:ind w:left="0" w:right="0" w:hanging="0"/>
              <w:jc w:val="left"/>
              <w:rPr/>
            </w:pPr>
            <w:r>
              <w:rPr/>
              <w:t>​</w:t>
            </w:r>
          </w:p>
        </w:tc>
        <w:tc>
          <w:tcPr>
            <w:tcW w:w="14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r>
      <w:tr>
        <w:trPr/>
        <w:tc>
          <w:tcPr>
            <w:tcW w:w="31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4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33,375</w:t>
            </w:r>
          </w:p>
        </w:tc>
        <w:tc>
          <w:tcPr>
            <w:tcW w:w="34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33,375</w:t>
            </w:r>
          </w:p>
        </w:tc>
      </w:tr>
      <w:tr>
        <w:trPr/>
        <w:tc>
          <w:tcPr>
            <w:tcW w:w="31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Management Fee Income </w:t>
            </w:r>
          </w:p>
        </w:tc>
        <w:tc>
          <w:tcPr>
            <w:tcW w:w="34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0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w:t>
            </w:r>
          </w:p>
        </w:tc>
        <w:tc>
          <w:tcPr>
            <w:tcW w:w="11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1,247</w:t>
            </w:r>
          </w:p>
        </w:tc>
        <w:tc>
          <w:tcPr>
            <w:tcW w:w="346" w:type="dxa"/>
            <w:tcBorders/>
            <w:shd w:fill="CCEEFF" w:val="clear"/>
            <w:vAlign w:val="center"/>
          </w:tcPr>
          <w:p>
            <w:pPr>
              <w:pStyle w:val="TableContents"/>
              <w:bidi w:val="0"/>
              <w:spacing w:before="0" w:after="1"/>
              <w:ind w:left="0" w:right="0" w:hanging="0"/>
              <w:jc w:val="right"/>
              <w:rPr/>
            </w:pPr>
            <w:r>
              <w:rPr/>
              <w:t>​</w:t>
            </w:r>
          </w:p>
        </w:tc>
        <w:tc>
          <w:tcPr>
            <w:tcW w:w="545" w:type="dxa"/>
            <w:tcBorders/>
            <w:shd w:fill="CCEEFF" w:val="clear"/>
            <w:vAlign w:val="center"/>
          </w:tcPr>
          <w:p>
            <w:pPr>
              <w:pStyle w:val="TableContents"/>
              <w:bidi w:val="0"/>
              <w:spacing w:before="0" w:after="1"/>
              <w:ind w:left="0" w:right="0" w:hanging="0"/>
              <w:jc w:val="left"/>
              <w:rPr/>
            </w:pPr>
            <w:r>
              <w:rPr/>
              <w:t>​</w:t>
            </w:r>
          </w:p>
        </w:tc>
        <w:tc>
          <w:tcPr>
            <w:tcW w:w="14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1,247</w:t>
            </w:r>
          </w:p>
        </w:tc>
      </w:tr>
      <w:tr>
        <w:trPr/>
        <w:tc>
          <w:tcPr>
            <w:tcW w:w="31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46"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2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3,016</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3,016</w:t>
            </w:r>
          </w:p>
        </w:tc>
      </w:tr>
      <w:tr>
        <w:trPr/>
        <w:tc>
          <w:tcPr>
            <w:tcW w:w="319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Revenues for Reportable Segments</w:t>
            </w:r>
          </w:p>
        </w:tc>
        <w:tc>
          <w:tcPr>
            <w:tcW w:w="34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33,375</w:t>
            </w:r>
          </w:p>
        </w:tc>
        <w:tc>
          <w:tcPr>
            <w:tcW w:w="34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1,247</w:t>
            </w:r>
          </w:p>
        </w:tc>
        <w:tc>
          <w:tcPr>
            <w:tcW w:w="346" w:type="dxa"/>
            <w:tcBorders/>
            <w:shd w:fill="CCEEFF" w:val="clear"/>
            <w:vAlign w:val="center"/>
          </w:tcPr>
          <w:p>
            <w:pPr>
              <w:pStyle w:val="TableContents"/>
              <w:bidi w:val="0"/>
              <w:spacing w:before="0" w:after="1"/>
              <w:ind w:left="0" w:right="0" w:hanging="0"/>
              <w:jc w:val="right"/>
              <w:rPr/>
            </w:pPr>
            <w:r>
              <w:rPr/>
              <w:t>​</w:t>
            </w:r>
          </w:p>
        </w:tc>
        <w:tc>
          <w:tcPr>
            <w:tcW w:w="5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3,016</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37,638</w:t>
            </w:r>
          </w:p>
        </w:tc>
      </w:tr>
      <w:tr>
        <w:trPr/>
        <w:tc>
          <w:tcPr>
            <w:tcW w:w="319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10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112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45" w:type="dxa"/>
            <w:tcBorders/>
            <w:vAlign w:val="center"/>
          </w:tcPr>
          <w:p>
            <w:pPr>
              <w:pStyle w:val="TableContents"/>
              <w:bidi w:val="0"/>
              <w:spacing w:before="0" w:after="1"/>
              <w:ind w:left="0" w:right="0" w:hanging="0"/>
              <w:jc w:val="left"/>
              <w:rPr/>
            </w:pPr>
            <w:r>
              <w:rPr/>
              <w:t>​</w:t>
            </w:r>
          </w:p>
        </w:tc>
        <w:tc>
          <w:tcPr>
            <w:tcW w:w="14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r>
      <w:tr>
        <w:trPr/>
        <w:tc>
          <w:tcPr>
            <w:tcW w:w="319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0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w:t>
            </w:r>
          </w:p>
        </w:tc>
        <w:tc>
          <w:tcPr>
            <w:tcW w:w="112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45" w:type="dxa"/>
            <w:tcBorders/>
            <w:shd w:fill="CCEEFF" w:val="clear"/>
            <w:vAlign w:val="center"/>
          </w:tcPr>
          <w:p>
            <w:pPr>
              <w:pStyle w:val="TableContents"/>
              <w:bidi w:val="0"/>
              <w:spacing w:before="0" w:after="1"/>
              <w:ind w:left="0" w:right="0" w:hanging="0"/>
              <w:jc w:val="left"/>
              <w:rPr/>
            </w:pPr>
            <w:r>
              <w:rPr/>
              <w:t>​</w:t>
            </w:r>
          </w:p>
        </w:tc>
        <w:tc>
          <w:tcPr>
            <w:tcW w:w="14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r>
      <w:tr>
        <w:trPr/>
        <w:tc>
          <w:tcPr>
            <w:tcW w:w="31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46"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(10,178)</w:t>
            </w:r>
          </w:p>
        </w:tc>
        <w:tc>
          <w:tcPr>
            <w:tcW w:w="346" w:type="dxa"/>
            <w:tcBorders/>
            <w:vAlign w:val="center"/>
          </w:tcPr>
          <w:p>
            <w:pPr>
              <w:pStyle w:val="TableContents"/>
              <w:bidi w:val="0"/>
              <w:spacing w:before="0" w:after="1"/>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4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(10,178)</w:t>
            </w:r>
          </w:p>
        </w:tc>
      </w:tr>
      <w:tr>
        <w:trPr/>
        <w:tc>
          <w:tcPr>
            <w:tcW w:w="31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 Less Direct Costs of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23,197</w:t>
            </w:r>
          </w:p>
        </w:tc>
        <w:tc>
          <w:tcPr>
            <w:tcW w:w="34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1,247</w:t>
            </w:r>
          </w:p>
        </w:tc>
        <w:tc>
          <w:tcPr>
            <w:tcW w:w="346" w:type="dxa"/>
            <w:tcBorders/>
            <w:shd w:fill="CCEEFF" w:val="clear"/>
            <w:vAlign w:val="center"/>
          </w:tcPr>
          <w:p>
            <w:pPr>
              <w:pStyle w:val="TableContents"/>
              <w:bidi w:val="0"/>
              <w:spacing w:before="0" w:after="1"/>
              <w:ind w:left="0" w:right="0" w:hanging="0"/>
              <w:jc w:val="right"/>
              <w:rPr/>
            </w:pPr>
            <w:r>
              <w:rPr/>
              <w:t>​</w:t>
            </w:r>
          </w:p>
        </w:tc>
        <w:tc>
          <w:tcPr>
            <w:tcW w:w="5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3,016</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27,460</w:t>
            </w:r>
          </w:p>
        </w:tc>
      </w:tr>
      <w:tr>
        <w:trPr/>
        <w:tc>
          <w:tcPr>
            <w:tcW w:w="31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 Real Estate</w:t>
            </w:r>
          </w:p>
        </w:tc>
        <w:tc>
          <w:tcPr>
            <w:tcW w:w="346"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(15,277)</w:t>
            </w:r>
          </w:p>
        </w:tc>
        <w:tc>
          <w:tcPr>
            <w:tcW w:w="346" w:type="dxa"/>
            <w:tcBorders/>
            <w:vAlign w:val="center"/>
          </w:tcPr>
          <w:p>
            <w:pPr>
              <w:pStyle w:val="TableContents"/>
              <w:bidi w:val="0"/>
              <w:spacing w:before="0" w:after="1"/>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2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(15,277)</w:t>
            </w:r>
          </w:p>
        </w:tc>
      </w:tr>
      <w:tr>
        <w:trPr/>
        <w:tc>
          <w:tcPr>
            <w:tcW w:w="31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 Less Operating Expenses for Reportable Segments</w:t>
            </w:r>
          </w:p>
        </w:tc>
        <w:tc>
          <w:tcPr>
            <w:tcW w:w="346" w:type="dxa"/>
            <w:tcBorders/>
            <w:shd w:fill="CCEEFF" w:val="clear"/>
            <w:vAlign w:val="center"/>
          </w:tcPr>
          <w:p>
            <w:pPr>
              <w:pStyle w:val="TableContents"/>
              <w:bidi w:val="0"/>
              <w:spacing w:before="0" w:after="1"/>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7,920</w:t>
            </w:r>
          </w:p>
        </w:tc>
        <w:tc>
          <w:tcPr>
            <w:tcW w:w="346" w:type="dxa"/>
            <w:tcBorders/>
            <w:shd w:fill="CCEEFF" w:val="clear"/>
            <w:vAlign w:val="center"/>
          </w:tcPr>
          <w:p>
            <w:pPr>
              <w:pStyle w:val="TableContents"/>
              <w:bidi w:val="0"/>
              <w:spacing w:before="0" w:after="1"/>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1,247</w:t>
            </w:r>
          </w:p>
        </w:tc>
        <w:tc>
          <w:tcPr>
            <w:tcW w:w="346" w:type="dxa"/>
            <w:tcBorders/>
            <w:shd w:fill="CCEEFF" w:val="clear"/>
            <w:vAlign w:val="center"/>
          </w:tcPr>
          <w:p>
            <w:pPr>
              <w:pStyle w:val="TableContents"/>
              <w:bidi w:val="0"/>
              <w:spacing w:before="0" w:after="1"/>
              <w:ind w:left="0" w:right="0" w:hanging="0"/>
              <w:jc w:val="right"/>
              <w:rPr/>
            </w:pPr>
            <w:r>
              <w:rPr/>
              <w:t>​</w:t>
            </w:r>
          </w:p>
        </w:tc>
        <w:tc>
          <w:tcPr>
            <w:tcW w:w="5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3,016</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12,183</w:t>
            </w:r>
          </w:p>
        </w:tc>
      </w:tr>
      <w:tr>
        <w:trPr/>
        <w:tc>
          <w:tcPr>
            <w:tcW w:w="319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From Operations for Reportable Segments</w:t>
            </w:r>
          </w:p>
        </w:tc>
        <w:tc>
          <w:tcPr>
            <w:tcW w:w="34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7,920</w:t>
            </w:r>
          </w:p>
        </w:tc>
        <w:tc>
          <w:tcPr>
            <w:tcW w:w="34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1,247</w:t>
            </w:r>
          </w:p>
        </w:tc>
        <w:tc>
          <w:tcPr>
            <w:tcW w:w="346" w:type="dxa"/>
            <w:tcBorders/>
            <w:vAlign w:val="center"/>
          </w:tcPr>
          <w:p>
            <w:pPr>
              <w:pStyle w:val="TableContents"/>
              <w:bidi w:val="0"/>
              <w:spacing w:before="0" w:after="1"/>
              <w:ind w:left="0" w:right="0" w:hanging="0"/>
              <w:jc w:val="right"/>
              <w:rPr/>
            </w:pPr>
            <w:r>
              <w:rPr/>
              <w:t>​</w:t>
            </w:r>
          </w:p>
        </w:tc>
        <w:tc>
          <w:tcPr>
            <w:tcW w:w="5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3,016</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12,183</w:t>
            </w:r>
          </w:p>
        </w:tc>
      </w:tr>
      <w:tr>
        <w:trPr/>
        <w:tc>
          <w:tcPr>
            <w:tcW w:w="319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0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w:t>
            </w:r>
          </w:p>
        </w:tc>
        <w:tc>
          <w:tcPr>
            <w:tcW w:w="112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45" w:type="dxa"/>
            <w:tcBorders/>
            <w:shd w:fill="CCEEFF" w:val="clear"/>
            <w:vAlign w:val="center"/>
          </w:tcPr>
          <w:p>
            <w:pPr>
              <w:pStyle w:val="TableContents"/>
              <w:bidi w:val="0"/>
              <w:spacing w:before="0" w:after="1"/>
              <w:ind w:left="0" w:right="0" w:hanging="0"/>
              <w:jc w:val="left"/>
              <w:rPr/>
            </w:pPr>
            <w:r>
              <w:rPr/>
              <w:t>​</w:t>
            </w:r>
          </w:p>
        </w:tc>
        <w:tc>
          <w:tcPr>
            <w:tcW w:w="14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r>
      <w:tr>
        <w:trPr/>
        <w:tc>
          <w:tcPr>
            <w:tcW w:w="3190"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Reconciliation to Consolidated Net Loss</w:t>
            </w:r>
          </w:p>
        </w:tc>
        <w:tc>
          <w:tcPr>
            <w:tcW w:w="34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10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112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45" w:type="dxa"/>
            <w:tcBorders/>
            <w:vAlign w:val="center"/>
          </w:tcPr>
          <w:p>
            <w:pPr>
              <w:pStyle w:val="TableContents"/>
              <w:bidi w:val="0"/>
              <w:spacing w:before="0" w:after="1"/>
              <w:ind w:left="0" w:right="0" w:hanging="0"/>
              <w:jc w:val="left"/>
              <w:rPr/>
            </w:pPr>
            <w:r>
              <w:rPr/>
              <w:t>​</w:t>
            </w:r>
          </w:p>
        </w:tc>
        <w:tc>
          <w:tcPr>
            <w:tcW w:w="14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r>
      <w:tr>
        <w:trPr/>
        <w:tc>
          <w:tcPr>
            <w:tcW w:w="31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0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w:t>
            </w:r>
          </w:p>
        </w:tc>
        <w:tc>
          <w:tcPr>
            <w:tcW w:w="112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45" w:type="dxa"/>
            <w:tcBorders/>
            <w:shd w:fill="CCEEFF" w:val="clear"/>
            <w:vAlign w:val="center"/>
          </w:tcPr>
          <w:p>
            <w:pPr>
              <w:pStyle w:val="TableContents"/>
              <w:bidi w:val="0"/>
              <w:spacing w:before="0" w:after="1"/>
              <w:ind w:left="0" w:right="0" w:hanging="0"/>
              <w:jc w:val="left"/>
              <w:rPr/>
            </w:pPr>
            <w:r>
              <w:rPr/>
              <w:t>​</w:t>
            </w:r>
          </w:p>
        </w:tc>
        <w:tc>
          <w:tcPr>
            <w:tcW w:w="14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(4,448)</w:t>
            </w:r>
          </w:p>
        </w:tc>
      </w:tr>
      <w:tr>
        <w:trPr/>
        <w:tc>
          <w:tcPr>
            <w:tcW w:w="31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and Other Loss</w:t>
            </w:r>
          </w:p>
        </w:tc>
        <w:tc>
          <w:tcPr>
            <w:tcW w:w="34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10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112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45" w:type="dxa"/>
            <w:tcBorders/>
            <w:vAlign w:val="center"/>
          </w:tcPr>
          <w:p>
            <w:pPr>
              <w:pStyle w:val="TableContents"/>
              <w:bidi w:val="0"/>
              <w:spacing w:before="0" w:after="1"/>
              <w:ind w:left="0" w:right="0" w:hanging="0"/>
              <w:jc w:val="left"/>
              <w:rPr/>
            </w:pPr>
            <w:r>
              <w:rPr/>
              <w:t>​</w:t>
            </w:r>
          </w:p>
        </w:tc>
        <w:tc>
          <w:tcPr>
            <w:tcW w:w="14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(3,687)</w:t>
            </w:r>
          </w:p>
        </w:tc>
      </w:tr>
      <w:tr>
        <w:trPr/>
        <w:tc>
          <w:tcPr>
            <w:tcW w:w="31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0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w:t>
            </w:r>
          </w:p>
        </w:tc>
        <w:tc>
          <w:tcPr>
            <w:tcW w:w="112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45" w:type="dxa"/>
            <w:tcBorders/>
            <w:shd w:fill="CCEEFF" w:val="clear"/>
            <w:vAlign w:val="center"/>
          </w:tcPr>
          <w:p>
            <w:pPr>
              <w:pStyle w:val="TableContents"/>
              <w:bidi w:val="0"/>
              <w:spacing w:before="0" w:after="1"/>
              <w:ind w:left="0" w:right="0" w:hanging="0"/>
              <w:jc w:val="left"/>
              <w:rPr/>
            </w:pPr>
            <w:r>
              <w:rPr/>
              <w:t>​</w:t>
            </w:r>
          </w:p>
        </w:tc>
        <w:tc>
          <w:tcPr>
            <w:tcW w:w="14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(6,859)</w:t>
            </w:r>
          </w:p>
        </w:tc>
      </w:tr>
      <w:tr>
        <w:trPr/>
        <w:tc>
          <w:tcPr>
            <w:tcW w:w="31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4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10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112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45" w:type="dxa"/>
            <w:tcBorders/>
            <w:vAlign w:val="center"/>
          </w:tcPr>
          <w:p>
            <w:pPr>
              <w:pStyle w:val="TableContents"/>
              <w:bidi w:val="0"/>
              <w:spacing w:before="0" w:after="1"/>
              <w:ind w:left="0" w:right="0" w:hanging="0"/>
              <w:jc w:val="left"/>
              <w:rPr/>
            </w:pPr>
            <w:r>
              <w:rPr/>
              <w:t>​</w:t>
            </w:r>
          </w:p>
        </w:tc>
        <w:tc>
          <w:tcPr>
            <w:tcW w:w="14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(20,396)</w:t>
            </w:r>
          </w:p>
        </w:tc>
      </w:tr>
      <w:tr>
        <w:trPr/>
        <w:tc>
          <w:tcPr>
            <w:tcW w:w="31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 Other</w:t>
            </w:r>
          </w:p>
        </w:tc>
        <w:tc>
          <w:tcPr>
            <w:tcW w:w="34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0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w:t>
            </w:r>
          </w:p>
        </w:tc>
        <w:tc>
          <w:tcPr>
            <w:tcW w:w="112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45" w:type="dxa"/>
            <w:tcBorders/>
            <w:shd w:fill="CCEEFF" w:val="clear"/>
            <w:vAlign w:val="center"/>
          </w:tcPr>
          <w:p>
            <w:pPr>
              <w:pStyle w:val="TableContents"/>
              <w:bidi w:val="0"/>
              <w:spacing w:before="0" w:after="1"/>
              <w:ind w:left="0" w:right="0" w:hanging="0"/>
              <w:jc w:val="left"/>
              <w:rPr/>
            </w:pPr>
            <w:r>
              <w:rPr/>
              <w:t>​</w:t>
            </w:r>
          </w:p>
        </w:tc>
        <w:tc>
          <w:tcPr>
            <w:tcW w:w="14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1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Before Income Tax Expense</w:t>
            </w:r>
          </w:p>
        </w:tc>
        <w:tc>
          <w:tcPr>
            <w:tcW w:w="34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10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112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45" w:type="dxa"/>
            <w:tcBorders/>
            <w:vAlign w:val="center"/>
          </w:tcPr>
          <w:p>
            <w:pPr>
              <w:pStyle w:val="TableContents"/>
              <w:bidi w:val="0"/>
              <w:spacing w:before="0" w:after="1"/>
              <w:ind w:left="0" w:right="0" w:hanging="0"/>
              <w:jc w:val="left"/>
              <w:rPr/>
            </w:pPr>
            <w:r>
              <w:rPr/>
              <w:t>​</w:t>
            </w:r>
          </w:p>
        </w:tc>
        <w:tc>
          <w:tcPr>
            <w:tcW w:w="14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(23,224)</w:t>
            </w:r>
          </w:p>
        </w:tc>
      </w:tr>
      <w:tr>
        <w:trPr/>
        <w:tc>
          <w:tcPr>
            <w:tcW w:w="31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0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w:t>
            </w:r>
          </w:p>
        </w:tc>
        <w:tc>
          <w:tcPr>
            <w:tcW w:w="112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45" w:type="dxa"/>
            <w:tcBorders/>
            <w:shd w:fill="CCEEFF" w:val="clear"/>
            <w:vAlign w:val="center"/>
          </w:tcPr>
          <w:p>
            <w:pPr>
              <w:pStyle w:val="TableContents"/>
              <w:bidi w:val="0"/>
              <w:spacing w:before="0" w:after="1"/>
              <w:ind w:left="0" w:right="0" w:hanging="0"/>
              <w:jc w:val="left"/>
              <w:rPr/>
            </w:pPr>
            <w:r>
              <w:rPr/>
              <w:t>​</w:t>
            </w:r>
          </w:p>
        </w:tc>
        <w:tc>
          <w:tcPr>
            <w:tcW w:w="14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r>
      <w:tr>
        <w:trPr/>
        <w:tc>
          <w:tcPr>
            <w:tcW w:w="31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the Company</w:t>
            </w:r>
          </w:p>
        </w:tc>
        <w:tc>
          <w:tcPr>
            <w:tcW w:w="34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10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112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45" w:type="dxa"/>
            <w:tcBorders/>
            <w:vAlign w:val="center"/>
          </w:tcPr>
          <w:p>
            <w:pPr>
              <w:pStyle w:val="TableContents"/>
              <w:bidi w:val="0"/>
              <w:spacing w:before="0" w:after="1"/>
              <w:ind w:left="0" w:right="0" w:hanging="0"/>
              <w:jc w:val="left"/>
              <w:rPr/>
            </w:pPr>
            <w:r>
              <w:rPr/>
              <w:t>​</w:t>
            </w:r>
          </w:p>
        </w:tc>
        <w:tc>
          <w:tcPr>
            <w:tcW w:w="14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(23,418)</w:t>
            </w:r>
          </w:p>
        </w:tc>
      </w:tr>
    </w:tbl>
    <w:p>
      <w:pPr>
        <w:pStyle w:val="TextBody"/>
        <w:bidi w:val="0"/>
        <w:spacing w:before="0" w:after="240"/>
        <w:ind w:left="0" w:right="0" w:hanging="0"/>
        <w:jc w:val="both"/>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913" w:name="Tc_92GmlquBKUydJAd8kLAXbA_24_11"/>
      <w:bookmarkStart w:id="1914" w:name="Tc_kxP40gztKUqlTTFoGasdag_24_0"/>
      <w:bookmarkStart w:id="1915" w:name="Tc_DJg9PHKf30iGC7BbaSVJnQ_23_0"/>
      <w:bookmarkStart w:id="1916" w:name="Tc_8G4s19vEIUWw0sjZc24sMw_22_11"/>
      <w:bookmarkStart w:id="1917" w:name="Tc_WTBHcTn80ECQU76Axjargw_22_0"/>
      <w:bookmarkStart w:id="1918" w:name="Tc_t1ZB-9NWL062oxdRBo39XQ_21_0"/>
      <w:bookmarkStart w:id="1919" w:name="Tc_MgHPSu_gl0yOV5LY8vvBKQ_20_0"/>
      <w:bookmarkStart w:id="1920" w:name="Tc_5EmjQeEsDUmPSz8rR8Myog_19_0"/>
      <w:bookmarkStart w:id="1921" w:name="Tc_csLNg8ytAUSLDoSCa59JFg_18_0"/>
      <w:bookmarkStart w:id="1922" w:name="Tc_ApHn21LNoES0F9MDMJ0czA_17_0"/>
      <w:bookmarkStart w:id="1923" w:name="Tc_5pbbG-vFu0eR8p_zy55HxA_15_11"/>
      <w:bookmarkStart w:id="1924" w:name="Tc_NyhA-mbTC0eAL2-h18gMaQ_15_8"/>
      <w:bookmarkStart w:id="1925" w:name="Tc_tGv5gAjOnUOg0yIRAMOS6Q_15_5"/>
      <w:bookmarkStart w:id="1926" w:name="Tc_2s9mtVJKtUy52r5kq5iPSA_15_2"/>
      <w:bookmarkStart w:id="1927" w:name="Tc__IjVMmxKj0CBtZFBCQUODQ_15_0"/>
      <w:bookmarkStart w:id="1928" w:name="Tc_JlILuoAyWUyrEIZUEDWfIA_14_9"/>
      <w:bookmarkStart w:id="1929" w:name="Tc_4IcUDWaqh02uVz0z5cs53w_14_6"/>
      <w:bookmarkStart w:id="1930" w:name="Tc_M8ZxabtHsEqYUPuOWe6QuA_14_0"/>
      <w:bookmarkStart w:id="1931" w:name="Tc_u5gXMufun0qOEtPv0oKvfA_13_11"/>
      <w:bookmarkStart w:id="1932" w:name="Tc_ygYKYKC-RkOPjOgIe-Knxw_13_8"/>
      <w:bookmarkStart w:id="1933" w:name="Tc_1DBX6zZSQ0OgF37QMvGAqw_13_5"/>
      <w:bookmarkStart w:id="1934" w:name="Tc_F6KxXqsF4UavGtCNWRbDag_13_2"/>
      <w:bookmarkStart w:id="1935" w:name="Tc_7NjxgFs4XE-RaHu-idzVGw_13_0"/>
      <w:bookmarkStart w:id="1936" w:name="Tc_vvnaY1EJQEK0q1yiz8RzTg_12_9"/>
      <w:bookmarkStart w:id="1937" w:name="Tc_vvxLcOjJck6zYlbbnY2LPQ_12_6"/>
      <w:bookmarkStart w:id="1938" w:name="Tc_Ivc2zY3FVUK7efqRg35iGQ_12_0"/>
      <w:bookmarkStart w:id="1939" w:name="Tc_1DMKM_ULW0SZZTxII1Hfjg_11_6"/>
      <w:bookmarkStart w:id="1940" w:name="Tc_nrtooUHxcUKvI-YDCAcxvg_11_3"/>
      <w:bookmarkStart w:id="1941" w:name="Tc_f6tHZYMkkkOTHbwkf4z94w_11_0"/>
      <w:bookmarkStart w:id="1942" w:name="Tc_yqObBJfYKEen4KdVZUKYYA_10_11"/>
      <w:bookmarkStart w:id="1943" w:name="Tc_eh0xw6pl-kKd8yW44u-J1A_10_8"/>
      <w:bookmarkStart w:id="1944" w:name="Tc_WsZ-SyBoyU-h7hvEkY-uEg_10_5"/>
      <w:bookmarkStart w:id="1945" w:name="Tc_PxnnynPmwk-rfLzIzZSilQ_10_2"/>
      <w:bookmarkStart w:id="1946" w:name="Tc_TVYWjTGX0UexPqHcWfKoFw_10_0"/>
      <w:bookmarkStart w:id="1947" w:name="Tc_Ugryn135YUaD13uBhuk5ug_9_11"/>
      <w:bookmarkStart w:id="1948" w:name="Tc_0mHuo6NQWUmiiRL3FcBIbA_9_9"/>
      <w:bookmarkStart w:id="1949" w:name="Tc_lUu3R7M9Y0-yEFYYxfdEcQ_9_8"/>
      <w:bookmarkStart w:id="1950" w:name="Tc_6840jB4JJUyOA0Oca4nyfg_9_6"/>
      <w:bookmarkStart w:id="1951" w:name="Tc_dDpr1LT13k6YJNDg82juHg_9_5"/>
      <w:bookmarkStart w:id="1952" w:name="Tc_f93RGff5cUqsRiZqdkr6lg_9_2"/>
      <w:bookmarkStart w:id="1953" w:name="Tc_cPBm4k67VkqjI3ec9wO8Fg_9_0"/>
      <w:bookmarkStart w:id="1954" w:name="Tc_ROM-ipNkHUmda3RrYzS68A_8_0"/>
      <w:bookmarkStart w:id="1955" w:name="Tc_TgaU_1Ofe0658ZXzqyqXhg_6_11"/>
      <w:bookmarkStart w:id="1956" w:name="Tc_6GQYCFuw20O2nfhvqVV8oQ_6_8"/>
      <w:bookmarkStart w:id="1957" w:name="Tc_GRN3NRD2sUaC9NRtINRldw_6_5"/>
      <w:bookmarkStart w:id="1958" w:name="Tc_BtUrI-y8SUeRz1LvFMR-lQ_6_2"/>
      <w:bookmarkStart w:id="1959" w:name="Tc_po1qNylLhUutu1-gMQoAWw_6_0"/>
      <w:bookmarkStart w:id="1960" w:name="Tc_G3qPZFcoKUqZ1jkwnPbg-w_5_6"/>
      <w:bookmarkStart w:id="1961" w:name="Tc_PpL0HKFjK0eaplQNOQZKzg_5_3"/>
      <w:bookmarkStart w:id="1962" w:name="Tc_ajV40IzjHk-N2FlOJXaP1A_5_0"/>
      <w:bookmarkStart w:id="1963" w:name="Tc_ZG3MXHv5lkm7k4FBbvIdww_4_9"/>
      <w:bookmarkStart w:id="1964" w:name="Tc_bW9SuiI0kUuAV0J38R-lCA_4_3"/>
      <w:bookmarkStart w:id="1965" w:name="Tc_F4wmBa2xPkCwbE3HU92MNg_4_0"/>
      <w:bookmarkStart w:id="1966" w:name="Tc_RpX8whQvfkeA2-k3uhi3zg_3_11"/>
      <w:bookmarkStart w:id="1967" w:name="Tc_TeAVK3Cn9U2sEqfwz7gZbA_3_9"/>
      <w:bookmarkStart w:id="1968" w:name="Tc_UQ3mfg8aNkya5sCKGP20cw_3_8"/>
      <w:bookmarkStart w:id="1969" w:name="Tc_SsAPJx660UCWBAwYWdE9iw_3_6"/>
      <w:bookmarkStart w:id="1970" w:name="Tc_foE39hAad0KvSF8nonTHXQ_3_5"/>
      <w:bookmarkStart w:id="1971" w:name="Tc_wBbOoB0EUEehw4sHNQJgow_3_2"/>
      <w:bookmarkStart w:id="1972" w:name="Tc_xqxg1X6yhE2fRy8JjHAvIw_3_0"/>
      <w:bookmarkStart w:id="1973" w:name="Tc_7k07jmRHz0qKjdisSg_GtQ_2_0"/>
      <w:bookmarkStart w:id="1974" w:name="Tc_Dhn-Q-XT0US4RMBL9ImTtw_1_11"/>
      <w:bookmarkStart w:id="1975" w:name="Tc_i2SCQEzIHkeqcUe8zPfyVw_1_8"/>
      <w:bookmarkStart w:id="1976" w:name="Tc_yhQ4LYqXC06AVVeFInuTQA_1_5"/>
      <w:bookmarkStart w:id="1977" w:name="Tc_iIguSznC40OLxQrG8hRtcQ_1_2"/>
      <w:bookmarkStart w:id="1978" w:name="_5929938b_e8c2_4a63_a715_1d25e99fa4aa"/>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r>
        <w:rPr>
          <w:rFonts w:ascii="Times New Roman;Times;serif" w:hAnsi="Times New Roman;Times;serif"/>
          <w:sz w:val="20"/>
        </w:rPr>
        <w:t>Information about the Company’s operations in different segments for the six months ended June 30, 2026 is as follows (in thousands):</w:t>
      </w:r>
    </w:p>
    <w:tbl>
      <w:tblPr>
        <w:tblW w:w="10205" w:type="dxa"/>
        <w:jc w:val="left"/>
        <w:tblInd w:w="0" w:type="dxa"/>
        <w:tblLayout w:type="fixed"/>
        <w:tblCellMar>
          <w:top w:w="0" w:type="dxa"/>
          <w:left w:w="0" w:type="dxa"/>
          <w:bottom w:w="0" w:type="dxa"/>
          <w:right w:w="0" w:type="dxa"/>
        </w:tblCellMar>
      </w:tblPr>
      <w:tblGrid>
        <w:gridCol w:w="3167"/>
        <w:gridCol w:w="346"/>
        <w:gridCol w:w="271"/>
        <w:gridCol w:w="1015"/>
        <w:gridCol w:w="346"/>
        <w:gridCol w:w="416"/>
        <w:gridCol w:w="1128"/>
        <w:gridCol w:w="346"/>
        <w:gridCol w:w="548"/>
        <w:gridCol w:w="1491"/>
        <w:gridCol w:w="109"/>
        <w:gridCol w:w="211"/>
        <w:gridCol w:w="811"/>
      </w:tblGrid>
      <w:tr>
        <w:trPr/>
        <w:tc>
          <w:tcPr>
            <w:tcW w:w="316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19710" cy="175260"/>
                      <wp:effectExtent l="0" t="0" r="0" b="0"/>
                      <wp:wrapNone/>
                      <wp:docPr id="408" name="Frame4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72085" cy="175260"/>
                      <wp:effectExtent l="0" t="0" r="0" b="0"/>
                      <wp:wrapNone/>
                      <wp:docPr id="409" name="Frame40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4525" cy="175260"/>
                      <wp:effectExtent l="0" t="0" r="0" b="0"/>
                      <wp:wrapNone/>
                      <wp:docPr id="410" name="Frame410"/>
                      <a:graphic xmlns:a="http://schemas.openxmlformats.org/drawingml/2006/main">
                        <a:graphicData uri="http://schemas.microsoft.com/office/word/2010/wordprocessingShape">
                          <wps:wsp>
                            <wps:cNvSpPr txBox="1"/>
                            <wps:spPr>
                              <a:xfrm>
                                <a:off x="0" y="0"/>
                                <a:ext cx="644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19710" cy="175260"/>
                      <wp:effectExtent l="0" t="0" r="0" b="0"/>
                      <wp:wrapNone/>
                      <wp:docPr id="411" name="Frame4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64160" cy="175260"/>
                      <wp:effectExtent l="0" t="0" r="0" b="0"/>
                      <wp:wrapNone/>
                      <wp:docPr id="412" name="Frame412"/>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716280" cy="175260"/>
                      <wp:effectExtent l="0" t="0" r="0" b="0"/>
                      <wp:wrapNone/>
                      <wp:docPr id="413" name="Frame413"/>
                      <a:graphic xmlns:a="http://schemas.openxmlformats.org/drawingml/2006/main">
                        <a:graphicData uri="http://schemas.microsoft.com/office/word/2010/wordprocessingShape">
                          <wps:wsp>
                            <wps:cNvSpPr txBox="1"/>
                            <wps:spPr>
                              <a:xfrm>
                                <a:off x="0" y="0"/>
                                <a:ext cx="716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19710" cy="175260"/>
                      <wp:effectExtent l="0" t="0" r="0" b="0"/>
                      <wp:wrapNone/>
                      <wp:docPr id="414" name="Frame4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347980" cy="175260"/>
                      <wp:effectExtent l="0" t="0" r="0" b="0"/>
                      <wp:wrapNone/>
                      <wp:docPr id="415" name="Frame415"/>
                      <a:graphic xmlns:a="http://schemas.openxmlformats.org/drawingml/2006/main">
                        <a:graphicData uri="http://schemas.microsoft.com/office/word/2010/wordprocessingShape">
                          <wps:wsp>
                            <wps:cNvSpPr txBox="1"/>
                            <wps:spPr>
                              <a:xfrm>
                                <a:off x="0" y="0"/>
                                <a:ext cx="347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946785" cy="175260"/>
                      <wp:effectExtent l="0" t="0" r="0" b="0"/>
                      <wp:wrapNone/>
                      <wp:docPr id="416" name="Frame416"/>
                      <a:graphic xmlns:a="http://schemas.openxmlformats.org/drawingml/2006/main">
                        <a:graphicData uri="http://schemas.microsoft.com/office/word/2010/wordprocessingShape">
                          <wps:wsp>
                            <wps:cNvSpPr txBox="1"/>
                            <wps:spPr>
                              <a:xfrm>
                                <a:off x="0" y="0"/>
                                <a:ext cx="946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9215" cy="175260"/>
                      <wp:effectExtent l="0" t="0" r="0" b="0"/>
                      <wp:wrapNone/>
                      <wp:docPr id="417" name="Frame4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33985" cy="175260"/>
                      <wp:effectExtent l="0" t="0" r="0" b="0"/>
                      <wp:wrapNone/>
                      <wp:docPr id="418" name="Frame4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514985" cy="175260"/>
                      <wp:effectExtent l="0" t="0" r="0" b="0"/>
                      <wp:wrapNone/>
                      <wp:docPr id="419" name="Frame41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2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Income Properties</w:t>
            </w:r>
          </w:p>
        </w:tc>
        <w:tc>
          <w:tcPr>
            <w:tcW w:w="346" w:type="dxa"/>
            <w:tcBorders/>
            <w:vAlign w:val="center"/>
          </w:tcPr>
          <w:p>
            <w:pPr>
              <w:pStyle w:val="TableContents"/>
              <w:bidi w:val="0"/>
              <w:spacing w:before="0" w:after="1"/>
              <w:ind w:left="0" w:right="0" w:hanging="0"/>
              <w:jc w:val="center"/>
              <w:rPr/>
            </w:pPr>
            <w:r>
              <w:rPr/>
              <w:t>  ​ ​ ​</w:t>
            </w:r>
          </w:p>
        </w:tc>
        <w:tc>
          <w:tcPr>
            <w:tcW w:w="154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Management Services</w:t>
            </w:r>
          </w:p>
        </w:tc>
        <w:tc>
          <w:tcPr>
            <w:tcW w:w="346" w:type="dxa"/>
            <w:tcBorders/>
            <w:vAlign w:val="center"/>
          </w:tcPr>
          <w:p>
            <w:pPr>
              <w:pStyle w:val="TableContents"/>
              <w:bidi w:val="0"/>
              <w:spacing w:before="0" w:after="1"/>
              <w:ind w:left="0" w:right="0" w:hanging="0"/>
              <w:jc w:val="left"/>
              <w:rPr/>
            </w:pPr>
            <w:r>
              <w:rPr/>
              <w:t>  ​ ​ ​</w:t>
            </w:r>
          </w:p>
        </w:tc>
        <w:tc>
          <w:tcPr>
            <w:tcW w:w="20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Commercial Loans and Investments</w:t>
            </w:r>
          </w:p>
        </w:tc>
        <w:tc>
          <w:tcPr>
            <w:tcW w:w="109"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316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112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48" w:type="dxa"/>
            <w:tcBorders/>
            <w:shd w:fill="CCEEFF" w:val="clear"/>
            <w:vAlign w:val="center"/>
          </w:tcPr>
          <w:p>
            <w:pPr>
              <w:pStyle w:val="TableContents"/>
              <w:bidi w:val="0"/>
              <w:spacing w:before="0" w:after="1"/>
              <w:ind w:left="0" w:right="0" w:hanging="0"/>
              <w:jc w:val="left"/>
              <w:rPr/>
            </w:pPr>
            <w:r>
              <w:rPr/>
              <w:t>​</w:t>
            </w:r>
          </w:p>
        </w:tc>
        <w:tc>
          <w:tcPr>
            <w:tcW w:w="14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r>
      <w:tr>
        <w:trPr/>
        <w:tc>
          <w:tcPr>
            <w:tcW w:w="31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73,716</w:t>
            </w:r>
          </w:p>
        </w:tc>
        <w:tc>
          <w:tcPr>
            <w:tcW w:w="34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73,716</w:t>
            </w:r>
          </w:p>
        </w:tc>
      </w:tr>
      <w:tr>
        <w:trPr/>
        <w:tc>
          <w:tcPr>
            <w:tcW w:w="31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Management Fee Income </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11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2,815</w:t>
            </w:r>
          </w:p>
        </w:tc>
        <w:tc>
          <w:tcPr>
            <w:tcW w:w="346" w:type="dxa"/>
            <w:tcBorders/>
            <w:shd w:fill="CCEEFF" w:val="clear"/>
            <w:vAlign w:val="center"/>
          </w:tcPr>
          <w:p>
            <w:pPr>
              <w:pStyle w:val="TableContents"/>
              <w:bidi w:val="0"/>
              <w:spacing w:before="0" w:after="1"/>
              <w:ind w:left="0" w:right="0" w:hanging="0"/>
              <w:jc w:val="right"/>
              <w:rPr/>
            </w:pPr>
            <w:r>
              <w:rPr/>
              <w:t>​</w:t>
            </w:r>
          </w:p>
        </w:tc>
        <w:tc>
          <w:tcPr>
            <w:tcW w:w="548" w:type="dxa"/>
            <w:tcBorders/>
            <w:shd w:fill="CCEEFF" w:val="clear"/>
            <w:vAlign w:val="center"/>
          </w:tcPr>
          <w:p>
            <w:pPr>
              <w:pStyle w:val="TableContents"/>
              <w:bidi w:val="0"/>
              <w:spacing w:before="0" w:after="1"/>
              <w:ind w:left="0" w:right="0" w:hanging="0"/>
              <w:jc w:val="left"/>
              <w:rPr/>
            </w:pPr>
            <w:r>
              <w:rPr/>
              <w:t>​</w:t>
            </w:r>
          </w:p>
        </w:tc>
        <w:tc>
          <w:tcPr>
            <w:tcW w:w="14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2,815</w:t>
            </w:r>
          </w:p>
        </w:tc>
      </w:tr>
      <w:tr>
        <w:trPr/>
        <w:tc>
          <w:tcPr>
            <w:tcW w:w="31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46" w:type="dxa"/>
            <w:tcBorders/>
            <w:vAlign w:val="center"/>
          </w:tcPr>
          <w:p>
            <w:pPr>
              <w:pStyle w:val="TableContents"/>
              <w:bidi w:val="0"/>
              <w:spacing w:before="0" w:after="1"/>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2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8,473</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8,473</w:t>
            </w:r>
          </w:p>
        </w:tc>
      </w:tr>
      <w:tr>
        <w:trPr/>
        <w:tc>
          <w:tcPr>
            <w:tcW w:w="316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Revenues for Reportable Segments</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73,716</w:t>
            </w:r>
          </w:p>
        </w:tc>
        <w:tc>
          <w:tcPr>
            <w:tcW w:w="34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2,815</w:t>
            </w:r>
          </w:p>
        </w:tc>
        <w:tc>
          <w:tcPr>
            <w:tcW w:w="346" w:type="dxa"/>
            <w:tcBorders/>
            <w:shd w:fill="CCEEFF" w:val="clear"/>
            <w:vAlign w:val="center"/>
          </w:tcPr>
          <w:p>
            <w:pPr>
              <w:pStyle w:val="TableContents"/>
              <w:bidi w:val="0"/>
              <w:spacing w:before="0" w:after="1"/>
              <w:ind w:left="0" w:right="0" w:hanging="0"/>
              <w:jc w:val="right"/>
              <w:rPr/>
            </w:pPr>
            <w:r>
              <w:rPr/>
              <w:t>​</w:t>
            </w:r>
          </w:p>
        </w:tc>
        <w:tc>
          <w:tcPr>
            <w:tcW w:w="5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8,473</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85,004</w:t>
            </w:r>
          </w:p>
        </w:tc>
      </w:tr>
      <w:tr>
        <w:trPr/>
        <w:tc>
          <w:tcPr>
            <w:tcW w:w="316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0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w:t>
            </w:r>
          </w:p>
        </w:tc>
        <w:tc>
          <w:tcPr>
            <w:tcW w:w="112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48" w:type="dxa"/>
            <w:tcBorders/>
            <w:vAlign w:val="center"/>
          </w:tcPr>
          <w:p>
            <w:pPr>
              <w:pStyle w:val="TableContents"/>
              <w:bidi w:val="0"/>
              <w:spacing w:before="0" w:after="1"/>
              <w:ind w:left="0" w:right="0" w:hanging="0"/>
              <w:jc w:val="left"/>
              <w:rPr/>
            </w:pPr>
            <w:r>
              <w:rPr/>
              <w:t>​</w:t>
            </w:r>
          </w:p>
        </w:tc>
        <w:tc>
          <w:tcPr>
            <w:tcW w:w="14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r>
      <w:tr>
        <w:trPr/>
        <w:tc>
          <w:tcPr>
            <w:tcW w:w="316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112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48" w:type="dxa"/>
            <w:tcBorders/>
            <w:shd w:fill="CCEEFF" w:val="clear"/>
            <w:vAlign w:val="center"/>
          </w:tcPr>
          <w:p>
            <w:pPr>
              <w:pStyle w:val="TableContents"/>
              <w:bidi w:val="0"/>
              <w:spacing w:before="0" w:after="1"/>
              <w:ind w:left="0" w:right="0" w:hanging="0"/>
              <w:jc w:val="left"/>
              <w:rPr/>
            </w:pPr>
            <w:r>
              <w:rPr/>
              <w:t>​</w:t>
            </w:r>
          </w:p>
        </w:tc>
        <w:tc>
          <w:tcPr>
            <w:tcW w:w="14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r>
      <w:tr>
        <w:trPr/>
        <w:tc>
          <w:tcPr>
            <w:tcW w:w="31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46" w:type="dxa"/>
            <w:tcBorders/>
            <w:vAlign w:val="center"/>
          </w:tcPr>
          <w:p>
            <w:pPr>
              <w:pStyle w:val="TableContents"/>
              <w:bidi w:val="0"/>
              <w:spacing w:before="0" w:after="1"/>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(21,294)</w:t>
            </w:r>
          </w:p>
        </w:tc>
        <w:tc>
          <w:tcPr>
            <w:tcW w:w="346" w:type="dxa"/>
            <w:tcBorders/>
            <w:vAlign w:val="center"/>
          </w:tcPr>
          <w:p>
            <w:pPr>
              <w:pStyle w:val="TableContents"/>
              <w:bidi w:val="0"/>
              <w:spacing w:before="0" w:after="1"/>
              <w:ind w:left="0" w:right="0" w:hanging="0"/>
              <w:jc w:val="left"/>
              <w:rPr/>
            </w:pPr>
            <w:r>
              <w:rPr/>
              <w:t>​</w:t>
            </w:r>
          </w:p>
        </w:tc>
        <w:tc>
          <w:tcPr>
            <w:tcW w:w="4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4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(21,294)</w:t>
            </w:r>
          </w:p>
        </w:tc>
      </w:tr>
      <w:tr>
        <w:trPr/>
        <w:tc>
          <w:tcPr>
            <w:tcW w:w="31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 Less Direct Costs of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52,422</w:t>
            </w:r>
          </w:p>
        </w:tc>
        <w:tc>
          <w:tcPr>
            <w:tcW w:w="34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2,815</w:t>
            </w:r>
          </w:p>
        </w:tc>
        <w:tc>
          <w:tcPr>
            <w:tcW w:w="346" w:type="dxa"/>
            <w:tcBorders/>
            <w:shd w:fill="CCEEFF" w:val="clear"/>
            <w:vAlign w:val="center"/>
          </w:tcPr>
          <w:p>
            <w:pPr>
              <w:pStyle w:val="TableContents"/>
              <w:bidi w:val="0"/>
              <w:spacing w:before="0" w:after="1"/>
              <w:ind w:left="0" w:right="0" w:hanging="0"/>
              <w:jc w:val="right"/>
              <w:rPr/>
            </w:pPr>
            <w:r>
              <w:rPr/>
              <w:t>​</w:t>
            </w:r>
          </w:p>
        </w:tc>
        <w:tc>
          <w:tcPr>
            <w:tcW w:w="5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8,473</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63,710</w:t>
            </w:r>
          </w:p>
        </w:tc>
      </w:tr>
      <w:tr>
        <w:trPr/>
        <w:tc>
          <w:tcPr>
            <w:tcW w:w="31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Impairment and Adjustment to CECL Reserve</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0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w:t>
            </w:r>
          </w:p>
        </w:tc>
        <w:tc>
          <w:tcPr>
            <w:tcW w:w="112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48" w:type="dxa"/>
            <w:tcBorders/>
            <w:vAlign w:val="center"/>
          </w:tcPr>
          <w:p>
            <w:pPr>
              <w:pStyle w:val="TableContents"/>
              <w:bidi w:val="0"/>
              <w:spacing w:before="0" w:after="1"/>
              <w:ind w:left="0" w:right="0" w:hanging="0"/>
              <w:jc w:val="left"/>
              <w:rPr/>
            </w:pPr>
            <w:r>
              <w:rPr/>
              <w:t>​</w:t>
            </w:r>
          </w:p>
        </w:tc>
        <w:tc>
          <w:tcPr>
            <w:tcW w:w="14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(763)</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(763)</w:t>
            </w:r>
          </w:p>
        </w:tc>
      </w:tr>
      <w:tr>
        <w:trPr/>
        <w:tc>
          <w:tcPr>
            <w:tcW w:w="31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 Real Estate</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(31,769)</w:t>
            </w:r>
          </w:p>
        </w:tc>
        <w:tc>
          <w:tcPr>
            <w:tcW w:w="346" w:type="dxa"/>
            <w:tcBorders/>
            <w:shd w:fill="CCEEFF" w:val="clear"/>
            <w:vAlign w:val="center"/>
          </w:tcPr>
          <w:p>
            <w:pPr>
              <w:pStyle w:val="TableContents"/>
              <w:bidi w:val="0"/>
              <w:spacing w:before="0" w:after="1"/>
              <w:ind w:left="0" w:right="0" w:hanging="0"/>
              <w:jc w:val="left"/>
              <w:rPr/>
            </w:pPr>
            <w:r>
              <w:rPr/>
              <w:t>​</w:t>
            </w:r>
          </w:p>
        </w:tc>
        <w:tc>
          <w:tcPr>
            <w:tcW w:w="4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4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(31,769)</w:t>
            </w:r>
          </w:p>
        </w:tc>
      </w:tr>
      <w:tr>
        <w:trPr/>
        <w:tc>
          <w:tcPr>
            <w:tcW w:w="31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 Less Operating Expenses for Reportable Segments</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20,653</w:t>
            </w:r>
          </w:p>
        </w:tc>
        <w:tc>
          <w:tcPr>
            <w:tcW w:w="34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2,815</w:t>
            </w:r>
          </w:p>
        </w:tc>
        <w:tc>
          <w:tcPr>
            <w:tcW w:w="346" w:type="dxa"/>
            <w:tcBorders/>
            <w:vAlign w:val="center"/>
          </w:tcPr>
          <w:p>
            <w:pPr>
              <w:pStyle w:val="TableContents"/>
              <w:bidi w:val="0"/>
              <w:spacing w:before="0" w:after="1"/>
              <w:ind w:left="0" w:right="0" w:hanging="0"/>
              <w:jc w:val="right"/>
              <w:rPr/>
            </w:pPr>
            <w:r>
              <w:rPr/>
              <w:t>​</w:t>
            </w:r>
          </w:p>
        </w:tc>
        <w:tc>
          <w:tcPr>
            <w:tcW w:w="5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7,710</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31,178</w:t>
            </w:r>
          </w:p>
        </w:tc>
      </w:tr>
      <w:tr>
        <w:trPr/>
        <w:tc>
          <w:tcPr>
            <w:tcW w:w="31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2,107</w:t>
            </w:r>
          </w:p>
        </w:tc>
        <w:tc>
          <w:tcPr>
            <w:tcW w:w="346" w:type="dxa"/>
            <w:tcBorders/>
            <w:shd w:fill="CCEEFF" w:val="clear"/>
            <w:vAlign w:val="center"/>
          </w:tcPr>
          <w:p>
            <w:pPr>
              <w:pStyle w:val="TableContents"/>
              <w:bidi w:val="0"/>
              <w:spacing w:before="0" w:after="1"/>
              <w:ind w:left="0" w:right="0" w:hanging="0"/>
              <w:jc w:val="left"/>
              <w:rPr/>
            </w:pPr>
            <w:r>
              <w:rPr/>
              <w:t>​</w:t>
            </w:r>
          </w:p>
        </w:tc>
        <w:tc>
          <w:tcPr>
            <w:tcW w:w="4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4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2,107</w:t>
            </w:r>
          </w:p>
        </w:tc>
      </w:tr>
      <w:tr>
        <w:trPr/>
        <w:tc>
          <w:tcPr>
            <w:tcW w:w="316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From Operations for Reportable Segments</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22,760</w:t>
            </w:r>
          </w:p>
        </w:tc>
        <w:tc>
          <w:tcPr>
            <w:tcW w:w="34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2,815</w:t>
            </w:r>
          </w:p>
        </w:tc>
        <w:tc>
          <w:tcPr>
            <w:tcW w:w="346" w:type="dxa"/>
            <w:tcBorders/>
            <w:vAlign w:val="center"/>
          </w:tcPr>
          <w:p>
            <w:pPr>
              <w:pStyle w:val="TableContents"/>
              <w:bidi w:val="0"/>
              <w:spacing w:before="0" w:after="1"/>
              <w:ind w:left="0" w:right="0" w:hanging="0"/>
              <w:jc w:val="right"/>
              <w:rPr/>
            </w:pPr>
            <w:r>
              <w:rPr/>
              <w:t>​</w:t>
            </w:r>
          </w:p>
        </w:tc>
        <w:tc>
          <w:tcPr>
            <w:tcW w:w="5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7,710</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33,285</w:t>
            </w:r>
          </w:p>
        </w:tc>
      </w:tr>
      <w:tr>
        <w:trPr/>
        <w:tc>
          <w:tcPr>
            <w:tcW w:w="316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112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48" w:type="dxa"/>
            <w:tcBorders/>
            <w:shd w:fill="CCEEFF" w:val="clear"/>
            <w:vAlign w:val="center"/>
          </w:tcPr>
          <w:p>
            <w:pPr>
              <w:pStyle w:val="TableContents"/>
              <w:bidi w:val="0"/>
              <w:spacing w:before="0" w:after="1"/>
              <w:ind w:left="0" w:right="0" w:hanging="0"/>
              <w:jc w:val="left"/>
              <w:rPr/>
            </w:pPr>
            <w:r>
              <w:rPr/>
              <w:t>​</w:t>
            </w:r>
          </w:p>
        </w:tc>
        <w:tc>
          <w:tcPr>
            <w:tcW w:w="14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r>
      <w:tr>
        <w:trPr/>
        <w:tc>
          <w:tcPr>
            <w:tcW w:w="3167"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Reconciliation to Consolidated Net Income</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0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w:t>
            </w:r>
          </w:p>
        </w:tc>
        <w:tc>
          <w:tcPr>
            <w:tcW w:w="112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48" w:type="dxa"/>
            <w:tcBorders/>
            <w:vAlign w:val="center"/>
          </w:tcPr>
          <w:p>
            <w:pPr>
              <w:pStyle w:val="TableContents"/>
              <w:bidi w:val="0"/>
              <w:spacing w:before="0" w:after="1"/>
              <w:ind w:left="0" w:right="0" w:hanging="0"/>
              <w:jc w:val="left"/>
              <w:rPr/>
            </w:pPr>
            <w:r>
              <w:rPr/>
              <w:t>​</w:t>
            </w:r>
          </w:p>
        </w:tc>
        <w:tc>
          <w:tcPr>
            <w:tcW w:w="14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r>
      <w:tr>
        <w:trPr/>
        <w:tc>
          <w:tcPr>
            <w:tcW w:w="31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112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48" w:type="dxa"/>
            <w:tcBorders/>
            <w:shd w:fill="CCEEFF" w:val="clear"/>
            <w:vAlign w:val="center"/>
          </w:tcPr>
          <w:p>
            <w:pPr>
              <w:pStyle w:val="TableContents"/>
              <w:bidi w:val="0"/>
              <w:spacing w:before="0" w:after="1"/>
              <w:ind w:left="0" w:right="0" w:hanging="0"/>
              <w:jc w:val="left"/>
              <w:rPr/>
            </w:pPr>
            <w:r>
              <w:rPr/>
              <w:t>​</w:t>
            </w:r>
          </w:p>
        </w:tc>
        <w:tc>
          <w:tcPr>
            <w:tcW w:w="14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(9,707)</w:t>
            </w:r>
          </w:p>
        </w:tc>
      </w:tr>
      <w:tr>
        <w:trPr/>
        <w:tc>
          <w:tcPr>
            <w:tcW w:w="31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0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w:t>
            </w:r>
          </w:p>
        </w:tc>
        <w:tc>
          <w:tcPr>
            <w:tcW w:w="112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48" w:type="dxa"/>
            <w:tcBorders/>
            <w:vAlign w:val="center"/>
          </w:tcPr>
          <w:p>
            <w:pPr>
              <w:pStyle w:val="TableContents"/>
              <w:bidi w:val="0"/>
              <w:spacing w:before="0" w:after="1"/>
              <w:ind w:left="0" w:right="0" w:hanging="0"/>
              <w:jc w:val="left"/>
              <w:rPr/>
            </w:pPr>
            <w:r>
              <w:rPr/>
              <w:t>​</w:t>
            </w:r>
          </w:p>
        </w:tc>
        <w:tc>
          <w:tcPr>
            <w:tcW w:w="14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14,008</w:t>
            </w:r>
          </w:p>
        </w:tc>
      </w:tr>
      <w:tr>
        <w:trPr/>
        <w:tc>
          <w:tcPr>
            <w:tcW w:w="31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112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48" w:type="dxa"/>
            <w:tcBorders/>
            <w:shd w:fill="CCEEFF" w:val="clear"/>
            <w:vAlign w:val="center"/>
          </w:tcPr>
          <w:p>
            <w:pPr>
              <w:pStyle w:val="TableContents"/>
              <w:bidi w:val="0"/>
              <w:spacing w:before="0" w:after="1"/>
              <w:ind w:left="0" w:right="0" w:hanging="0"/>
              <w:jc w:val="left"/>
              <w:rPr/>
            </w:pPr>
            <w:r>
              <w:rPr/>
              <w:t>​</w:t>
            </w:r>
          </w:p>
        </w:tc>
        <w:tc>
          <w:tcPr>
            <w:tcW w:w="14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(15,054)</w:t>
            </w:r>
          </w:p>
        </w:tc>
      </w:tr>
      <w:tr>
        <w:trPr/>
        <w:tc>
          <w:tcPr>
            <w:tcW w:w="31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 Other</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0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w:t>
            </w:r>
          </w:p>
        </w:tc>
        <w:tc>
          <w:tcPr>
            <w:tcW w:w="112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48" w:type="dxa"/>
            <w:tcBorders/>
            <w:vAlign w:val="center"/>
          </w:tcPr>
          <w:p>
            <w:pPr>
              <w:pStyle w:val="TableContents"/>
              <w:bidi w:val="0"/>
              <w:spacing w:before="0" w:after="1"/>
              <w:ind w:left="0" w:right="0" w:hanging="0"/>
              <w:jc w:val="left"/>
              <w:rPr/>
            </w:pPr>
            <w:r>
              <w:rPr/>
              <w:t>​</w:t>
            </w:r>
          </w:p>
        </w:tc>
        <w:tc>
          <w:tcPr>
            <w:tcW w:w="14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31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Before 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112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48" w:type="dxa"/>
            <w:tcBorders/>
            <w:shd w:fill="CCEEFF" w:val="clear"/>
            <w:vAlign w:val="center"/>
          </w:tcPr>
          <w:p>
            <w:pPr>
              <w:pStyle w:val="TableContents"/>
              <w:bidi w:val="0"/>
              <w:spacing w:before="0" w:after="1"/>
              <w:ind w:left="0" w:right="0" w:hanging="0"/>
              <w:jc w:val="left"/>
              <w:rPr/>
            </w:pPr>
            <w:r>
              <w:rPr/>
              <w:t>​</w:t>
            </w:r>
          </w:p>
        </w:tc>
        <w:tc>
          <w:tcPr>
            <w:tcW w:w="14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22,498</w:t>
            </w:r>
          </w:p>
        </w:tc>
      </w:tr>
      <w:tr>
        <w:trPr/>
        <w:tc>
          <w:tcPr>
            <w:tcW w:w="31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0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w:t>
            </w:r>
          </w:p>
        </w:tc>
        <w:tc>
          <w:tcPr>
            <w:tcW w:w="112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48" w:type="dxa"/>
            <w:tcBorders/>
            <w:vAlign w:val="center"/>
          </w:tcPr>
          <w:p>
            <w:pPr>
              <w:pStyle w:val="TableContents"/>
              <w:bidi w:val="0"/>
              <w:spacing w:before="0" w:after="1"/>
              <w:ind w:left="0" w:right="0" w:hanging="0"/>
              <w:jc w:val="left"/>
              <w:rPr/>
            </w:pPr>
            <w:r>
              <w:rPr/>
              <w:t>​</w:t>
            </w:r>
          </w:p>
        </w:tc>
        <w:tc>
          <w:tcPr>
            <w:tcW w:w="14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(1,181)</w:t>
            </w:r>
          </w:p>
        </w:tc>
      </w:tr>
      <w:tr>
        <w:trPr/>
        <w:tc>
          <w:tcPr>
            <w:tcW w:w="31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the Company</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112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48" w:type="dxa"/>
            <w:tcBorders/>
            <w:shd w:fill="CCEEFF" w:val="clear"/>
            <w:vAlign w:val="center"/>
          </w:tcPr>
          <w:p>
            <w:pPr>
              <w:pStyle w:val="TableContents"/>
              <w:bidi w:val="0"/>
              <w:spacing w:before="0" w:after="1"/>
              <w:ind w:left="0" w:right="0" w:hanging="0"/>
              <w:jc w:val="left"/>
              <w:rPr/>
            </w:pPr>
            <w:r>
              <w:rPr/>
              <w:t>​</w:t>
            </w:r>
          </w:p>
        </w:tc>
        <w:tc>
          <w:tcPr>
            <w:tcW w:w="14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21,317</w:t>
            </w:r>
          </w:p>
        </w:tc>
      </w:tr>
    </w:tbl>
    <w:p>
      <w:pPr>
        <w:pStyle w:val="TextBody"/>
        <w:bidi w:val="0"/>
        <w:spacing w:before="0" w:after="240"/>
        <w:ind w:left="0" w:right="0" w:firstLine="360"/>
        <w:jc w:val="both"/>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979" w:name="Tc_htXcpAzyDEuaS5-VYcRQrg_7_11"/>
      <w:bookmarkStart w:id="1980" w:name="Tc_ej9qYiv6FkmZtZwj778ReQ_7_8"/>
      <w:bookmarkStart w:id="1981" w:name="Tc_TJACm-Q8IEypaskWIvjswA_7_5"/>
      <w:bookmarkStart w:id="1982" w:name="Tc_bzNJ-L4iRkS-skk-Hxavhg_7_2"/>
      <w:bookmarkStart w:id="1983" w:name="Tc_FdcPovoOMEusmT9gK1V3AQ_7_0"/>
      <w:bookmarkStart w:id="1984" w:name="Tc_zbOTsVcM3EyBugvrlx_z1Q_6_0"/>
      <w:bookmarkStart w:id="1985" w:name="Tc_-JHearvB00K4mMjPg9squQ_5_0"/>
      <w:bookmarkStart w:id="1986" w:name="Tc_zDkHHMeUm0uNeJXmS4eyOg_4_11"/>
      <w:bookmarkStart w:id="1987" w:name="Tc_lHi0CRGuHEG8cAo68rMQgQ_4_8"/>
      <w:bookmarkStart w:id="1988" w:name="Tc_Sg_7r72Q00egYqGAKLUZyQ_4_5"/>
      <w:bookmarkStart w:id="1989" w:name="Tc_vuua7CQHBUSewcW2-uuzgA_4_2"/>
      <w:bookmarkStart w:id="1990" w:name="Tc_OTUbgeC3lUi8JQ66oj3Fpw_4_0"/>
      <w:bookmarkStart w:id="1991" w:name="Tc_eMwPBaEX4EOnMlmUnVGW0A_3_0"/>
      <w:bookmarkStart w:id="1992" w:name="Tc_6GDFvMKd-UOo2e335h490A_2_11"/>
      <w:bookmarkStart w:id="1993" w:name="Tc_9IpkG55o606YtBKGxmUCYA_2_8"/>
      <w:bookmarkStart w:id="1994" w:name="Tc_eSNVcUKkHEeSyUCpxFETDw_2_5"/>
      <w:bookmarkStart w:id="1995" w:name="Tc_EQCm1i1RwE2_kDl-brt0EA_2_2"/>
      <w:bookmarkStart w:id="1996" w:name="Tc_TScDk9PibkO9A8c9tikiFg_1_8"/>
      <w:bookmarkStart w:id="1997" w:name="Tc_GbCE7uz9yk21dhaZolZzDQ_1_2"/>
      <w:bookmarkStart w:id="1998" w:name="_537f72a7_5893_4363_ba52_6c152e54fc53"/>
      <w:bookmarkStart w:id="1999" w:name="Tc_i0WKi7LgWUi68tngSCN4Ug_23_11"/>
      <w:bookmarkStart w:id="2000" w:name="Tc_KPcNGnXwT0GN768X6-_4hA_23_0"/>
      <w:bookmarkStart w:id="2001" w:name="Tc_3zWeiOa7r0mZAw62ll3y-w_22_0"/>
      <w:bookmarkStart w:id="2002" w:name="Tc__FJOvdI2EEqv_59Ad10P9A_21_11"/>
      <w:bookmarkStart w:id="2003" w:name="Tc_oZWhwNOX-E-yLVg0KjoluQ_21_0"/>
      <w:bookmarkStart w:id="2004" w:name="Tc_gOKr41cwUEqAXU-03NgrvA_20_0"/>
      <w:bookmarkStart w:id="2005" w:name="Tc_wtyMimR8tEe_gf5hkksBfg_19_0"/>
      <w:bookmarkStart w:id="2006" w:name="Tc_U_-7XXFyMka5boqZOKs5lQ_18_0"/>
      <w:bookmarkStart w:id="2007" w:name="Tc_h-PFvfHGpkG13pCS3b1H9Q_17_0"/>
      <w:bookmarkStart w:id="2008" w:name="Tc_D_hpKEbclEW_Jvheia7KoA_16_0"/>
      <w:bookmarkStart w:id="2009" w:name="Tc_UrhZMBFpP0mlzMzoSdKX-Q_15_0"/>
      <w:bookmarkStart w:id="2010" w:name="Tc_yS9bvxZFlU6AqfeQKfmUNQ_13_11"/>
      <w:bookmarkStart w:id="2011" w:name="Tc_OlN5hBmlck2aMQn9Cd25hg_13_8"/>
      <w:bookmarkStart w:id="2012" w:name="Tc_U8XvD-ve6k-nwS5QuZxxvA_13_5"/>
      <w:bookmarkStart w:id="2013" w:name="Tc_kK6kayabvk6b7R1m5gK1Vw_13_2"/>
      <w:bookmarkStart w:id="2014" w:name="Tc_VHPRcQgqV0apiYbpOdreZQ_13_0"/>
      <w:bookmarkStart w:id="2015" w:name="Tc_2ATVLI0E9UebL9jJCFycMw_12_11"/>
      <w:bookmarkStart w:id="2016" w:name="Tc_TpkrZ9z1Pk6KcWGPkk2PSQ_12_8"/>
      <w:bookmarkStart w:id="2017" w:name="Tc_vGFF_OSqNkW944w2CcRbqw_12_5"/>
      <w:bookmarkStart w:id="2018" w:name="Tc_xUnmuNpmrEyk8fERAILiqg_12_2"/>
      <w:bookmarkStart w:id="2019" w:name="Tc_tj7dZirQl0meoSku7xDatw_12_0"/>
      <w:bookmarkStart w:id="2020" w:name="Tc_0Bfx9H3p30WQJmT9hMWBlw_11_9"/>
      <w:bookmarkStart w:id="2021" w:name="Tc_H3XaE77r60CPzT3deIF8ZA_11_6"/>
      <w:bookmarkStart w:id="2022" w:name="Tc_lrQRtogc60a_SZlgAnY0JA_11_0"/>
      <w:bookmarkStart w:id="2023" w:name="Tc_tczp-wj9O0KSCTpslIze2Q_10_11"/>
      <w:bookmarkStart w:id="2024" w:name="Tc_mbSYiKF31kKP_K92PoSxCQ_10_8"/>
      <w:bookmarkStart w:id="2025" w:name="Tc_mySA8lB7jkqMqTnDimPjYg_10_5"/>
      <w:bookmarkStart w:id="2026" w:name="Tc_rUFzK19bMky0m0tPQDcyGQ_10_2"/>
      <w:bookmarkStart w:id="2027" w:name="Tc_9m0Q68v3REq4mJHZLMtmqw_10_0"/>
      <w:bookmarkStart w:id="2028" w:name="Tc_uVxlYGpOqkikDyKBsBt75Q_9_11"/>
      <w:bookmarkStart w:id="2029" w:name="Tc_ECSGtwmC2keuWIo3N_AHkw_9_9"/>
      <w:bookmarkStart w:id="2030" w:name="Tc_3W7Ae7WIZU6UJ-R5v31gng_9_8"/>
      <w:bookmarkStart w:id="2031" w:name="Tc_9SDGO6gnCk-c1oqL21C5Lg_9_6"/>
      <w:bookmarkStart w:id="2032" w:name="Tc_6ZXDHFZrL0WwlcubMpXj6A_9_5"/>
      <w:bookmarkStart w:id="2033" w:name="Tc_gKFZvp1_u0ahvxZydAg9dg_9_2"/>
      <w:bookmarkStart w:id="2034" w:name="Tc_eOdmeFEiK0et8Fm9DqjAhw_9_0"/>
      <w:bookmarkStart w:id="2035" w:name="Tc_ypJPoONMj0eKH_LQxRCtuQ_8_0"/>
      <w:bookmarkStart w:id="2036" w:name="Tc_5BSc3A4YX0G4XJLnkB8neQ_6_11"/>
      <w:bookmarkStart w:id="2037" w:name="Tc_Ohp_Aka0506Qnm_wVcQWwA_6_8"/>
      <w:bookmarkStart w:id="2038" w:name="Tc_X2sMgMslgEWpdjWTY_84kw_6_5"/>
      <w:bookmarkStart w:id="2039" w:name="Tc_37Ta6DtYdEaim-gpwv8QEg_6_2"/>
      <w:bookmarkStart w:id="2040" w:name="Tc_ypdJnu5eP0Kg7UPKa1y_-A_6_0"/>
      <w:bookmarkStart w:id="2041" w:name="Tc_5ZGbV9WQfkOYj2uyjY9ADA_5_6"/>
      <w:bookmarkStart w:id="2042" w:name="Tc_lDECHKzZa0WeEVs2vqRtVg_5_3"/>
      <w:bookmarkStart w:id="2043" w:name="Tc_MfzEELJQdkqZ0g0zt1dGhA_5_0"/>
      <w:bookmarkStart w:id="2044" w:name="Tc_7M6ncZD17EC79i_3Me5Fow_4_9"/>
      <w:bookmarkStart w:id="2045" w:name="Tc_4JryA0Mh5U6L8agwC0c6Vw_4_3"/>
      <w:bookmarkStart w:id="2046" w:name="Tc_XqebBdqzEkudzYqdZo8dlw_4_0"/>
      <w:bookmarkStart w:id="2047" w:name="Tc_FnGkfY0PGkmEy1FOSIZV3A_3_11"/>
      <w:bookmarkStart w:id="2048" w:name="Tc_DitF4U0Cx0mTm0fw8gh6sw_3_9"/>
      <w:bookmarkStart w:id="2049" w:name="Tc_THtSMnP5QEKsMbtTlXAQog_3_8"/>
      <w:bookmarkStart w:id="2050" w:name="Tc_iPYdssJwX0u-oQyadJOZ6A_3_6"/>
      <w:bookmarkStart w:id="2051" w:name="Tc_cpJfDmaVLkyrWvW__o8_jA_3_5"/>
      <w:bookmarkStart w:id="2052" w:name="Tc_ctriRD-fU0KJkS7Q_lPMHg_3_2"/>
      <w:bookmarkStart w:id="2053" w:name="Tc_fii75dGGcUWO8Hj7HWAXng_3_0"/>
      <w:bookmarkStart w:id="2054" w:name="Tc_BfiPL3Cq8Uy-I6Vv7BdeoA_2_0"/>
      <w:bookmarkStart w:id="2055" w:name="Tc_luNH3xbmkkKBimXqoRSNdw_1_11"/>
      <w:bookmarkStart w:id="2056" w:name="Tc_92Xkt5di0UCr2i-T24AgJQ_1_8"/>
      <w:bookmarkStart w:id="2057" w:name="Tc_bPj1AapgTUyH86BtyxoU7g_1_5"/>
      <w:bookmarkStart w:id="2058" w:name="Tc_Kf6mmDxC7kqwlRgRixBRBA_1_2"/>
      <w:bookmarkStart w:id="2059" w:name="_0bf51e11_6454_432e_ad91_54b3349c1f30"/>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r>
        <w:rPr>
          <w:rFonts w:ascii="Times New Roman;Times;serif" w:hAnsi="Times New Roman;Times;serif"/>
          <w:sz w:val="20"/>
        </w:rPr>
        <w:t>Information about the Company’s operations in different segments for the six months ended June 30, 2025 is as follows (in thousands):</w:t>
      </w:r>
    </w:p>
    <w:tbl>
      <w:tblPr>
        <w:tblW w:w="10205" w:type="dxa"/>
        <w:jc w:val="left"/>
        <w:tblInd w:w="0" w:type="dxa"/>
        <w:tblLayout w:type="fixed"/>
        <w:tblCellMar>
          <w:top w:w="0" w:type="dxa"/>
          <w:left w:w="0" w:type="dxa"/>
          <w:bottom w:w="0" w:type="dxa"/>
          <w:right w:w="0" w:type="dxa"/>
        </w:tblCellMar>
      </w:tblPr>
      <w:tblGrid>
        <w:gridCol w:w="3190"/>
        <w:gridCol w:w="346"/>
        <w:gridCol w:w="270"/>
        <w:gridCol w:w="1011"/>
        <w:gridCol w:w="346"/>
        <w:gridCol w:w="415"/>
        <w:gridCol w:w="1124"/>
        <w:gridCol w:w="346"/>
        <w:gridCol w:w="545"/>
        <w:gridCol w:w="1481"/>
        <w:gridCol w:w="109"/>
        <w:gridCol w:w="211"/>
        <w:gridCol w:w="811"/>
      </w:tblGrid>
      <w:tr>
        <w:trPr/>
        <w:tc>
          <w:tcPr>
            <w:tcW w:w="319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19710" cy="175260"/>
                      <wp:effectExtent l="0" t="0" r="0" b="0"/>
                      <wp:wrapNone/>
                      <wp:docPr id="420" name="Frame4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71450" cy="175260"/>
                      <wp:effectExtent l="0" t="0" r="0" b="0"/>
                      <wp:wrapNone/>
                      <wp:docPr id="421" name="Frame421"/>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1985" cy="175260"/>
                      <wp:effectExtent l="0" t="0" r="0" b="0"/>
                      <wp:wrapNone/>
                      <wp:docPr id="422" name="Frame422"/>
                      <a:graphic xmlns:a="http://schemas.openxmlformats.org/drawingml/2006/main">
                        <a:graphicData uri="http://schemas.microsoft.com/office/word/2010/wordprocessingShape">
                          <wps:wsp>
                            <wps:cNvSpPr txBox="1"/>
                            <wps:spPr>
                              <a:xfrm>
                                <a:off x="0" y="0"/>
                                <a:ext cx="641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19710" cy="175260"/>
                      <wp:effectExtent l="0" t="0" r="0" b="0"/>
                      <wp:wrapNone/>
                      <wp:docPr id="423" name="Frame4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63525" cy="175260"/>
                      <wp:effectExtent l="0" t="0" r="0" b="0"/>
                      <wp:wrapNone/>
                      <wp:docPr id="424" name="Frame424"/>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713740" cy="175260"/>
                      <wp:effectExtent l="0" t="0" r="0" b="0"/>
                      <wp:wrapNone/>
                      <wp:docPr id="425" name="Frame425"/>
                      <a:graphic xmlns:a="http://schemas.openxmlformats.org/drawingml/2006/main">
                        <a:graphicData uri="http://schemas.microsoft.com/office/word/2010/wordprocessingShape">
                          <wps:wsp>
                            <wps:cNvSpPr txBox="1"/>
                            <wps:spPr>
                              <a:xfrm>
                                <a:off x="0" y="0"/>
                                <a:ext cx="713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19710" cy="175260"/>
                      <wp:effectExtent l="0" t="0" r="0" b="0"/>
                      <wp:wrapNone/>
                      <wp:docPr id="426" name="Frame4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346075" cy="175260"/>
                      <wp:effectExtent l="0" t="0" r="0" b="0"/>
                      <wp:wrapNone/>
                      <wp:docPr id="427" name="Frame427"/>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940435" cy="175260"/>
                      <wp:effectExtent l="0" t="0" r="0" b="0"/>
                      <wp:wrapNone/>
                      <wp:docPr id="428" name="Frame428"/>
                      <a:graphic xmlns:a="http://schemas.openxmlformats.org/drawingml/2006/main">
                        <a:graphicData uri="http://schemas.microsoft.com/office/word/2010/wordprocessingShape">
                          <wps:wsp>
                            <wps:cNvSpPr txBox="1"/>
                            <wps:spPr>
                              <a:xfrm>
                                <a:off x="0" y="0"/>
                                <a:ext cx="940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9215" cy="175260"/>
                      <wp:effectExtent l="0" t="0" r="0" b="0"/>
                      <wp:wrapNone/>
                      <wp:docPr id="429" name="Frame4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33985" cy="175260"/>
                      <wp:effectExtent l="0" t="0" r="0" b="0"/>
                      <wp:wrapNone/>
                      <wp:docPr id="430" name="Frame4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514985" cy="175260"/>
                      <wp:effectExtent l="0" t="0" r="0" b="0"/>
                      <wp:wrapNone/>
                      <wp:docPr id="431" name="Frame43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9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2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Income Properties</w:t>
            </w:r>
          </w:p>
        </w:tc>
        <w:tc>
          <w:tcPr>
            <w:tcW w:w="346" w:type="dxa"/>
            <w:tcBorders/>
            <w:vAlign w:val="center"/>
          </w:tcPr>
          <w:p>
            <w:pPr>
              <w:pStyle w:val="TableContents"/>
              <w:bidi w:val="0"/>
              <w:spacing w:before="0" w:after="1"/>
              <w:ind w:left="0" w:right="0" w:hanging="0"/>
              <w:jc w:val="center"/>
              <w:rPr/>
            </w:pPr>
            <w:r>
              <w:rPr/>
              <w:t>  ​ ​ ​</w:t>
            </w:r>
          </w:p>
        </w:tc>
        <w:tc>
          <w:tcPr>
            <w:tcW w:w="15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Management Services</w:t>
            </w:r>
          </w:p>
        </w:tc>
        <w:tc>
          <w:tcPr>
            <w:tcW w:w="346" w:type="dxa"/>
            <w:tcBorders/>
            <w:vAlign w:val="center"/>
          </w:tcPr>
          <w:p>
            <w:pPr>
              <w:pStyle w:val="TableContents"/>
              <w:bidi w:val="0"/>
              <w:spacing w:before="0" w:after="1"/>
              <w:ind w:left="0" w:right="0" w:hanging="0"/>
              <w:jc w:val="left"/>
              <w:rPr/>
            </w:pPr>
            <w:r>
              <w:rPr/>
              <w:t>  ​ ​ ​</w:t>
            </w:r>
          </w:p>
        </w:tc>
        <w:tc>
          <w:tcPr>
            <w:tcW w:w="20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Commercial Loans and Investments</w:t>
            </w:r>
          </w:p>
        </w:tc>
        <w:tc>
          <w:tcPr>
            <w:tcW w:w="109"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319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0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w:t>
            </w:r>
          </w:p>
        </w:tc>
        <w:tc>
          <w:tcPr>
            <w:tcW w:w="112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45" w:type="dxa"/>
            <w:tcBorders/>
            <w:shd w:fill="CCEEFF" w:val="clear"/>
            <w:vAlign w:val="center"/>
          </w:tcPr>
          <w:p>
            <w:pPr>
              <w:pStyle w:val="TableContents"/>
              <w:bidi w:val="0"/>
              <w:spacing w:before="0" w:after="1"/>
              <w:ind w:left="0" w:right="0" w:hanging="0"/>
              <w:jc w:val="left"/>
              <w:rPr/>
            </w:pPr>
            <w:r>
              <w:rPr/>
              <w:t>​</w:t>
            </w:r>
          </w:p>
        </w:tc>
        <w:tc>
          <w:tcPr>
            <w:tcW w:w="14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r>
      <w:tr>
        <w:trPr/>
        <w:tc>
          <w:tcPr>
            <w:tcW w:w="31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4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65,047</w:t>
            </w:r>
          </w:p>
        </w:tc>
        <w:tc>
          <w:tcPr>
            <w:tcW w:w="34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65,047</w:t>
            </w:r>
          </w:p>
        </w:tc>
      </w:tr>
      <w:tr>
        <w:trPr/>
        <w:tc>
          <w:tcPr>
            <w:tcW w:w="31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Management Fee Income </w:t>
            </w:r>
          </w:p>
        </w:tc>
        <w:tc>
          <w:tcPr>
            <w:tcW w:w="34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0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w:t>
            </w:r>
          </w:p>
        </w:tc>
        <w:tc>
          <w:tcPr>
            <w:tcW w:w="11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2,425</w:t>
            </w:r>
          </w:p>
        </w:tc>
        <w:tc>
          <w:tcPr>
            <w:tcW w:w="346" w:type="dxa"/>
            <w:tcBorders/>
            <w:shd w:fill="CCEEFF" w:val="clear"/>
            <w:vAlign w:val="center"/>
          </w:tcPr>
          <w:p>
            <w:pPr>
              <w:pStyle w:val="TableContents"/>
              <w:bidi w:val="0"/>
              <w:spacing w:before="0" w:after="1"/>
              <w:ind w:left="0" w:right="0" w:hanging="0"/>
              <w:jc w:val="right"/>
              <w:rPr/>
            </w:pPr>
            <w:r>
              <w:rPr/>
              <w:t>​</w:t>
            </w:r>
          </w:p>
        </w:tc>
        <w:tc>
          <w:tcPr>
            <w:tcW w:w="545" w:type="dxa"/>
            <w:tcBorders/>
            <w:shd w:fill="CCEEFF" w:val="clear"/>
            <w:vAlign w:val="center"/>
          </w:tcPr>
          <w:p>
            <w:pPr>
              <w:pStyle w:val="TableContents"/>
              <w:bidi w:val="0"/>
              <w:spacing w:before="0" w:after="1"/>
              <w:ind w:left="0" w:right="0" w:hanging="0"/>
              <w:jc w:val="left"/>
              <w:rPr/>
            </w:pPr>
            <w:r>
              <w:rPr/>
              <w:t>​</w:t>
            </w:r>
          </w:p>
        </w:tc>
        <w:tc>
          <w:tcPr>
            <w:tcW w:w="14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2,425</w:t>
            </w:r>
          </w:p>
        </w:tc>
      </w:tr>
      <w:tr>
        <w:trPr/>
        <w:tc>
          <w:tcPr>
            <w:tcW w:w="31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46"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2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5,977</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5,977</w:t>
            </w:r>
          </w:p>
        </w:tc>
      </w:tr>
      <w:tr>
        <w:trPr/>
        <w:tc>
          <w:tcPr>
            <w:tcW w:w="319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Revenues for Reportable Segments</w:t>
            </w:r>
          </w:p>
        </w:tc>
        <w:tc>
          <w:tcPr>
            <w:tcW w:w="34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65,047</w:t>
            </w:r>
          </w:p>
        </w:tc>
        <w:tc>
          <w:tcPr>
            <w:tcW w:w="34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2,425</w:t>
            </w:r>
          </w:p>
        </w:tc>
        <w:tc>
          <w:tcPr>
            <w:tcW w:w="346" w:type="dxa"/>
            <w:tcBorders/>
            <w:shd w:fill="CCEEFF" w:val="clear"/>
            <w:vAlign w:val="center"/>
          </w:tcPr>
          <w:p>
            <w:pPr>
              <w:pStyle w:val="TableContents"/>
              <w:bidi w:val="0"/>
              <w:spacing w:before="0" w:after="1"/>
              <w:ind w:left="0" w:right="0" w:hanging="0"/>
              <w:jc w:val="right"/>
              <w:rPr/>
            </w:pPr>
            <w:r>
              <w:rPr/>
              <w:t>​</w:t>
            </w:r>
          </w:p>
        </w:tc>
        <w:tc>
          <w:tcPr>
            <w:tcW w:w="5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5,977</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73,449</w:t>
            </w:r>
          </w:p>
        </w:tc>
      </w:tr>
      <w:tr>
        <w:trPr/>
        <w:tc>
          <w:tcPr>
            <w:tcW w:w="319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10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112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45" w:type="dxa"/>
            <w:tcBorders/>
            <w:vAlign w:val="center"/>
          </w:tcPr>
          <w:p>
            <w:pPr>
              <w:pStyle w:val="TableContents"/>
              <w:bidi w:val="0"/>
              <w:spacing w:before="0" w:after="1"/>
              <w:ind w:left="0" w:right="0" w:hanging="0"/>
              <w:jc w:val="left"/>
              <w:rPr/>
            </w:pPr>
            <w:r>
              <w:rPr/>
              <w:t>​</w:t>
            </w:r>
          </w:p>
        </w:tc>
        <w:tc>
          <w:tcPr>
            <w:tcW w:w="14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r>
      <w:tr>
        <w:trPr/>
        <w:tc>
          <w:tcPr>
            <w:tcW w:w="319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0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w:t>
            </w:r>
          </w:p>
        </w:tc>
        <w:tc>
          <w:tcPr>
            <w:tcW w:w="112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45" w:type="dxa"/>
            <w:tcBorders/>
            <w:shd w:fill="CCEEFF" w:val="clear"/>
            <w:vAlign w:val="center"/>
          </w:tcPr>
          <w:p>
            <w:pPr>
              <w:pStyle w:val="TableContents"/>
              <w:bidi w:val="0"/>
              <w:spacing w:before="0" w:after="1"/>
              <w:ind w:left="0" w:right="0" w:hanging="0"/>
              <w:jc w:val="left"/>
              <w:rPr/>
            </w:pPr>
            <w:r>
              <w:rPr/>
              <w:t>​</w:t>
            </w:r>
          </w:p>
        </w:tc>
        <w:tc>
          <w:tcPr>
            <w:tcW w:w="14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r>
      <w:tr>
        <w:trPr/>
        <w:tc>
          <w:tcPr>
            <w:tcW w:w="31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46"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(19,069)</w:t>
            </w:r>
          </w:p>
        </w:tc>
        <w:tc>
          <w:tcPr>
            <w:tcW w:w="346" w:type="dxa"/>
            <w:tcBorders/>
            <w:vAlign w:val="center"/>
          </w:tcPr>
          <w:p>
            <w:pPr>
              <w:pStyle w:val="TableContents"/>
              <w:bidi w:val="0"/>
              <w:spacing w:before="0" w:after="1"/>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4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(19,069)</w:t>
            </w:r>
          </w:p>
        </w:tc>
      </w:tr>
      <w:tr>
        <w:trPr/>
        <w:tc>
          <w:tcPr>
            <w:tcW w:w="31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 Less Direct Costs of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45,978</w:t>
            </w:r>
          </w:p>
        </w:tc>
        <w:tc>
          <w:tcPr>
            <w:tcW w:w="34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2,425</w:t>
            </w:r>
          </w:p>
        </w:tc>
        <w:tc>
          <w:tcPr>
            <w:tcW w:w="346" w:type="dxa"/>
            <w:tcBorders/>
            <w:shd w:fill="CCEEFF" w:val="clear"/>
            <w:vAlign w:val="center"/>
          </w:tcPr>
          <w:p>
            <w:pPr>
              <w:pStyle w:val="TableContents"/>
              <w:bidi w:val="0"/>
              <w:spacing w:before="0" w:after="1"/>
              <w:ind w:left="0" w:right="0" w:hanging="0"/>
              <w:jc w:val="right"/>
              <w:rPr/>
            </w:pPr>
            <w:r>
              <w:rPr/>
              <w:t>​</w:t>
            </w:r>
          </w:p>
        </w:tc>
        <w:tc>
          <w:tcPr>
            <w:tcW w:w="5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5,977</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54,380</w:t>
            </w:r>
          </w:p>
        </w:tc>
      </w:tr>
      <w:tr>
        <w:trPr/>
        <w:tc>
          <w:tcPr>
            <w:tcW w:w="31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 Real Estate</w:t>
            </w:r>
          </w:p>
        </w:tc>
        <w:tc>
          <w:tcPr>
            <w:tcW w:w="346"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(29,623)</w:t>
            </w:r>
          </w:p>
        </w:tc>
        <w:tc>
          <w:tcPr>
            <w:tcW w:w="346" w:type="dxa"/>
            <w:tcBorders/>
            <w:vAlign w:val="center"/>
          </w:tcPr>
          <w:p>
            <w:pPr>
              <w:pStyle w:val="TableContents"/>
              <w:bidi w:val="0"/>
              <w:spacing w:before="0" w:after="1"/>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2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(29,623)</w:t>
            </w:r>
          </w:p>
        </w:tc>
      </w:tr>
      <w:tr>
        <w:trPr/>
        <w:tc>
          <w:tcPr>
            <w:tcW w:w="31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 Less Operating Expenses for Reportable Segments</w:t>
            </w:r>
          </w:p>
        </w:tc>
        <w:tc>
          <w:tcPr>
            <w:tcW w:w="346" w:type="dxa"/>
            <w:tcBorders/>
            <w:shd w:fill="CCEEFF" w:val="clear"/>
            <w:vAlign w:val="center"/>
          </w:tcPr>
          <w:p>
            <w:pPr>
              <w:pStyle w:val="TableContents"/>
              <w:bidi w:val="0"/>
              <w:spacing w:before="0" w:after="1"/>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16,355</w:t>
            </w:r>
          </w:p>
        </w:tc>
        <w:tc>
          <w:tcPr>
            <w:tcW w:w="346" w:type="dxa"/>
            <w:tcBorders/>
            <w:shd w:fill="CCEEFF" w:val="clear"/>
            <w:vAlign w:val="center"/>
          </w:tcPr>
          <w:p>
            <w:pPr>
              <w:pStyle w:val="TableContents"/>
              <w:bidi w:val="0"/>
              <w:spacing w:before="0" w:after="1"/>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2,425</w:t>
            </w:r>
          </w:p>
        </w:tc>
        <w:tc>
          <w:tcPr>
            <w:tcW w:w="346" w:type="dxa"/>
            <w:tcBorders/>
            <w:shd w:fill="CCEEFF" w:val="clear"/>
            <w:vAlign w:val="center"/>
          </w:tcPr>
          <w:p>
            <w:pPr>
              <w:pStyle w:val="TableContents"/>
              <w:bidi w:val="0"/>
              <w:spacing w:before="0" w:after="1"/>
              <w:ind w:left="0" w:right="0" w:hanging="0"/>
              <w:jc w:val="right"/>
              <w:rPr/>
            </w:pPr>
            <w:r>
              <w:rPr/>
              <w:t>​</w:t>
            </w:r>
          </w:p>
        </w:tc>
        <w:tc>
          <w:tcPr>
            <w:tcW w:w="5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5,977</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24,757</w:t>
            </w:r>
          </w:p>
        </w:tc>
      </w:tr>
      <w:tr>
        <w:trPr/>
        <w:tc>
          <w:tcPr>
            <w:tcW w:w="319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From Operations for Reportable Segments</w:t>
            </w:r>
          </w:p>
        </w:tc>
        <w:tc>
          <w:tcPr>
            <w:tcW w:w="34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16,355</w:t>
            </w:r>
          </w:p>
        </w:tc>
        <w:tc>
          <w:tcPr>
            <w:tcW w:w="34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2,425</w:t>
            </w:r>
          </w:p>
        </w:tc>
        <w:tc>
          <w:tcPr>
            <w:tcW w:w="346" w:type="dxa"/>
            <w:tcBorders/>
            <w:vAlign w:val="center"/>
          </w:tcPr>
          <w:p>
            <w:pPr>
              <w:pStyle w:val="TableContents"/>
              <w:bidi w:val="0"/>
              <w:spacing w:before="0" w:after="1"/>
              <w:ind w:left="0" w:right="0" w:hanging="0"/>
              <w:jc w:val="right"/>
              <w:rPr/>
            </w:pPr>
            <w:r>
              <w:rPr/>
              <w:t>​</w:t>
            </w:r>
          </w:p>
        </w:tc>
        <w:tc>
          <w:tcPr>
            <w:tcW w:w="5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5,977</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24,757</w:t>
            </w:r>
          </w:p>
        </w:tc>
      </w:tr>
      <w:tr>
        <w:trPr/>
        <w:tc>
          <w:tcPr>
            <w:tcW w:w="319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0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w:t>
            </w:r>
          </w:p>
        </w:tc>
        <w:tc>
          <w:tcPr>
            <w:tcW w:w="112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45" w:type="dxa"/>
            <w:tcBorders/>
            <w:shd w:fill="CCEEFF" w:val="clear"/>
            <w:vAlign w:val="center"/>
          </w:tcPr>
          <w:p>
            <w:pPr>
              <w:pStyle w:val="TableContents"/>
              <w:bidi w:val="0"/>
              <w:spacing w:before="0" w:after="1"/>
              <w:ind w:left="0" w:right="0" w:hanging="0"/>
              <w:jc w:val="left"/>
              <w:rPr/>
            </w:pPr>
            <w:r>
              <w:rPr/>
              <w:t>​</w:t>
            </w:r>
          </w:p>
        </w:tc>
        <w:tc>
          <w:tcPr>
            <w:tcW w:w="14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r>
      <w:tr>
        <w:trPr/>
        <w:tc>
          <w:tcPr>
            <w:tcW w:w="3190"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Reconciliation to Consolidated Net Loss</w:t>
            </w:r>
          </w:p>
        </w:tc>
        <w:tc>
          <w:tcPr>
            <w:tcW w:w="34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10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112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45" w:type="dxa"/>
            <w:tcBorders/>
            <w:vAlign w:val="center"/>
          </w:tcPr>
          <w:p>
            <w:pPr>
              <w:pStyle w:val="TableContents"/>
              <w:bidi w:val="0"/>
              <w:spacing w:before="0" w:after="1"/>
              <w:ind w:left="0" w:right="0" w:hanging="0"/>
              <w:jc w:val="left"/>
              <w:rPr/>
            </w:pPr>
            <w:r>
              <w:rPr/>
              <w:t>​</w:t>
            </w:r>
          </w:p>
        </w:tc>
        <w:tc>
          <w:tcPr>
            <w:tcW w:w="14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r>
      <w:tr>
        <w:trPr/>
        <w:tc>
          <w:tcPr>
            <w:tcW w:w="31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0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w:t>
            </w:r>
          </w:p>
        </w:tc>
        <w:tc>
          <w:tcPr>
            <w:tcW w:w="112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45" w:type="dxa"/>
            <w:tcBorders/>
            <w:shd w:fill="CCEEFF" w:val="clear"/>
            <w:vAlign w:val="center"/>
          </w:tcPr>
          <w:p>
            <w:pPr>
              <w:pStyle w:val="TableContents"/>
              <w:bidi w:val="0"/>
              <w:spacing w:before="0" w:after="1"/>
              <w:ind w:left="0" w:right="0" w:hanging="0"/>
              <w:jc w:val="left"/>
              <w:rPr/>
            </w:pPr>
            <w:r>
              <w:rPr/>
              <w:t>​</w:t>
            </w:r>
          </w:p>
        </w:tc>
        <w:tc>
          <w:tcPr>
            <w:tcW w:w="14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(9,131)</w:t>
            </w:r>
          </w:p>
        </w:tc>
      </w:tr>
      <w:tr>
        <w:trPr/>
        <w:tc>
          <w:tcPr>
            <w:tcW w:w="31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and Other Loss</w:t>
            </w:r>
          </w:p>
        </w:tc>
        <w:tc>
          <w:tcPr>
            <w:tcW w:w="34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10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112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45" w:type="dxa"/>
            <w:tcBorders/>
            <w:vAlign w:val="center"/>
          </w:tcPr>
          <w:p>
            <w:pPr>
              <w:pStyle w:val="TableContents"/>
              <w:bidi w:val="0"/>
              <w:spacing w:before="0" w:after="1"/>
              <w:ind w:left="0" w:right="0" w:hanging="0"/>
              <w:jc w:val="left"/>
              <w:rPr/>
            </w:pPr>
            <w:r>
              <w:rPr/>
              <w:t>​</w:t>
            </w:r>
          </w:p>
        </w:tc>
        <w:tc>
          <w:tcPr>
            <w:tcW w:w="14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(3,112)</w:t>
            </w:r>
          </w:p>
        </w:tc>
      </w:tr>
      <w:tr>
        <w:trPr/>
        <w:tc>
          <w:tcPr>
            <w:tcW w:w="31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0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w:t>
            </w:r>
          </w:p>
        </w:tc>
        <w:tc>
          <w:tcPr>
            <w:tcW w:w="112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45" w:type="dxa"/>
            <w:tcBorders/>
            <w:shd w:fill="CCEEFF" w:val="clear"/>
            <w:vAlign w:val="center"/>
          </w:tcPr>
          <w:p>
            <w:pPr>
              <w:pStyle w:val="TableContents"/>
              <w:bidi w:val="0"/>
              <w:spacing w:before="0" w:after="1"/>
              <w:ind w:left="0" w:right="0" w:hanging="0"/>
              <w:jc w:val="left"/>
              <w:rPr/>
            </w:pPr>
            <w:r>
              <w:rPr/>
              <w:t>​</w:t>
            </w:r>
          </w:p>
        </w:tc>
        <w:tc>
          <w:tcPr>
            <w:tcW w:w="14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(12,995)</w:t>
            </w:r>
          </w:p>
        </w:tc>
      </w:tr>
      <w:tr>
        <w:trPr/>
        <w:tc>
          <w:tcPr>
            <w:tcW w:w="31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4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10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112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45" w:type="dxa"/>
            <w:tcBorders/>
            <w:vAlign w:val="center"/>
          </w:tcPr>
          <w:p>
            <w:pPr>
              <w:pStyle w:val="TableContents"/>
              <w:bidi w:val="0"/>
              <w:spacing w:before="0" w:after="1"/>
              <w:ind w:left="0" w:right="0" w:hanging="0"/>
              <w:jc w:val="left"/>
              <w:rPr/>
            </w:pPr>
            <w:r>
              <w:rPr/>
              <w:t>​</w:t>
            </w:r>
          </w:p>
        </w:tc>
        <w:tc>
          <w:tcPr>
            <w:tcW w:w="14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(20,396)</w:t>
            </w:r>
          </w:p>
        </w:tc>
      </w:tr>
      <w:tr>
        <w:trPr/>
        <w:tc>
          <w:tcPr>
            <w:tcW w:w="31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 Other</w:t>
            </w:r>
          </w:p>
        </w:tc>
        <w:tc>
          <w:tcPr>
            <w:tcW w:w="34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0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w:t>
            </w:r>
          </w:p>
        </w:tc>
        <w:tc>
          <w:tcPr>
            <w:tcW w:w="112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45" w:type="dxa"/>
            <w:tcBorders/>
            <w:shd w:fill="CCEEFF" w:val="clear"/>
            <w:vAlign w:val="center"/>
          </w:tcPr>
          <w:p>
            <w:pPr>
              <w:pStyle w:val="TableContents"/>
              <w:bidi w:val="0"/>
              <w:spacing w:before="0" w:after="1"/>
              <w:ind w:left="0" w:right="0" w:hanging="0"/>
              <w:jc w:val="left"/>
              <w:rPr/>
            </w:pPr>
            <w:r>
              <w:rPr/>
              <w:t>​</w:t>
            </w:r>
          </w:p>
        </w:tc>
        <w:tc>
          <w:tcPr>
            <w:tcW w:w="14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31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Before Income Tax Expense</w:t>
            </w:r>
          </w:p>
        </w:tc>
        <w:tc>
          <w:tcPr>
            <w:tcW w:w="34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10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112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45" w:type="dxa"/>
            <w:tcBorders/>
            <w:vAlign w:val="center"/>
          </w:tcPr>
          <w:p>
            <w:pPr>
              <w:pStyle w:val="TableContents"/>
              <w:bidi w:val="0"/>
              <w:spacing w:before="0" w:after="1"/>
              <w:ind w:left="0" w:right="0" w:hanging="0"/>
              <w:jc w:val="left"/>
              <w:rPr/>
            </w:pPr>
            <w:r>
              <w:rPr/>
              <w:t>​</w:t>
            </w:r>
          </w:p>
        </w:tc>
        <w:tc>
          <w:tcPr>
            <w:tcW w:w="14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(20,912)</w:t>
            </w:r>
          </w:p>
        </w:tc>
      </w:tr>
      <w:tr>
        <w:trPr/>
        <w:tc>
          <w:tcPr>
            <w:tcW w:w="31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0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w:t>
            </w:r>
          </w:p>
        </w:tc>
        <w:tc>
          <w:tcPr>
            <w:tcW w:w="112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45" w:type="dxa"/>
            <w:tcBorders/>
            <w:shd w:fill="CCEEFF" w:val="clear"/>
            <w:vAlign w:val="center"/>
          </w:tcPr>
          <w:p>
            <w:pPr>
              <w:pStyle w:val="TableContents"/>
              <w:bidi w:val="0"/>
              <w:spacing w:before="0" w:after="1"/>
              <w:ind w:left="0" w:right="0" w:hanging="0"/>
              <w:jc w:val="left"/>
              <w:rPr/>
            </w:pPr>
            <w:r>
              <w:rPr/>
              <w:t>​</w:t>
            </w:r>
          </w:p>
        </w:tc>
        <w:tc>
          <w:tcPr>
            <w:tcW w:w="14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w:t>
            </w:r>
          </w:p>
        </w:tc>
      </w:tr>
      <w:tr>
        <w:trPr/>
        <w:tc>
          <w:tcPr>
            <w:tcW w:w="31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the Company</w:t>
            </w:r>
          </w:p>
        </w:tc>
        <w:tc>
          <w:tcPr>
            <w:tcW w:w="34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10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112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45" w:type="dxa"/>
            <w:tcBorders/>
            <w:vAlign w:val="center"/>
          </w:tcPr>
          <w:p>
            <w:pPr>
              <w:pStyle w:val="TableContents"/>
              <w:bidi w:val="0"/>
              <w:spacing w:before="0" w:after="1"/>
              <w:ind w:left="0" w:right="0" w:hanging="0"/>
              <w:jc w:val="left"/>
              <w:rPr/>
            </w:pPr>
            <w:r>
              <w:rPr/>
              <w:t>​</w:t>
            </w:r>
          </w:p>
        </w:tc>
        <w:tc>
          <w:tcPr>
            <w:tcW w:w="14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(21,157)</w:t>
            </w:r>
          </w:p>
        </w:tc>
      </w:tr>
    </w:tbl>
    <w:p>
      <w:pPr>
        <w:pStyle w:val="TextBody"/>
        <w:bidi w:val="0"/>
        <w:spacing w:before="0" w:after="12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Capital expenditures of each segment for the three and six months ended June 30, 2026 and 2025 are as follows (in thousands):</w:t>
      </w:r>
    </w:p>
    <w:tbl>
      <w:tblPr>
        <w:tblW w:w="9606" w:type="dxa"/>
        <w:jc w:val="left"/>
        <w:tblInd w:w="0" w:type="dxa"/>
        <w:tblLayout w:type="fixed"/>
        <w:tblCellMar>
          <w:top w:w="0" w:type="dxa"/>
          <w:left w:w="0" w:type="dxa"/>
          <w:bottom w:w="0" w:type="dxa"/>
          <w:right w:w="0" w:type="dxa"/>
        </w:tblCellMar>
      </w:tblPr>
      <w:tblGrid>
        <w:gridCol w:w="3016"/>
        <w:gridCol w:w="109"/>
        <w:gridCol w:w="368"/>
        <w:gridCol w:w="1362"/>
        <w:gridCol w:w="190"/>
        <w:gridCol w:w="368"/>
        <w:gridCol w:w="996"/>
        <w:gridCol w:w="109"/>
        <w:gridCol w:w="311"/>
        <w:gridCol w:w="1153"/>
        <w:gridCol w:w="160"/>
        <w:gridCol w:w="311"/>
        <w:gridCol w:w="1153"/>
      </w:tblGrid>
      <w:tr>
        <w:trPr/>
        <w:tc>
          <w:tcPr>
            <w:tcW w:w="30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9215" cy="175260"/>
                      <wp:effectExtent l="0" t="0" r="0" b="0"/>
                      <wp:wrapNone/>
                      <wp:docPr id="432" name="Frame4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33680" cy="175260"/>
                      <wp:effectExtent l="0" t="0" r="0" b="0"/>
                      <wp:wrapNone/>
                      <wp:docPr id="433" name="Frame433"/>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864870" cy="175260"/>
                      <wp:effectExtent l="0" t="0" r="0" b="0"/>
                      <wp:wrapNone/>
                      <wp:docPr id="434" name="Frame434"/>
                      <a:graphic xmlns:a="http://schemas.openxmlformats.org/drawingml/2006/main">
                        <a:graphicData uri="http://schemas.microsoft.com/office/word/2010/wordprocessingShape">
                          <wps:wsp>
                            <wps:cNvSpPr txBox="1"/>
                            <wps:spPr>
                              <a:xfrm>
                                <a:off x="0" y="0"/>
                                <a:ext cx="864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20650" cy="175260"/>
                      <wp:effectExtent l="0" t="0" r="0" b="0"/>
                      <wp:wrapNone/>
                      <wp:docPr id="435" name="Frame435"/>
                      <a:graphic xmlns:a="http://schemas.openxmlformats.org/drawingml/2006/main">
                        <a:graphicData uri="http://schemas.microsoft.com/office/word/2010/wordprocessingShape">
                          <wps:wsp>
                            <wps:cNvSpPr txBox="1"/>
                            <wps:spPr>
                              <a:xfrm>
                                <a:off x="0" y="0"/>
                                <a:ext cx="120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33680" cy="175260"/>
                      <wp:effectExtent l="0" t="0" r="0" b="0"/>
                      <wp:wrapNone/>
                      <wp:docPr id="436" name="Frame436"/>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32460" cy="175260"/>
                      <wp:effectExtent l="0" t="0" r="0" b="0"/>
                      <wp:wrapNone/>
                      <wp:docPr id="437" name="Frame437"/>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9215" cy="175260"/>
                      <wp:effectExtent l="0" t="0" r="0" b="0"/>
                      <wp:wrapNone/>
                      <wp:docPr id="438" name="Frame4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97485" cy="175260"/>
                      <wp:effectExtent l="0" t="0" r="0" b="0"/>
                      <wp:wrapNone/>
                      <wp:docPr id="439" name="Frame439"/>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732155" cy="175260"/>
                      <wp:effectExtent l="0" t="0" r="0" b="0"/>
                      <wp:wrapNone/>
                      <wp:docPr id="440" name="Frame440"/>
                      <a:graphic xmlns:a="http://schemas.openxmlformats.org/drawingml/2006/main">
                        <a:graphicData uri="http://schemas.microsoft.com/office/word/2010/wordprocessingShape">
                          <wps:wsp>
                            <wps:cNvSpPr txBox="1"/>
                            <wps:spPr>
                              <a:xfrm>
                                <a:off x="0" y="0"/>
                                <a:ext cx="732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01600" cy="175260"/>
                      <wp:effectExtent l="0" t="0" r="0" b="0"/>
                      <wp:wrapNone/>
                      <wp:docPr id="441" name="Frame441"/>
                      <a:graphic xmlns:a="http://schemas.openxmlformats.org/drawingml/2006/main">
                        <a:graphicData uri="http://schemas.microsoft.com/office/word/2010/wordprocessingShape">
                          <wps:wsp>
                            <wps:cNvSpPr txBox="1"/>
                            <wps:spPr>
                              <a:xfrm>
                                <a:off x="0" y="0"/>
                                <a:ext cx="101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97485" cy="175260"/>
                      <wp:effectExtent l="0" t="0" r="0" b="0"/>
                      <wp:wrapNone/>
                      <wp:docPr id="442" name="Frame442"/>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732155" cy="175260"/>
                      <wp:effectExtent l="0" t="0" r="0" b="0"/>
                      <wp:wrapNone/>
                      <wp:docPr id="443" name="Frame443"/>
                      <a:graphic xmlns:a="http://schemas.openxmlformats.org/drawingml/2006/main">
                        <a:graphicData uri="http://schemas.microsoft.com/office/word/2010/wordprocessingShape">
                          <wps:wsp>
                            <wps:cNvSpPr txBox="1"/>
                            <wps:spPr>
                              <a:xfrm>
                                <a:off x="0" y="0"/>
                                <a:ext cx="732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Months Ended June 30,</w:t>
            </w:r>
          </w:p>
        </w:tc>
        <w:tc>
          <w:tcPr>
            <w:tcW w:w="109" w:type="dxa"/>
            <w:tcBorders/>
            <w:vAlign w:val="center"/>
          </w:tcPr>
          <w:p>
            <w:pPr>
              <w:pStyle w:val="TableContents"/>
              <w:bidi w:val="0"/>
              <w:spacing w:before="0" w:after="0"/>
              <w:ind w:left="0" w:right="0" w:hanging="0"/>
              <w:jc w:val="left"/>
              <w:rPr/>
            </w:pPr>
            <w:r>
              <w:rPr/>
              <w:t>​</w:t>
            </w:r>
          </w:p>
        </w:tc>
        <w:tc>
          <w:tcPr>
            <w:tcW w:w="30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Six Months Ended June 30,</w:t>
            </w:r>
          </w:p>
        </w:tc>
      </w:tr>
      <w:tr>
        <w:trPr/>
        <w:tc>
          <w:tcPr>
            <w:tcW w:w="30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90" w:type="dxa"/>
            <w:tcBorders/>
            <w:vAlign w:val="center"/>
          </w:tcPr>
          <w:p>
            <w:pPr>
              <w:pStyle w:val="TableContents"/>
              <w:bidi w:val="0"/>
              <w:spacing w:before="0" w:after="0"/>
              <w:ind w:left="0" w:right="0" w:hanging="0"/>
              <w:jc w:val="center"/>
              <w:rPr/>
            </w:pPr>
            <w:r>
              <w:rPr/>
              <w:t>​</w:t>
            </w:r>
          </w:p>
        </w:tc>
        <w:tc>
          <w:tcPr>
            <w:tcW w:w="13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0"/>
              <w:ind w:left="0" w:right="0" w:hanging="0"/>
              <w:jc w:val="center"/>
              <w:rPr/>
            </w:pPr>
            <w:r>
              <w:rPr/>
              <w:t>​</w:t>
            </w:r>
          </w:p>
        </w:tc>
        <w:tc>
          <w:tcPr>
            <w:tcW w:w="14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60" w:type="dxa"/>
            <w:tcBorders/>
            <w:vAlign w:val="center"/>
          </w:tcPr>
          <w:p>
            <w:pPr>
              <w:pStyle w:val="TableContents"/>
              <w:bidi w:val="0"/>
              <w:spacing w:before="0" w:after="0"/>
              <w:ind w:left="0" w:right="0" w:hanging="0"/>
              <w:jc w:val="center"/>
              <w:rPr/>
            </w:pPr>
            <w:r>
              <w:rPr/>
              <w:t>​</w:t>
            </w:r>
          </w:p>
        </w:tc>
        <w:tc>
          <w:tcPr>
            <w:tcW w:w="14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Capital Expenditures:</w:t>
            </w:r>
          </w:p>
        </w:tc>
        <w:tc>
          <w:tcPr>
            <w:tcW w:w="109"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pPr>
            <w:r>
              <w:rPr/>
              <w:t>​</w:t>
            </w:r>
          </w:p>
        </w:tc>
        <w:tc>
          <w:tcPr>
            <w:tcW w:w="136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115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1153"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109"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65,486</w:t>
            </w:r>
          </w:p>
        </w:tc>
        <w:tc>
          <w:tcPr>
            <w:tcW w:w="190" w:type="dxa"/>
            <w:tcBorders/>
            <w:vAlign w:val="center"/>
          </w:tcPr>
          <w:p>
            <w:pPr>
              <w:pStyle w:val="TableContents"/>
              <w:bidi w:val="0"/>
              <w:spacing w:before="0" w:after="0"/>
              <w:ind w:left="0" w:right="0" w:hanging="0"/>
              <w:jc w:val="right"/>
              <w:rPr/>
            </w:pPr>
            <w:r>
              <w:rPr/>
              <w:t>​</w:t>
            </w:r>
          </w:p>
        </w:tc>
        <w:tc>
          <w:tcPr>
            <w:tcW w:w="3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109" w:type="dxa"/>
            <w:tcBorders/>
            <w:vAlign w:val="center"/>
          </w:tcPr>
          <w:p>
            <w:pPr>
              <w:pStyle w:val="TableContents"/>
              <w:bidi w:val="0"/>
              <w:spacing w:before="0" w:after="0"/>
              <w:ind w:left="0" w:right="0" w:hanging="0"/>
              <w:jc w:val="right"/>
              <w:rPr/>
            </w:pPr>
            <w:r>
              <w:rPr/>
              <w:t>​</w:t>
            </w:r>
          </w:p>
        </w:tc>
        <w:tc>
          <w:tcPr>
            <w:tcW w:w="3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150,854</w:t>
            </w:r>
          </w:p>
        </w:tc>
        <w:tc>
          <w:tcPr>
            <w:tcW w:w="160" w:type="dxa"/>
            <w:tcBorders/>
            <w:vAlign w:val="center"/>
          </w:tcPr>
          <w:p>
            <w:pPr>
              <w:pStyle w:val="TableContents"/>
              <w:bidi w:val="0"/>
              <w:spacing w:before="0" w:after="0"/>
              <w:ind w:left="0" w:right="0" w:hanging="0"/>
              <w:jc w:val="right"/>
              <w:rPr/>
            </w:pPr>
            <w:r>
              <w:rPr/>
              <w:t>​</w:t>
            </w:r>
          </w:p>
        </w:tc>
        <w:tc>
          <w:tcPr>
            <w:tcW w:w="3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81,059</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center"/>
              <w:rPr/>
            </w:pPr>
            <w:r>
              <w:rPr/>
              <w:t>​</w:t>
            </w:r>
          </w:p>
        </w:tc>
        <w:tc>
          <w:tcPr>
            <w:tcW w:w="1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107,287</w:t>
            </w:r>
          </w:p>
        </w:tc>
        <w:tc>
          <w:tcPr>
            <w:tcW w:w="190" w:type="dxa"/>
            <w:tcBorders/>
            <w:shd w:fill="CCEEFF" w:val="clear"/>
            <w:vAlign w:val="center"/>
          </w:tcPr>
          <w:p>
            <w:pPr>
              <w:pStyle w:val="TableContents"/>
              <w:bidi w:val="0"/>
              <w:spacing w:before="0" w:after="0"/>
              <w:ind w:left="0" w:right="0" w:hanging="0"/>
              <w:jc w:val="right"/>
              <w:rPr/>
            </w:pPr>
            <w:r>
              <w:rPr/>
              <w:t>​</w:t>
            </w:r>
          </w:p>
        </w:tc>
        <w:tc>
          <w:tcPr>
            <w:tcW w:w="368" w:type="dxa"/>
            <w:tcBorders/>
            <w:shd w:fill="CCEEFF" w:val="clear"/>
            <w:vAlign w:val="center"/>
          </w:tcPr>
          <w:p>
            <w:pPr>
              <w:pStyle w:val="TableContents"/>
              <w:bidi w:val="0"/>
              <w:spacing w:before="0" w:after="0"/>
              <w:ind w:left="0" w:right="0" w:hanging="0"/>
              <w:jc w:val="right"/>
              <w:rPr/>
            </w:pPr>
            <w:r>
              <w:rPr/>
              <w:t>​</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4,974</w:t>
            </w:r>
          </w:p>
        </w:tc>
        <w:tc>
          <w:tcPr>
            <w:tcW w:w="109" w:type="dxa"/>
            <w:tcBorders/>
            <w:shd w:fill="CCEEFF" w:val="clear"/>
            <w:vAlign w:val="center"/>
          </w:tcPr>
          <w:p>
            <w:pPr>
              <w:pStyle w:val="TableContents"/>
              <w:bidi w:val="0"/>
              <w:spacing w:before="0" w:after="0"/>
              <w:ind w:left="0" w:right="0" w:hanging="0"/>
              <w:jc w:val="right"/>
              <w:rPr/>
            </w:pPr>
            <w:r>
              <w:rPr/>
              <w:t>​</w:t>
            </w:r>
          </w:p>
        </w:tc>
        <w:tc>
          <w:tcPr>
            <w:tcW w:w="311" w:type="dxa"/>
            <w:tcBorders/>
            <w:shd w:fill="CCEEFF" w:val="clear"/>
            <w:vAlign w:val="center"/>
          </w:tcPr>
          <w:p>
            <w:pPr>
              <w:pStyle w:val="TableContents"/>
              <w:bidi w:val="0"/>
              <w:spacing w:before="0" w:after="0"/>
              <w:ind w:left="0" w:right="0" w:hanging="0"/>
              <w:jc w:val="center"/>
              <w:rPr/>
            </w:pPr>
            <w:r>
              <w:rPr/>
              <w:t>​</w:t>
            </w:r>
          </w:p>
        </w:tc>
        <w:tc>
          <w:tcPr>
            <w:tcW w:w="11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112,579</w:t>
            </w:r>
          </w:p>
        </w:tc>
        <w:tc>
          <w:tcPr>
            <w:tcW w:w="160" w:type="dxa"/>
            <w:tcBorders/>
            <w:shd w:fill="CCEEFF" w:val="clear"/>
            <w:vAlign w:val="center"/>
          </w:tcPr>
          <w:p>
            <w:pPr>
              <w:pStyle w:val="TableContents"/>
              <w:bidi w:val="0"/>
              <w:spacing w:before="0" w:after="0"/>
              <w:ind w:left="0" w:right="0" w:hanging="0"/>
              <w:jc w:val="right"/>
              <w:rPr/>
            </w:pPr>
            <w:r>
              <w:rPr/>
              <w:t>​</w:t>
            </w:r>
          </w:p>
        </w:tc>
        <w:tc>
          <w:tcPr>
            <w:tcW w:w="311" w:type="dxa"/>
            <w:tcBorders/>
            <w:shd w:fill="CCEEFF" w:val="clear"/>
            <w:vAlign w:val="center"/>
          </w:tcPr>
          <w:p>
            <w:pPr>
              <w:pStyle w:val="TableContents"/>
              <w:bidi w:val="0"/>
              <w:spacing w:before="0" w:after="0"/>
              <w:ind w:left="0" w:right="0" w:hanging="0"/>
              <w:jc w:val="center"/>
              <w:rPr/>
            </w:pPr>
            <w:r>
              <w:rPr/>
              <w:t>​</w:t>
            </w:r>
          </w:p>
        </w:tc>
        <w:tc>
          <w:tcPr>
            <w:tcW w:w="11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6,405</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109" w:type="dxa"/>
            <w:tcBorders/>
            <w:vAlign w:val="center"/>
          </w:tcPr>
          <w:p>
            <w:pPr>
              <w:pStyle w:val="TableContents"/>
              <w:bidi w:val="0"/>
              <w:spacing w:before="0" w:after="0"/>
              <w:ind w:left="0" w:right="0" w:hanging="0"/>
              <w:jc w:val="left"/>
              <w:rPr/>
            </w:pPr>
            <w:r>
              <w:rPr/>
              <w:t>​</w:t>
            </w:r>
          </w:p>
        </w:tc>
        <w:tc>
          <w:tcPr>
            <w:tcW w:w="3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90" w:type="dxa"/>
            <w:tcBorders/>
            <w:vAlign w:val="center"/>
          </w:tcPr>
          <w:p>
            <w:pPr>
              <w:pStyle w:val="TableContents"/>
              <w:bidi w:val="0"/>
              <w:spacing w:before="0" w:after="0"/>
              <w:ind w:left="0" w:right="0" w:hanging="0"/>
              <w:jc w:val="right"/>
              <w:rPr/>
            </w:pPr>
            <w:r>
              <w:rPr/>
              <w:t>​</w:t>
            </w:r>
          </w:p>
        </w:tc>
        <w:tc>
          <w:tcPr>
            <w:tcW w:w="36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09" w:type="dxa"/>
            <w:tcBorders/>
            <w:vAlign w:val="center"/>
          </w:tcPr>
          <w:p>
            <w:pPr>
              <w:pStyle w:val="TableContents"/>
              <w:bidi w:val="0"/>
              <w:spacing w:before="0" w:after="0"/>
              <w:ind w:left="0" w:right="0" w:hanging="0"/>
              <w:jc w:val="right"/>
              <w:rPr/>
            </w:pPr>
            <w:r>
              <w:rPr/>
              <w:t>​</w:t>
            </w:r>
          </w:p>
        </w:tc>
        <w:tc>
          <w:tcPr>
            <w:tcW w:w="3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60" w:type="dxa"/>
            <w:tcBorders/>
            <w:vAlign w:val="center"/>
          </w:tcPr>
          <w:p>
            <w:pPr>
              <w:pStyle w:val="TableContents"/>
              <w:bidi w:val="0"/>
              <w:spacing w:before="0" w:after="0"/>
              <w:ind w:left="0" w:right="0" w:hanging="0"/>
              <w:jc w:val="right"/>
              <w:rPr/>
            </w:pPr>
            <w:r>
              <w:rPr/>
              <w:t>​</w:t>
            </w:r>
          </w:p>
        </w:tc>
        <w:tc>
          <w:tcPr>
            <w:tcW w:w="3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Capital Expenditures</w:t>
            </w:r>
          </w:p>
        </w:tc>
        <w:tc>
          <w:tcPr>
            <w:tcW w:w="109" w:type="dxa"/>
            <w:tcBorders/>
            <w:shd w:fill="CCEEFF" w:val="clear"/>
            <w:vAlign w:val="center"/>
          </w:tcPr>
          <w:p>
            <w:pPr>
              <w:pStyle w:val="TableContents"/>
              <w:bidi w:val="0"/>
              <w:spacing w:before="0" w:after="0"/>
              <w:ind w:left="0" w:right="0" w:hanging="0"/>
              <w:jc w:val="left"/>
              <w:rPr/>
            </w:pPr>
            <w:r>
              <w:rPr/>
              <w:t>​</w:t>
            </w:r>
          </w:p>
        </w:tc>
        <w:tc>
          <w:tcPr>
            <w:tcW w:w="368"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3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172,784</w:t>
            </w:r>
          </w:p>
        </w:tc>
        <w:tc>
          <w:tcPr>
            <w:tcW w:w="190" w:type="dxa"/>
            <w:tcBorders/>
            <w:shd w:fill="CCEEFF" w:val="clear"/>
            <w:vAlign w:val="center"/>
          </w:tcPr>
          <w:p>
            <w:pPr>
              <w:pStyle w:val="TableContents"/>
              <w:bidi w:val="0"/>
              <w:spacing w:before="0" w:after="0"/>
              <w:ind w:left="0" w:right="0" w:hanging="0"/>
              <w:jc w:val="right"/>
              <w:rPr/>
            </w:pPr>
            <w:r>
              <w:rPr/>
              <w:t>​</w:t>
            </w:r>
          </w:p>
        </w:tc>
        <w:tc>
          <w:tcPr>
            <w:tcW w:w="3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5,182</w:t>
            </w:r>
          </w:p>
        </w:tc>
        <w:tc>
          <w:tcPr>
            <w:tcW w:w="109" w:type="dxa"/>
            <w:tcBorders/>
            <w:shd w:fill="CCEEFF" w:val="clear"/>
            <w:vAlign w:val="center"/>
          </w:tcPr>
          <w:p>
            <w:pPr>
              <w:pStyle w:val="TableContents"/>
              <w:bidi w:val="0"/>
              <w:spacing w:before="0" w:after="0"/>
              <w:ind w:left="0" w:right="0" w:hanging="0"/>
              <w:jc w:val="right"/>
              <w:rPr/>
            </w:pPr>
            <w:r>
              <w:rPr/>
              <w:t>​</w:t>
            </w:r>
          </w:p>
        </w:tc>
        <w:tc>
          <w:tcPr>
            <w:tcW w:w="3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263,444</w:t>
            </w:r>
          </w:p>
        </w:tc>
        <w:tc>
          <w:tcPr>
            <w:tcW w:w="160" w:type="dxa"/>
            <w:tcBorders/>
            <w:shd w:fill="CCEEFF" w:val="clear"/>
            <w:vAlign w:val="center"/>
          </w:tcPr>
          <w:p>
            <w:pPr>
              <w:pStyle w:val="TableContents"/>
              <w:bidi w:val="0"/>
              <w:spacing w:before="0" w:after="0"/>
              <w:ind w:left="0" w:right="0" w:hanging="0"/>
              <w:jc w:val="right"/>
              <w:rPr/>
            </w:pPr>
            <w:r>
              <w:rPr/>
              <w:t>​</w:t>
            </w:r>
          </w:p>
        </w:tc>
        <w:tc>
          <w:tcPr>
            <w:tcW w:w="3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5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87,489</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56" w:before="0" w:after="240"/>
        <w:ind w:left="0" w:right="0" w:firstLine="360"/>
        <w:jc w:val="left"/>
        <w:rPr>
          <w:rFonts w:ascii="Times New Roman;Times;serif" w:hAnsi="Times New Roman;Times;serif"/>
          <w:sz w:val="20"/>
        </w:rPr>
      </w:pPr>
      <w:bookmarkStart w:id="2060" w:name="Tc_5G3fiquJEk6PmlP2VF6w3Q_8_5"/>
      <w:bookmarkStart w:id="2061" w:name="Tc_4d_KyDeVikSJQLgs38_ROg_8_2"/>
      <w:bookmarkStart w:id="2062" w:name="Tc_hUF9mZ5Z4UmUkNcu0VKAUg_8_0"/>
      <w:bookmarkStart w:id="2063" w:name="Tc_5NMIPVCPtECl_5qnBYZe_w_7_0"/>
      <w:bookmarkStart w:id="2064" w:name="Tc_UpEXqGEEdUaY8D7kRgmgYA_6_0"/>
      <w:bookmarkStart w:id="2065" w:name="Tc_CdT0k6_7EEu7IdEzFFC5DQ_5_0"/>
      <w:bookmarkStart w:id="2066" w:name="Tc_rMpI9BdaukKrwc-mNb_O7A_4_5"/>
      <w:bookmarkStart w:id="2067" w:name="Tc_IkBB098CBkGkPxvWNvrzzw_4_2"/>
      <w:bookmarkStart w:id="2068" w:name="Tc_wNsximfsUkOUutNUeBKmpQ_4_0"/>
      <w:bookmarkStart w:id="2069" w:name="Tc_iUG8HvZeRUCijSSkBTBI6w_3_0"/>
      <w:bookmarkStart w:id="2070" w:name="Tc_qiqVTl1BlkC707t7ogBO3A_2_5"/>
      <w:bookmarkStart w:id="2071" w:name="Tc_6VxFqQbb4keIiDf0Rir_lg_2_2"/>
      <w:bookmarkStart w:id="2072" w:name="Tc_VvRQtVPWyUyKnoyiqurZxw_1_2"/>
      <w:bookmarkStart w:id="2073" w:name="_29cc54c3_d801_4d12_b897_dc4069c799a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r>
        <w:rPr>
          <w:rFonts w:ascii="Times New Roman;Times;serif" w:hAnsi="Times New Roman;Times;serif"/>
          <w:sz w:val="20"/>
        </w:rPr>
        <w:t>Identifiable assets of each segment as of June 30, 2026 and December 31, 2025 are as follows (in thousands):</w:t>
      </w:r>
    </w:p>
    <w:p>
      <w:pPr>
        <w:pStyle w:val="TextBody"/>
        <w:bidi w:val="0"/>
        <w:spacing w:before="0" w:after="0"/>
        <w:ind w:left="0" w:right="0" w:hanging="0"/>
        <w:jc w:val="left"/>
        <w:rPr/>
      </w:pPr>
      <w:r>
        <w:rPr/>
        <w:t>​</w:t>
      </w:r>
    </w:p>
    <w:tbl>
      <w:tblPr>
        <w:tblW w:w="6753" w:type="dxa"/>
        <w:jc w:val="left"/>
        <w:tblInd w:w="0" w:type="dxa"/>
        <w:tblLayout w:type="fixed"/>
        <w:tblCellMar>
          <w:top w:w="0" w:type="dxa"/>
          <w:left w:w="0" w:type="dxa"/>
          <w:bottom w:w="0" w:type="dxa"/>
          <w:right w:w="0" w:type="dxa"/>
        </w:tblCellMar>
      </w:tblPr>
      <w:tblGrid>
        <w:gridCol w:w="3016"/>
        <w:gridCol w:w="346"/>
        <w:gridCol w:w="235"/>
        <w:gridCol w:w="1040"/>
        <w:gridCol w:w="346"/>
        <w:gridCol w:w="298"/>
        <w:gridCol w:w="1472"/>
      </w:tblGrid>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19710" cy="175260"/>
                      <wp:effectExtent l="0" t="0" r="0" b="0"/>
                      <wp:wrapNone/>
                      <wp:docPr id="444" name="Frame4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49225" cy="175260"/>
                      <wp:effectExtent l="0" t="0" r="0" b="0"/>
                      <wp:wrapNone/>
                      <wp:docPr id="445" name="Frame445"/>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60400" cy="175260"/>
                      <wp:effectExtent l="0" t="0" r="0" b="0"/>
                      <wp:wrapNone/>
                      <wp:docPr id="446" name="Frame446"/>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19710" cy="175260"/>
                      <wp:effectExtent l="0" t="0" r="0" b="0"/>
                      <wp:wrapNone/>
                      <wp:docPr id="447" name="Frame4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89230" cy="175260"/>
                      <wp:effectExtent l="0" t="0" r="0" b="0"/>
                      <wp:wrapNone/>
                      <wp:docPr id="448" name="Frame448"/>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934720" cy="175260"/>
                      <wp:effectExtent l="0" t="0" r="0" b="0"/>
                      <wp:wrapNone/>
                      <wp:docPr id="449" name="Frame449"/>
                      <a:graphic xmlns:a="http://schemas.openxmlformats.org/drawingml/2006/main">
                        <a:graphicData uri="http://schemas.microsoft.com/office/word/2010/wordprocessingShape">
                          <wps:wsp>
                            <wps:cNvSpPr txBox="1"/>
                            <wps:spPr>
                              <a:xfrm>
                                <a:off x="0" y="0"/>
                                <a:ext cx="934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39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0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346" w:type="dxa"/>
            <w:tcBorders/>
            <w:vAlign w:val="center"/>
          </w:tcPr>
          <w:p>
            <w:pPr>
              <w:pStyle w:val="TableContents"/>
              <w:bidi w:val="0"/>
              <w:spacing w:before="0" w:after="0"/>
              <w:ind w:left="0" w:right="0" w:hanging="0"/>
              <w:jc w:val="left"/>
              <w:rPr/>
            </w:pPr>
            <w:r>
              <w:rPr/>
              <w:t>  ​ ​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Identifiable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10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1472" w:type="dxa"/>
            <w:tcBorders/>
            <w:shd w:fill="CCEEFF" w:val="clear"/>
            <w:vAlign w:val="center"/>
          </w:tcPr>
          <w:p>
            <w:pPr>
              <w:pStyle w:val="TableContents"/>
              <w:bidi w:val="0"/>
              <w:spacing w:before="0" w:after="0"/>
              <w:ind w:left="0" w:right="0" w:hanging="0"/>
              <w:jc w:val="righ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1,149,144</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1,102,631</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14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2,465</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209,424</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14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118,129</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45,301</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40,677</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1,405,729</w:t>
            </w:r>
          </w:p>
        </w:tc>
        <w:tc>
          <w:tcPr>
            <w:tcW w:w="346" w:type="dxa"/>
            <w:tcBorders/>
            <w:vAlign w:val="center"/>
          </w:tcPr>
          <w:p>
            <w:pPr>
              <w:pStyle w:val="TableContents"/>
              <w:bidi w:val="0"/>
              <w:spacing w:before="0" w:after="0"/>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7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1,263,902</w:t>
            </w:r>
          </w:p>
        </w:tc>
      </w:tr>
    </w:tbl>
    <w:p>
      <w:pPr>
        <w:pStyle w:val="TextBody"/>
        <w:bidi w:val="0"/>
        <w:spacing w:lineRule="auto" w:line="273" w:before="0" w:after="0"/>
        <w:ind w:left="0" w:right="0" w:hanging="0"/>
        <w:jc w:val="both"/>
        <w:rPr/>
      </w:pPr>
      <w:r>
        <w:rPr/>
        <w:t> </w:t>
      </w:r>
    </w:p>
    <w:p>
      <w:pPr>
        <w:pStyle w:val="TextBody"/>
        <w:pBdr/>
        <w:bidi w:val="0"/>
        <w:spacing w:lineRule="auto" w:line="273" w:before="0" w:after="0"/>
        <w:ind w:left="0" w:right="0" w:hanging="0"/>
        <w:jc w:val="both"/>
        <w:rPr/>
      </w:pPr>
      <w:r>
        <w:rPr/>
        <w:t> </w:t>
      </w:r>
    </w:p>
    <w:p>
      <w:pPr>
        <w:pStyle w:val="TextBody"/>
        <w:shd w:fill="FFFFFF" w:val="clear"/>
        <w:bidi w:val="0"/>
        <w:spacing w:before="0" w:after="0"/>
        <w:ind w:left="0" w:right="0" w:firstLine="547"/>
        <w:jc w:val="both"/>
        <w:rPr>
          <w:rFonts w:ascii="Times New Roman;Times;serif" w:hAnsi="Times New Roman;Times;serif"/>
          <w:sz w:val="2"/>
        </w:rPr>
      </w:pPr>
      <w:r>
        <w:rPr>
          <w:rFonts w:ascii="Times New Roman;Times;serif" w:hAnsi="Times New Roman;Times;serif"/>
          <w:sz w:val="20"/>
        </w:rPr>
        <w:t>Identifiable assets by segment are those assets that are used in the Company’s operations in each segment. Corporate and other assets consist primarily of cash and restricted cash, property, plant, and equipment related to the other operations, as well as the general and corporate operations.</w:t>
      </w:r>
      <w:r>
        <w:rPr>
          <w:rFonts w:ascii="Times New Roman;Times;serif" w:hAnsi="Times New Roman;Times;serif"/>
          <w:sz w:val="2"/>
        </w:rPr>
        <w:t> </w:t>
      </w:r>
    </w:p>
    <w:p>
      <w:pPr>
        <w:pStyle w:val="TextBody"/>
        <w:shd w:fill="FFFFFF" w:val="clear"/>
        <w:bidi w:val="0"/>
        <w:spacing w:before="100" w:after="10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22. SUBSEQUENT EVENTS</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Subsequent events and transactions were evaluated through July 28, 2026, the date the consolidated financial statements were issued.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July 15, 2026, the Company originated a $37.0 million loan, of which $29.8 million was funded at closing. The investment is secured by a leasehold interest in a mixed-use property located in Austin, Texas, bears an initial cash yield of 9.75%, and has a two-year term.</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p>
    <w:p>
      <w:pPr>
        <w:pStyle w:val="TextBody"/>
        <w:bidi w:val="0"/>
        <w:spacing w:before="0" w:after="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2074" w:name="ITEM2MANAGEMENTSDISCUSSIONANDANALYSIS_90"/>
      <w:bookmarkStart w:id="2075" w:name="_eb95d4f9_1008_4b8e_8dc1_1f21e79aab09"/>
      <w:bookmarkEnd w:id="2074"/>
      <w:bookmarkEnd w:id="2075"/>
      <w:r>
        <w:rPr>
          <w:rFonts w:ascii="Times New Roman;Times;serif" w:hAnsi="Times New Roman;Times;serif"/>
          <w:b/>
          <w:sz w:val="20"/>
        </w:rPr>
        <w:t>ITEM 2. MANAGEMENT’S DISCUSSION AND ANALYSIS OF FINANCIAL CONDITION AND RESULTS</w:t>
      </w:r>
      <w:r>
        <w:rPr>
          <w:rFonts w:ascii="Times New Roman;Times;serif" w:hAnsi="Times New Roman;Times;serif"/>
          <w:sz w:val="20"/>
        </w:rPr>
        <w:t xml:space="preserve"> </w:t>
      </w:r>
      <w:r>
        <w:rPr>
          <w:rFonts w:ascii="Times New Roman;Times;serif" w:hAnsi="Times New Roman;Times;serif"/>
          <w:b/>
          <w:sz w:val="20"/>
        </w:rPr>
        <w:t>OF OPERATIONS</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i/>
          <w:sz w:val="20"/>
          <w:shd w:fill="FFFFFF" w:val="clear"/>
        </w:rPr>
      </w:pPr>
      <w:r>
        <w:rPr>
          <w:rFonts w:ascii="Times New Roman;Times;serif" w:hAnsi="Times New Roman;Times;serif"/>
          <w:i/>
          <w:sz w:val="20"/>
          <w:shd w:fill="FFFFFF" w:val="clear"/>
        </w:rPr>
        <w:t>When we refer to “we,” “us,” “our,” or “the Company,” we mean CTO Realty Growth, Inc. and its consolidated subsidiaries. References to “Notes to Financial Statements” refer to the Notes to the Consolidated Financial Statements of CTO Realty Growth, Inc. included in this Quarterly Report on Form 10-Q. Some of the comments we make in this section are forward-looking statements within the meaning of the federal securities laws. For a discussion of forward-looking statements, see the section below entitled “Special Note Regarding Forward-Looking Statements.” Certain factors that could cause actual results or events to differ materially from those the Company anticipates or projects are described in “Item 1A. Risk Factors” of the Company’s Annual Report on Form 10-K for the year ended December 31,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Special Note Regarding Forward-Looking Statements</w:t>
      </w:r>
    </w:p>
    <w:p>
      <w:pPr>
        <w:pStyle w:val="TextBody"/>
        <w:bidi w:val="0"/>
        <w:spacing w:before="0" w:after="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Statements contained in this Quarterly Report on Form 10-Q that are not historical facts are forward-looking statements within the meaning of Section 27A of the Securities Act of 1933, as amended (the “Securities Act”), and Section 21E of the Securities Exchange Act of 1934, as amended (the “Exchange Act”). Also, when the Company uses any of the words “anticipate,” “assume,” “believe,” “estimate,” “expect,” “intend,” or similar expressions, the Company is making forward-looking statements. Management believes the expectations reflected in such forward-looking statements are based upon present expectations and reasonable assumptions. However, the Company’s actual results could differ materially from those set forth in the forward-looking statements. Further, forward-looking statements speak only as of the date they are made, and the Company undertakes no obligation to update or revise such forward-looking statements to reflect changed assumptions, the occurrence of unanticipated events or changes to future operating results over time, unless required by law. The risks and uncertainties that could cause our actual results to differ materially from those presented in our forward-looking statements, include, but are not limited to, the following:</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are subject to risks related to the ownership of commercial real estate that could affect the performance and value of our properties;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business is dependent upon our tenants and borrowers successfully operating their businesses, and their failure to do so could materially and adversely affect us;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competition that traditional retail tenants face from e-commerce retail sales, or the integration of brick and mortar stores with e-commerce retail operators, could adversely affect our business;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operate in a highly competitive market for the acquisition of income properties and more established entities or other investors may be able to compete more effectively for acquisition opportunities than we can;</w:t>
            </w:r>
          </w:p>
        </w:tc>
      </w:tr>
    </w:tbl>
    <w:p>
      <w:pPr>
        <w:pStyle w:val="TextBody"/>
        <w:bidi w:val="0"/>
        <w:spacing w:before="0" w:after="0"/>
        <w:ind w:left="0" w:right="0" w:hanging="0"/>
        <w:jc w:val="left"/>
        <w:rPr/>
      </w:pPr>
      <w:r>
        <w:rPr>
          <w:caps w:val="false"/>
          <w:smallCaps w:val="false"/>
        </w:rPr>
        <w:t>•</w:t>
      </w:r>
      <w:r>
        <w:rPr>
          <w:rFonts w:ascii="Times New Roman;Times;serif" w:hAnsi="Times New Roman;Times;serif"/>
          <w:sz w:val="20"/>
        </w:rPr>
        <w:t>we may be unable to successfully execute on asset acquisitions or dispositions;</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loss of revenues from our income property portfolio or certain tenants or borrowers would adversely impact our results of operations and cash flows;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revenues include receipt of management fees and potentially incentive fees derived from our provision of management services to Alpine Income Property Trust, Inc. (“PINE”) and the loss or failure, or decline in the business or assets, of PINE could substantially reduce our revenues;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there are various potential conflicts of interest in our relationship with PINE, including our executive officers and/or directors who are also officers and/or directors of PINE, which could result in decisions that are not in the best interest of our stockholders;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prolonged downturn in economic conditions could adversely impact our business, particularly with regard to our ability to maintain revenues from our income-producing assets;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part of our investment strategy is focused on investing in commercial loans and investments which may involve credit risk or the risk that our borrowers or other counterparties will fail to pay scheduled contractual payments to us when due;</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may suffer losses when a borrower defaults on a loan and the value of the underlying collateral is less than the amount due;</w:t>
            </w:r>
          </w:p>
        </w:tc>
      </w:tr>
    </w:tbl>
    <w:p>
      <w:pPr>
        <w:pStyle w:val="TextBody"/>
        <w:bidi w:val="0"/>
        <w:spacing w:before="0" w:after="0"/>
        <w:ind w:left="0" w:right="0" w:hanging="0"/>
        <w:jc w:val="left"/>
        <w:rPr/>
      </w:pPr>
      <w:r>
        <w:rPr>
          <w:caps w:val="false"/>
          <w:smallCaps w:val="false"/>
        </w:rPr>
        <w:t>•</w:t>
      </w:r>
      <w:r>
        <w:rPr>
          <w:rFonts w:ascii="Times New Roman;Times;serif" w:hAnsi="Times New Roman;Times;serif"/>
          <w:sz w:val="20"/>
        </w:rPr>
        <w:t>the Company’s real estate investments are generally illiquid;</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we are not successful in utilizing the Section 1031 like-kind exchange structure in deploying the proceeds from dispositions of income properties, or our Section 1031 like-kind exchange transactions are disqualified, we could incur significant taxes and our results of operations and cash flows could be adversely impacted;</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Company may be unable to obtain debt or equity capital on favorable terms, if at all, or additional borrowings may impact our liquidity or ability to monetize any assets securing such borrowings;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servicing our debt requires a significant amount of cash, and we may not have sufficient cash flow from our business to service or pay our debt;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our operations and properties could be adversely affected in the event of natural disasters, pandemics, or other significant disruptions; </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we may encounter environmental problems which require remediation or the incurrence of significant costs to resolve, which could adversely impact our financial condition, results of operations, and cash flows; </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failure to remain qualified as a real estate investment trust (“REIT”) for U.S. federal income tax purposes would cause us to be taxed as a regular corporation, which would substantially reduce funds available for distribution to stockholders; </w:t>
            </w:r>
          </w:p>
        </w:tc>
      </w:tr>
    </w:tbl>
    <w:p>
      <w:pPr>
        <w:pStyle w:val="TextBody"/>
        <w:bidi w:val="0"/>
        <w:spacing w:before="0" w:after="0"/>
        <w:ind w:left="0" w:right="0" w:hanging="0"/>
        <w:jc w:val="left"/>
        <w:rPr/>
      </w:pPr>
      <w:r>
        <w:rPr>
          <w:caps w:val="false"/>
          <w:smallCaps w:val="false"/>
        </w:rPr>
        <w:t>•</w:t>
      </w:r>
      <w:r>
        <w:rPr>
          <w:rFonts w:ascii="Times New Roman;Times;serif" w:hAnsi="Times New Roman;Times;serif"/>
          <w:sz w:val="20"/>
        </w:rPr>
        <w:t>the risk that the REIT requirements could limit our financial flexibility;</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our ability to pay dividends consistent with the REIT requirements, and expectations as to timing and amounts of such dividends; </w:t>
            </w:r>
          </w:p>
        </w:tc>
      </w:tr>
    </w:tbl>
    <w:p>
      <w:pPr>
        <w:pStyle w:val="TextBody"/>
        <w:bidi w:val="0"/>
        <w:spacing w:before="0" w:after="0"/>
        <w:ind w:left="0" w:right="0" w:hanging="0"/>
        <w:jc w:val="left"/>
        <w:rPr/>
      </w:pPr>
      <w:r>
        <w:rPr>
          <w:caps w:val="false"/>
          <w:smallCaps w:val="false"/>
        </w:rPr>
        <w:t>•</w:t>
      </w:r>
      <w:r>
        <w:rPr>
          <w:rFonts w:ascii="Times New Roman;Times;serif" w:hAnsi="Times New Roman;Times;serif"/>
          <w:sz w:val="20"/>
        </w:rPr>
        <w:t>the ability of our board of directors (the “Board”) to revoke our REIT status without stockholder approval;</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exposure to changes in U.S. federal and state income tax laws, including changes to the REIT requirements;</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general business and economic conditions, including unstable macroeconomic conditions due to, among other things, political unrest and economic uncertainty due to terrorism or war, inflation, higher interest rates, tariffs and international trade policies and distress in the banking sector; and</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an epidemic or pandemic, and the measures that international, federal, state and local governments, agencies, law enforcement and/or health authorities implement to address it, may precipitate or materially exacerbate one or more of the above-mentioned and/or other risks and may significantly disrupt or prevent us from operating our business in the ordinary course for an extended period. </w:t>
            </w:r>
          </w:p>
        </w:tc>
      </w:tr>
    </w:tbl>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describes the risks and uncertainties that could cause actual results and events to differ materially in “Risk Factors” (Part II, Item 1A of this Quarterly Report on Form 10-Q and Part I, Item 1A of our Annual Report on Form 10-K for the year ended December 31, 2025), “Quantitative and Qualitative Disclosures about Market Risk” (Part I, Item 3 of this Quarterly Report on Form 10-Q), and “Management’s Discussion and Analysis of Financial Condition and Results of Operations” (Part I, Item 2 of this Quarterly Report on Form 10-Q).</w:t>
      </w:r>
    </w:p>
    <w:p>
      <w:pPr>
        <w:pStyle w:val="TextBody"/>
        <w:bidi w:val="0"/>
        <w:spacing w:before="100" w:after="10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firstLine="36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We </w:t>
      </w:r>
      <w:r>
        <w:rPr>
          <w:rFonts w:ascii="Times New Roman;Times;serif" w:hAnsi="Times New Roman;Times;serif"/>
          <w:sz w:val="20"/>
          <w:shd w:fill="FFFFFF" w:val="clear"/>
        </w:rPr>
        <w:t>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where retail demand exceeds supply. We have pursued our investment strategy by investing primarily through fee simple ownership of our properties, commercial loans and preferred equity</w:t>
      </w:r>
      <w:r>
        <w:rPr>
          <w:rFonts w:ascii="Times New Roman;Times;serif" w:hAnsi="Times New Roman;Times;serif"/>
          <w:sz w:val="20"/>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As of June 30, 2026, we own and manage, sometimes utilizing third-party property management companies, 21 commercial real estate properties in seven states in the United States, comprising 5.8 million square feet of gross leasable space: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Management Services: A fee-based management business that is engaged in managing PINE, as well as a portfolio of assets pursuant to the Portfolio Management Agreement (hereinafter defined), and a portfolio of subsurface interests, as further described in Note 5, “Management Services Business”.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Commercial Loans and Investments: A portfolio of four commercial loan investments and three preferred equity investments which are classified as commercial loan investments.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Investment in PINE: Our business also includes our investment in PINE. As of June 30, 2026, the fair value of our investment totaled $51.3 million, or 13.1%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Our strategy for investing in income-producing properties is focused on factors including, but not limited to, long-term real estate fundamentals and target markets, including markets we believe to be faster growing, business-friendly markets exhibiting accommodative business tax policies, outsized relative job and population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ability to use a Section 1031 like-kind exchange structure, etc.).</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shd w:fill="FFFFFF" w:val="clear"/>
        </w:rPr>
        <w:t>We believe investment in income-producing assets provides attractive opportunities for generally stable cash flows and increased returns over the long run through potential capital appreciation. Our focus on acquiring income-producing investments includes a continual review of our existing income property portfolio to identify opportunities to recycle our capital through the sale of income properties based on, among other possible factors, the current or expected performance of the property and favorable market conditions.</w:t>
      </w:r>
      <w:r>
        <w:rPr>
          <w:rFonts w:ascii="Times New Roman;Times;serif" w:hAnsi="Times New Roman;Times;serif"/>
          <w:sz w:val="20"/>
        </w:rPr>
        <w:t xml:space="preserve"> </w:t>
      </w:r>
      <w:r>
        <w:rPr>
          <w:rFonts w:ascii="Times New Roman;Times;serif" w:hAnsi="Times New Roman;Times;serif"/>
          <w:sz w:val="20"/>
          <w:shd w:fill="FFFFFF" w:val="clear"/>
        </w:rPr>
        <w:t>As a result of entering into the Exclusivity and Right of First Offer Agreement with PINE (the “ROFO Agreement”) which generally prevents us from investing in single-tenant net lease income properties, our income property investment strategy will continue to be focused on shopping centers. We may pursue this strategy by monetizing certain of our single-tenant properties, and should we do so, we would seek to utilize the 1031 like-kind exchange structure to preserve the tax-deferred gain on the original transaction(s) that pertains to the replacement asset</w:t>
      </w:r>
      <w:r>
        <w:rPr>
          <w:rFonts w:ascii="Times New Roman;Times;serif" w:hAnsi="Times New Roman;Times;serif"/>
          <w:sz w:val="20"/>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Our current portfolio of 17 shopping centers generates $108.5 million of revenue from annualized straight-line base lease payments and had a weighted average remaining lease term of 5.1 years as of June 30, 2026. Our current portfolio of 4 other income properties generates $3.7 million of revenues from annualized straight-line base lease payments and had a weighted average remaining lease term of 3.8 years as of June 30, 2026. </w:t>
      </w:r>
    </w:p>
    <w:p>
      <w:pPr>
        <w:pStyle w:val="TextBody"/>
        <w:bidi w:val="0"/>
        <w:spacing w:before="280" w:after="0"/>
        <w:ind w:left="0" w:right="0" w:hanging="0"/>
        <w:jc w:val="both"/>
        <w:rPr>
          <w:rFonts w:ascii="Times New Roman;Times;serif" w:hAnsi="Times New Roman;Times;serif"/>
          <w:b/>
          <w:sz w:val="20"/>
        </w:rPr>
      </w:pPr>
      <w:r>
        <w:rPr>
          <w:rFonts w:ascii="Times New Roman;Times;serif" w:hAnsi="Times New Roman;Times;serif"/>
          <w:b/>
          <w:sz w:val="20"/>
        </w:rPr>
        <w:t>COMPARISON OF THE THREE MONTHS ENDED JUNE 30, 2026 AND 2025</w:t>
      </w:r>
    </w:p>
    <w:p>
      <w:pPr>
        <w:pStyle w:val="TextBody"/>
        <w:bidi w:val="0"/>
        <w:spacing w:before="280" w:after="0"/>
        <w:ind w:left="0" w:right="0" w:hanging="0"/>
        <w:jc w:val="both"/>
        <w:rPr>
          <w:rFonts w:ascii="Times New Roman;Times;serif" w:hAnsi="Times New Roman;Times;serif"/>
          <w:b/>
          <w:sz w:val="20"/>
        </w:rPr>
      </w:pPr>
      <w:r>
        <w:rPr>
          <w:rFonts w:ascii="Times New Roman;Times;serif" w:hAnsi="Times New Roman;Times;serif"/>
          <w:b/>
          <w:sz w:val="20"/>
        </w:rPr>
        <w:t>Revenue</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Total revenue for the three months ended June 30, 2026 is presented in the following summary and indicates the changes as compared to the three months ended June 30, 2025 (in thousands): </w:t>
      </w:r>
    </w:p>
    <w:p>
      <w:pPr>
        <w:pStyle w:val="TextBody"/>
        <w:bidi w:val="0"/>
        <w:spacing w:before="0" w:after="0"/>
        <w:ind w:left="0" w:right="0" w:firstLine="360"/>
        <w:jc w:val="both"/>
        <w:rPr/>
      </w:pPr>
      <w:r>
        <w:rPr/>
        <w:t>​</w:t>
      </w:r>
    </w:p>
    <w:tbl>
      <w:tblPr>
        <w:tblW w:w="8455" w:type="dxa"/>
        <w:jc w:val="left"/>
        <w:tblInd w:w="0" w:type="dxa"/>
        <w:tblLayout w:type="fixed"/>
        <w:tblCellMar>
          <w:top w:w="0" w:type="dxa"/>
          <w:left w:w="0" w:type="dxa"/>
          <w:bottom w:w="0" w:type="dxa"/>
          <w:right w:w="0" w:type="dxa"/>
        </w:tblCellMar>
      </w:tblPr>
      <w:tblGrid>
        <w:gridCol w:w="3016"/>
        <w:gridCol w:w="346"/>
        <w:gridCol w:w="299"/>
        <w:gridCol w:w="958"/>
        <w:gridCol w:w="154"/>
        <w:gridCol w:w="299"/>
        <w:gridCol w:w="958"/>
        <w:gridCol w:w="109"/>
        <w:gridCol w:w="279"/>
        <w:gridCol w:w="757"/>
        <w:gridCol w:w="109"/>
        <w:gridCol w:w="1171"/>
      </w:tblGrid>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19710" cy="175260"/>
                      <wp:effectExtent l="0" t="0" r="0" b="0"/>
                      <wp:wrapNone/>
                      <wp:docPr id="450" name="Frame4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89865" cy="175260"/>
                      <wp:effectExtent l="0" t="0" r="0" b="0"/>
                      <wp:wrapNone/>
                      <wp:docPr id="451" name="Frame451"/>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08330" cy="175260"/>
                      <wp:effectExtent l="0" t="0" r="0" b="0"/>
                      <wp:wrapNone/>
                      <wp:docPr id="452" name="Frame452"/>
                      <a:graphic xmlns:a="http://schemas.openxmlformats.org/drawingml/2006/main">
                        <a:graphicData uri="http://schemas.microsoft.com/office/word/2010/wordprocessingShape">
                          <wps:wsp>
                            <wps:cNvSpPr txBox="1"/>
                            <wps:spPr>
                              <a:xfrm>
                                <a:off x="0" y="0"/>
                                <a:ext cx="608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97790" cy="175260"/>
                      <wp:effectExtent l="0" t="0" r="0" b="0"/>
                      <wp:wrapNone/>
                      <wp:docPr id="453" name="Frame45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89865" cy="175260"/>
                      <wp:effectExtent l="0" t="0" r="0" b="0"/>
                      <wp:wrapNone/>
                      <wp:docPr id="454" name="Frame454"/>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08330" cy="175260"/>
                      <wp:effectExtent l="0" t="0" r="0" b="0"/>
                      <wp:wrapNone/>
                      <wp:docPr id="455" name="Frame455"/>
                      <a:graphic xmlns:a="http://schemas.openxmlformats.org/drawingml/2006/main">
                        <a:graphicData uri="http://schemas.microsoft.com/office/word/2010/wordprocessingShape">
                          <wps:wsp>
                            <wps:cNvSpPr txBox="1"/>
                            <wps:spPr>
                              <a:xfrm>
                                <a:off x="0" y="0"/>
                                <a:ext cx="608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9215" cy="175260"/>
                      <wp:effectExtent l="0" t="0" r="0" b="0"/>
                      <wp:wrapNone/>
                      <wp:docPr id="456" name="Frame4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77165" cy="175260"/>
                      <wp:effectExtent l="0" t="0" r="0" b="0"/>
                      <wp:wrapNone/>
                      <wp:docPr id="457" name="Frame457"/>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480695" cy="175260"/>
                      <wp:effectExtent l="0" t="0" r="0" b="0"/>
                      <wp:wrapNone/>
                      <wp:docPr id="458" name="Frame458"/>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9215" cy="175260"/>
                      <wp:effectExtent l="0" t="0" r="0" b="0"/>
                      <wp:wrapNone/>
                      <wp:docPr id="459" name="Frame4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743585" cy="175260"/>
                      <wp:effectExtent l="0" t="0" r="0" b="0"/>
                      <wp:wrapNone/>
                      <wp:docPr id="460" name="Frame460"/>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June 30, </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r>
      <w:tr>
        <w:trPr/>
        <w:tc>
          <w:tcPr>
            <w:tcW w:w="30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Segment</w:t>
            </w:r>
          </w:p>
        </w:tc>
        <w:tc>
          <w:tcPr>
            <w:tcW w:w="346" w:type="dxa"/>
            <w:tcBorders/>
            <w:vAlign w:val="center"/>
          </w:tcPr>
          <w:p>
            <w:pPr>
              <w:pStyle w:val="TableContents"/>
              <w:bidi w:val="0"/>
              <w:spacing w:before="0" w:after="0"/>
              <w:ind w:left="0" w:right="0" w:hanging="0"/>
              <w:jc w:val="left"/>
              <w:rPr/>
            </w:pPr>
            <w:r>
              <w:rPr/>
              <w:t>  ​ ​ ​</w:t>
            </w:r>
          </w:p>
        </w:tc>
        <w:tc>
          <w:tcPr>
            <w:tcW w:w="12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54" w:type="dxa"/>
            <w:tcBorders/>
            <w:vAlign w:val="center"/>
          </w:tcPr>
          <w:p>
            <w:pPr>
              <w:pStyle w:val="TableContents"/>
              <w:bidi w:val="0"/>
              <w:spacing w:before="0" w:after="0"/>
              <w:ind w:left="0" w:right="0" w:hanging="0"/>
              <w:jc w:val="left"/>
              <w:rPr/>
            </w:pPr>
            <w:r>
              <w:rPr/>
              <w:t>​</w:t>
            </w:r>
          </w:p>
        </w:tc>
        <w:tc>
          <w:tcPr>
            <w:tcW w:w="12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37,136</w:t>
            </w:r>
          </w:p>
        </w:tc>
        <w:tc>
          <w:tcPr>
            <w:tcW w:w="154"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33,375</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3,761</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Services</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w:t>
            </w:r>
          </w:p>
        </w:tc>
        <w:tc>
          <w:tcPr>
            <w:tcW w:w="154"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w:t>
            </w:r>
          </w:p>
        </w:tc>
        <w:tc>
          <w:tcPr>
            <w:tcW w:w="109"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5,229</w:t>
            </w:r>
          </w:p>
        </w:tc>
        <w:tc>
          <w:tcPr>
            <w:tcW w:w="154"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2,213</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43,831</w:t>
            </w:r>
          </w:p>
        </w:tc>
        <w:tc>
          <w:tcPr>
            <w:tcW w:w="154" w:type="dxa"/>
            <w:tcBorders/>
            <w:vAlign w:val="center"/>
          </w:tcPr>
          <w:p>
            <w:pPr>
              <w:pStyle w:val="TableContents"/>
              <w:bidi w:val="0"/>
              <w:spacing w:before="0" w:after="0"/>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37,638</w:t>
            </w:r>
          </w:p>
        </w:tc>
        <w:tc>
          <w:tcPr>
            <w:tcW w:w="109" w:type="dxa"/>
            <w:tcBorders/>
            <w:vAlign w:val="center"/>
          </w:tcPr>
          <w:p>
            <w:pPr>
              <w:pStyle w:val="TableContents"/>
              <w:bidi w:val="0"/>
              <w:spacing w:before="0" w:after="0"/>
              <w:ind w:left="0" w:right="0" w:hanging="0"/>
              <w:jc w:val="left"/>
              <w:rPr/>
            </w:pPr>
            <w:r>
              <w:rPr/>
              <w:t>​</w:t>
            </w:r>
          </w:p>
        </w:tc>
        <w:tc>
          <w:tcPr>
            <w:tcW w:w="27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6,193</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16.5%</w:t>
            </w:r>
          </w:p>
        </w:tc>
      </w:tr>
    </w:tbl>
    <w:p>
      <w:pPr>
        <w:pStyle w:val="TextBody"/>
        <w:bidi w:val="0"/>
        <w:spacing w:before="0" w:after="0"/>
        <w:ind w:left="0" w:right="0" w:firstLine="490"/>
        <w:jc w:val="both"/>
        <w:rPr/>
      </w:pPr>
      <w:r>
        <w:rPr/>
        <w:t>​</w:t>
      </w:r>
    </w:p>
    <w:p>
      <w:pPr>
        <w:pStyle w:val="TextBody"/>
        <w:bidi w:val="0"/>
        <w:spacing w:lineRule="auto" w:line="280" w:before="0" w:after="0"/>
        <w:ind w:left="0" w:right="0" w:firstLine="490"/>
        <w:jc w:val="both"/>
        <w:rPr>
          <w:rFonts w:ascii="Times New Roman;Times;serif" w:hAnsi="Times New Roman;Times;serif"/>
          <w:sz w:val="20"/>
        </w:rPr>
      </w:pPr>
      <w:r>
        <w:rPr>
          <w:rFonts w:ascii="Times New Roman;Times;serif" w:hAnsi="Times New Roman;Times;serif"/>
          <w:sz w:val="20"/>
        </w:rPr>
        <w:t>Total revenue for the three months ended June 30, 2026 increased to $43.8 million, compared to $37.6 million during the three months ended June 30, 2025. The $6.2 million increase in total revenue is primarily attributable to increased income produced by the Company’s recent income property acquisitions versus that of properties disposed of by the Company during the comparative period, as well as more same store revenue from our properties owned during each period. Additionally, revenues from our commercial loans and investments have increased due to the recent preferred equity investments which are accounted for within our commercial loan and investment portfolio.</w:t>
      </w:r>
    </w:p>
    <w:p>
      <w:pPr>
        <w:pStyle w:val="TextBody"/>
        <w:bidi w:val="0"/>
        <w:spacing w:lineRule="auto" w:line="280" w:before="0" w:after="0"/>
        <w:ind w:left="0" w:right="0" w:firstLine="490"/>
        <w:jc w:val="both"/>
        <w:rPr/>
      </w:pPr>
      <w:r>
        <w:rPr/>
        <w:t>​</w:t>
      </w:r>
    </w:p>
    <w:p>
      <w:pPr>
        <w:pStyle w:val="TextBody"/>
        <w:bidi w:val="0"/>
        <w:spacing w:lineRule="auto" w:line="280" w:before="0" w:after="0"/>
        <w:ind w:left="0" w:right="0" w:hanging="0"/>
        <w:jc w:val="left"/>
        <w:rPr>
          <w:rFonts w:ascii="Times New Roman;Times;serif" w:hAnsi="Times New Roman;Times;serif"/>
          <w:b/>
          <w:sz w:val="20"/>
        </w:rPr>
      </w:pPr>
      <w:r>
        <w:rPr>
          <w:rFonts w:ascii="Times New Roman;Times;serif" w:hAnsi="Times New Roman;Times;serif"/>
          <w:b/>
          <w:sz w:val="20"/>
        </w:rPr>
        <w:t>Income Properties</w:t>
      </w:r>
    </w:p>
    <w:p>
      <w:pPr>
        <w:pStyle w:val="TextBody"/>
        <w:bidi w:val="0"/>
        <w:spacing w:lineRule="auto" w:line="280" w:before="240" w:after="240"/>
        <w:ind w:left="0" w:right="0" w:firstLine="446"/>
        <w:jc w:val="both"/>
        <w:rPr>
          <w:rFonts w:ascii="Times New Roman;Times;serif" w:hAnsi="Times New Roman;Times;serif"/>
          <w:sz w:val="20"/>
        </w:rPr>
      </w:pPr>
      <w:r>
        <w:rPr>
          <w:rFonts w:ascii="Times New Roman;Times;serif" w:hAnsi="Times New Roman;Times;serif"/>
          <w:sz w:val="20"/>
        </w:rPr>
        <w:t>Revenue and operating income from our income property operations totaled $37.1 million and $26.0 million, respectively, during the three months ended June 30, 2026, compared to total revenue and operating income of $33.4 million and $23.2 million, respectively, for the three months ended June 30, 2025. The direct costs of revenues for our income property operations totaled $11.1 million and $10.2 million for the three months ended June 30, 2026 and 2025, respectively. The increase in revenues of $3.8 million, or 11.3%, during the three months ended June 30, 2026 is primarily related to the overall growth and lease up of the Company’s income property portfolio, as well as the timing of acquisitions versus dispositions. The increase in operating income of $2.8 million from our income property operations reflects increased rent revenues related to our net investments as well as leasing activity.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Management Services</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Revenue from our management services from PINE totaled $1.4 million and $1.1 million during the three months ended June 30, 2026 and 2025, respectively. Management services during each of the three months ended June 30, 2026 and 2025 also included less than $0.1 million, from the asset management agreement with a third party to manage a portfolio of multi-tenant and single-tenant assets (the “Portfolio Management Agreement”), and less than $0.1 million from a subsurface management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Commercial Loans and Investments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Interest income from our commercial loans and investments totaled $5.2 million and $3.0 million during the three months ended June 30, 2026 and 2025, respectively. The increase of $2.2 million is primarily due to the timing of the investments made related to new loan originations and structured investments and repayments of previous investments, most notably the two preferred equity agreements for aggregate investments of $96.4 million completed during the three months ended June 30, 2026. </w:t>
      </w:r>
    </w:p>
    <w:p>
      <w:pPr>
        <w:pStyle w:val="TextBody"/>
        <w:bidi w:val="0"/>
        <w:spacing w:before="240" w:after="0"/>
        <w:ind w:left="0" w:right="0" w:hanging="0"/>
        <w:jc w:val="both"/>
        <w:rPr>
          <w:rFonts w:ascii="Times New Roman;Times;serif" w:hAnsi="Times New Roman;Times;serif"/>
          <w:b/>
          <w:sz w:val="20"/>
        </w:rPr>
      </w:pPr>
      <w:r>
        <w:rPr>
          <w:rFonts w:ascii="Times New Roman;Times;serif" w:hAnsi="Times New Roman;Times;serif"/>
          <w:b/>
          <w:sz w:val="20"/>
        </w:rPr>
        <w:t>General and Administrative Expenses</w:t>
      </w:r>
    </w:p>
    <w:p>
      <w:pPr>
        <w:pStyle w:val="TextBody"/>
        <w:bidi w:val="0"/>
        <w:spacing w:before="240" w:after="120"/>
        <w:ind w:left="0" w:right="0" w:firstLine="490"/>
        <w:jc w:val="both"/>
        <w:rPr>
          <w:rFonts w:ascii="Times New Roman;Times;serif" w:hAnsi="Times New Roman;Times;serif"/>
          <w:sz w:val="20"/>
        </w:rPr>
      </w:pPr>
      <w:r>
        <w:rPr>
          <w:rFonts w:ascii="Times New Roman;Times;serif" w:hAnsi="Times New Roman;Times;serif"/>
          <w:sz w:val="20"/>
        </w:rPr>
        <w:t>Total general and administrative expenses for the three months ended June 30, 2026 is presented in the following summary and indicates the changes as compared to the three months ended June 30, 2025 (in thousands):</w:t>
      </w:r>
    </w:p>
    <w:tbl>
      <w:tblPr>
        <w:tblW w:w="9460" w:type="dxa"/>
        <w:jc w:val="left"/>
        <w:tblInd w:w="0" w:type="dxa"/>
        <w:tblLayout w:type="fixed"/>
        <w:tblCellMar>
          <w:top w:w="0" w:type="dxa"/>
          <w:left w:w="0" w:type="dxa"/>
          <w:bottom w:w="0" w:type="dxa"/>
          <w:right w:w="0" w:type="dxa"/>
        </w:tblCellMar>
      </w:tblPr>
      <w:tblGrid>
        <w:gridCol w:w="4021"/>
        <w:gridCol w:w="346"/>
        <w:gridCol w:w="336"/>
        <w:gridCol w:w="911"/>
        <w:gridCol w:w="174"/>
        <w:gridCol w:w="336"/>
        <w:gridCol w:w="911"/>
        <w:gridCol w:w="109"/>
        <w:gridCol w:w="345"/>
        <w:gridCol w:w="691"/>
        <w:gridCol w:w="109"/>
        <w:gridCol w:w="1171"/>
      </w:tblGrid>
      <w:tr>
        <w:trPr/>
        <w:tc>
          <w:tcPr>
            <w:tcW w:w="4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19710" cy="175260"/>
                      <wp:effectExtent l="0" t="0" r="0" b="0"/>
                      <wp:wrapNone/>
                      <wp:docPr id="461" name="Frame4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13360" cy="175260"/>
                      <wp:effectExtent l="0" t="0" r="0" b="0"/>
                      <wp:wrapNone/>
                      <wp:docPr id="462" name="Frame462"/>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578485" cy="175260"/>
                      <wp:effectExtent l="0" t="0" r="0" b="0"/>
                      <wp:wrapNone/>
                      <wp:docPr id="463" name="Frame463"/>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10490" cy="175260"/>
                      <wp:effectExtent l="0" t="0" r="0" b="0"/>
                      <wp:wrapNone/>
                      <wp:docPr id="464" name="Frame464"/>
                      <a:graphic xmlns:a="http://schemas.openxmlformats.org/drawingml/2006/main">
                        <a:graphicData uri="http://schemas.microsoft.com/office/word/2010/wordprocessingShape">
                          <wps:wsp>
                            <wps:cNvSpPr txBox="1"/>
                            <wps:spPr>
                              <a:xfrm>
                                <a:off x="0" y="0"/>
                                <a:ext cx="110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13360" cy="175260"/>
                      <wp:effectExtent l="0" t="0" r="0" b="0"/>
                      <wp:wrapNone/>
                      <wp:docPr id="465" name="Frame465"/>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578485" cy="175260"/>
                      <wp:effectExtent l="0" t="0" r="0" b="0"/>
                      <wp:wrapNone/>
                      <wp:docPr id="466" name="Frame466"/>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9215" cy="175260"/>
                      <wp:effectExtent l="0" t="0" r="0" b="0"/>
                      <wp:wrapNone/>
                      <wp:docPr id="467" name="Frame4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19075" cy="175260"/>
                      <wp:effectExtent l="0" t="0" r="0" b="0"/>
                      <wp:wrapNone/>
                      <wp:docPr id="468" name="Frame468"/>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438785" cy="175260"/>
                      <wp:effectExtent l="0" t="0" r="0" b="0"/>
                      <wp:wrapNone/>
                      <wp:docPr id="469" name="Frame46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9215" cy="175260"/>
                      <wp:effectExtent l="0" t="0" r="0" b="0"/>
                      <wp:wrapNone/>
                      <wp:docPr id="470" name="Frame4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743585" cy="175260"/>
                      <wp:effectExtent l="0" t="0" r="0" b="0"/>
                      <wp:wrapNone/>
                      <wp:docPr id="471" name="Frame471"/>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June 30, </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r>
      <w:tr>
        <w:trPr/>
        <w:tc>
          <w:tcPr>
            <w:tcW w:w="40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74"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Recurring 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3,514</w:t>
            </w:r>
          </w:p>
        </w:tc>
        <w:tc>
          <w:tcPr>
            <w:tcW w:w="174"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3,445</w:t>
            </w:r>
          </w:p>
        </w:tc>
        <w:tc>
          <w:tcPr>
            <w:tcW w:w="109"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Non-Cash Stock Compensation </w:t>
            </w:r>
          </w:p>
        </w:tc>
        <w:tc>
          <w:tcPr>
            <w:tcW w:w="346" w:type="dxa"/>
            <w:tcBorders/>
            <w:vAlign w:val="center"/>
          </w:tcPr>
          <w:p>
            <w:pPr>
              <w:pStyle w:val="TableContents"/>
              <w:bidi w:val="0"/>
              <w:spacing w:before="0" w:after="0"/>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1,116</w:t>
            </w:r>
          </w:p>
        </w:tc>
        <w:tc>
          <w:tcPr>
            <w:tcW w:w="174" w:type="dxa"/>
            <w:tcBorders/>
            <w:vAlign w:val="center"/>
          </w:tcPr>
          <w:p>
            <w:pPr>
              <w:pStyle w:val="TableContents"/>
              <w:bidi w:val="0"/>
              <w:spacing w:before="0" w:after="0"/>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w:t>
            </w:r>
          </w:p>
        </w:tc>
        <w:tc>
          <w:tcPr>
            <w:tcW w:w="109"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4,630</w:t>
            </w:r>
          </w:p>
        </w:tc>
        <w:tc>
          <w:tcPr>
            <w:tcW w:w="174" w:type="dxa"/>
            <w:tcBorders/>
            <w:shd w:fill="CCEEFF" w:val="clear"/>
            <w:vAlign w:val="center"/>
          </w:tcPr>
          <w:p>
            <w:pPr>
              <w:pStyle w:val="TableContents"/>
              <w:bidi w:val="0"/>
              <w:spacing w:before="0" w:after="0"/>
              <w:ind w:left="0" w:right="0" w:hanging="0"/>
              <w:jc w:val="left"/>
              <w:rPr/>
            </w:pPr>
            <w:r>
              <w:rPr/>
              <w:t>​</w:t>
            </w:r>
          </w:p>
        </w:tc>
        <w:tc>
          <w:tcPr>
            <w:tcW w:w="3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4,448</w:t>
            </w:r>
          </w:p>
        </w:tc>
        <w:tc>
          <w:tcPr>
            <w:tcW w:w="109"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4.1%</w:t>
            </w:r>
          </w:p>
        </w:tc>
      </w:tr>
    </w:tbl>
    <w:p>
      <w:pPr>
        <w:pStyle w:val="TextBody"/>
        <w:bidi w:val="0"/>
        <w:spacing w:before="240" w:after="120"/>
        <w:ind w:left="0" w:right="0" w:firstLine="490"/>
        <w:jc w:val="both"/>
        <w:rPr>
          <w:rFonts w:ascii="Times New Roman;Times;serif" w:hAnsi="Times New Roman;Times;serif"/>
          <w:sz w:val="20"/>
        </w:rPr>
      </w:pPr>
      <w:r>
        <w:rPr>
          <w:rFonts w:ascii="Times New Roman;Times;serif" w:hAnsi="Times New Roman;Times;serif"/>
          <w:sz w:val="20"/>
        </w:rPr>
        <w:t>The primary reason for the increase in total general and administrative expenses is the overall higher employee count, as a result of the increased operating activity from the increase in managed income property assets.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Depreciation and Amortization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Depreciation and amortization totaled $15.8 million and $15.3 million during the three months ended June 30, 2026 and 2025, respectively. The increase of $0.5 million is due to the overall growth in the Company’s income property portfolio.</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Gain on Disposition of Assets and Provision for Impairment and Adjustments to CECL Reserve</w:t>
      </w:r>
    </w:p>
    <w:p>
      <w:pPr>
        <w:pStyle w:val="TextBody"/>
        <w:bidi w:val="0"/>
        <w:spacing w:before="100" w:after="100"/>
        <w:ind w:left="0" w:right="0" w:hanging="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i/>
          <w:color w:val="212529"/>
          <w:sz w:val="20"/>
        </w:rPr>
        <w:t>2026 and 2025 Dispositions.</w:t>
      </w:r>
      <w:r>
        <w:rPr>
          <w:rFonts w:ascii="Times New Roman;Times;serif" w:hAnsi="Times New Roman;Times;serif"/>
          <w:color w:val="212529"/>
          <w:sz w:val="20"/>
        </w:rPr>
        <w:t xml:space="preserve"> During the three months ended June 30, 2026, the Company sold two shopping center properties for $90.7 million, generating gains of $2.1 million. </w:t>
      </w:r>
      <w:r>
        <w:rPr>
          <w:rFonts w:ascii="Times New Roman;Times;serif" w:hAnsi="Times New Roman;Times;serif"/>
          <w:sz w:val="20"/>
        </w:rPr>
        <w:t>There were no income property dispositions during the three months ended June 30, 2025.</w:t>
      </w:r>
    </w:p>
    <w:p>
      <w:pPr>
        <w:pStyle w:val="TextBody"/>
        <w:shd w:fill="FFFFFF" w:val="clear"/>
        <w:bidi w:val="0"/>
        <w:spacing w:before="0" w:after="0"/>
        <w:ind w:left="0" w:right="0" w:firstLine="49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Provision for Impairment and Adjustments to CECL Reserve.</w:t>
      </w:r>
      <w:r>
        <w:rPr>
          <w:rFonts w:ascii="Times New Roman;Times;serif" w:hAnsi="Times New Roman;Times;serif"/>
          <w:sz w:val="20"/>
          <w:shd w:fill="FFFFFF" w:val="clear"/>
        </w:rPr>
        <w:t> </w:t>
      </w:r>
      <w:r>
        <w:rPr>
          <w:rFonts w:ascii="Times New Roman;Times;serif" w:hAnsi="Times New Roman;Times;serif"/>
          <w:color w:val="212529"/>
          <w:sz w:val="20"/>
          <w:shd w:fill="FFFFFF" w:val="clear"/>
        </w:rPr>
        <w:t xml:space="preserve">There were no impairment charges on the Company’s income property portfolio during the three months ended </w:t>
      </w:r>
      <w:r>
        <w:rPr>
          <w:rFonts w:ascii="Times New Roman;Times;serif" w:hAnsi="Times New Roman;Times;serif"/>
          <w:sz w:val="20"/>
        </w:rPr>
        <w:t>June 30, 2026 and 2025</w:t>
      </w:r>
      <w:r>
        <w:rPr>
          <w:rFonts w:ascii="Times New Roman;Times;serif" w:hAnsi="Times New Roman;Times;serif"/>
          <w:color w:val="212529"/>
          <w:sz w:val="20"/>
          <w:shd w:fill="FFFFFF" w:val="clear"/>
        </w:rPr>
        <w:t xml:space="preserve">. </w:t>
      </w:r>
      <w:r>
        <w:rPr>
          <w:rFonts w:ascii="Times New Roman;Times;serif" w:hAnsi="Times New Roman;Times;serif"/>
          <w:sz w:val="20"/>
        </w:rPr>
        <w:t>The Company recorded a charge to CECL reserves related to its commercial loans and investments of $1.1 million for the three months ended June 30, 2026, with no such charge being recorded during the three months ended June 30, 2025.</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Investment and Other Income (Loss)</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During the three months ended </w:t>
      </w:r>
      <w:r>
        <w:rPr>
          <w:rFonts w:ascii="Times New Roman;Times;serif" w:hAnsi="Times New Roman;Times;serif"/>
          <w:color w:val="212529"/>
          <w:sz w:val="20"/>
          <w:shd w:fill="FFFFFF" w:val="clear"/>
        </w:rPr>
        <w:t>June 30, 2026</w:t>
      </w:r>
      <w:r>
        <w:rPr>
          <w:rFonts w:ascii="Times New Roman;Times;serif" w:hAnsi="Times New Roman;Times;serif"/>
          <w:sz w:val="20"/>
        </w:rPr>
        <w:t>, the closing stock price of PINE increased by $2.76 per share, with a closing price of $20.76 on</w:t>
      </w:r>
      <w:r>
        <w:rPr>
          <w:rFonts w:ascii="Times New Roman;Times;serif" w:hAnsi="Times New Roman;Times;serif"/>
          <w:color w:val="212529"/>
          <w:sz w:val="20"/>
          <w:shd w:fill="FFFFFF" w:val="clear"/>
        </w:rPr>
        <w:t xml:space="preserve"> June 30, 2026</w:t>
      </w:r>
      <w:r>
        <w:rPr>
          <w:rFonts w:ascii="Times New Roman;Times;serif" w:hAnsi="Times New Roman;Times;serif"/>
          <w:sz w:val="20"/>
        </w:rPr>
        <w:t xml:space="preserve">. </w:t>
      </w:r>
      <w:r>
        <w:rPr>
          <w:rFonts w:ascii="Times New Roman;Times;serif" w:hAnsi="Times New Roman;Times;serif"/>
          <w:sz w:val="20"/>
          <w:shd w:fill="FFFFFF" w:val="clear"/>
        </w:rPr>
        <w:t>During the three months ended </w:t>
      </w:r>
      <w:r>
        <w:rPr>
          <w:rFonts w:ascii="Times New Roman;Times;serif" w:hAnsi="Times New Roman;Times;serif"/>
          <w:color w:val="212529"/>
          <w:sz w:val="20"/>
          <w:shd w:fill="FFFFFF" w:val="clear"/>
        </w:rPr>
        <w:t>June 30</w:t>
      </w:r>
      <w:r>
        <w:rPr>
          <w:rFonts w:ascii="Times New Roman;Times;serif" w:hAnsi="Times New Roman;Times;serif"/>
          <w:sz w:val="20"/>
          <w:shd w:fill="FFFFFF" w:val="clear"/>
        </w:rPr>
        <w:t>, 2025, the closing stock price of PINE decreased by $2.01 per share, with a closing price of $14.71 on</w:t>
      </w:r>
      <w:r>
        <w:rPr>
          <w:rFonts w:ascii="Times New Roman;Times;serif" w:hAnsi="Times New Roman;Times;serif"/>
          <w:color w:val="212529"/>
          <w:sz w:val="20"/>
          <w:shd w:fill="FFFFFF" w:val="clear"/>
        </w:rPr>
        <w:t> June 30</w:t>
      </w:r>
      <w:r>
        <w:rPr>
          <w:rFonts w:ascii="Times New Roman;Times;serif" w:hAnsi="Times New Roman;Times;serif"/>
          <w:sz w:val="20"/>
          <w:shd w:fill="FFFFFF" w:val="clear"/>
        </w:rPr>
        <w:t>, 2025.</w:t>
      </w:r>
      <w:r>
        <w:rPr>
          <w:rFonts w:ascii="Times New Roman;Times;serif" w:hAnsi="Times New Roman;Times;serif"/>
          <w:color w:val="212529"/>
          <w:sz w:val="20"/>
          <w:shd w:fill="FFFFFF" w:val="clear"/>
        </w:rPr>
        <w:t> </w:t>
      </w:r>
      <w:r>
        <w:rPr>
          <w:rFonts w:ascii="Times New Roman;Times;serif" w:hAnsi="Times New Roman;Times;serif"/>
          <w:sz w:val="20"/>
        </w:rPr>
        <w:t xml:space="preserve">The change in stock price resulted in unrealized non-cash gain (loss) on the Company’s investment in PINE in the amount of $6.8 million and $(4.7) million which is included in investment and other income (loss) in the consolidated statements of operations for the three months ended </w:t>
      </w:r>
      <w:r>
        <w:rPr>
          <w:rFonts w:ascii="Times New Roman;Times;serif" w:hAnsi="Times New Roman;Times;serif"/>
          <w:color w:val="212529"/>
          <w:sz w:val="20"/>
          <w:shd w:fill="FFFFFF" w:val="clear"/>
        </w:rPr>
        <w:t>June 30, 2026 and 2025</w:t>
      </w:r>
      <w:r>
        <w:rPr>
          <w:rFonts w:ascii="Times New Roman;Times;serif" w:hAnsi="Times New Roman;Times;serif"/>
          <w:sz w:val="20"/>
        </w:rPr>
        <w:t>, respectively.</w:t>
      </w:r>
    </w:p>
    <w:p>
      <w:pPr>
        <w:pStyle w:val="TextBody"/>
        <w:bidi w:val="0"/>
        <w:spacing w:before="0" w:after="0"/>
        <w:ind w:left="0" w:right="0" w:firstLine="49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earned dividend income of $0.7 million from its investment in PINE during each of the three month periods ended </w:t>
      </w:r>
      <w:r>
        <w:rPr>
          <w:rFonts w:ascii="Times New Roman;Times;serif" w:hAnsi="Times New Roman;Times;serif"/>
          <w:color w:val="212529"/>
          <w:sz w:val="20"/>
          <w:shd w:fill="FFFFFF" w:val="clear"/>
        </w:rPr>
        <w:t>June 30, 2026 and 2025</w:t>
      </w:r>
      <w:r>
        <w:rPr>
          <w:rFonts w:ascii="Times New Roman;Times;serif" w:hAnsi="Times New Roman;Times;serif"/>
          <w:sz w:val="20"/>
        </w:rPr>
        <w:t>.</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Interest expense totaled $7.8 million and $6.9 million for the three months ended </w:t>
      </w:r>
      <w:r>
        <w:rPr>
          <w:rFonts w:ascii="Times New Roman;Times;serif" w:hAnsi="Times New Roman;Times;serif"/>
          <w:color w:val="212529"/>
          <w:sz w:val="20"/>
          <w:shd w:fill="FFFFFF" w:val="clear"/>
        </w:rPr>
        <w:t>June 30, 2026</w:t>
      </w:r>
      <w:r>
        <w:rPr>
          <w:rFonts w:ascii="Times New Roman;Times;serif" w:hAnsi="Times New Roman;Times;serif"/>
          <w:sz w:val="20"/>
        </w:rPr>
        <w:t xml:space="preserve"> and 2025, respectively. The increase of $0.9 million is </w:t>
      </w:r>
      <w:r>
        <w:rPr>
          <w:rFonts w:ascii="Times New Roman;Times;serif" w:hAnsi="Times New Roman;Times;serif"/>
          <w:sz w:val="20"/>
          <w:shd w:fill="FFFFFF" w:val="clear"/>
        </w:rPr>
        <w:t>primarily attributable to an aggregate increase in the Company’s term loan balances</w:t>
      </w:r>
      <w:r>
        <w:rPr>
          <w:rFonts w:ascii="Times New Roman;Times;serif" w:hAnsi="Times New Roman;Times;serif"/>
          <w:sz w:val="20"/>
        </w:rPr>
        <w:t>.</w:t>
      </w:r>
    </w:p>
    <w:p>
      <w:pPr>
        <w:pStyle w:val="TextBody"/>
        <w:bidi w:val="0"/>
        <w:spacing w:before="0" w:after="0"/>
        <w:ind w:left="0" w:right="0" w:firstLine="490"/>
        <w:jc w:val="both"/>
        <w:rPr/>
      </w:pPr>
      <w:r>
        <w:rPr/>
        <w:t>​</w:t>
      </w:r>
    </w:p>
    <w:p>
      <w:pPr>
        <w:pStyle w:val="TextBody"/>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Loss on Extinguishment of Debt</w:t>
      </w:r>
    </w:p>
    <w:p>
      <w:pPr>
        <w:pStyle w:val="TextBody"/>
        <w:shd w:fill="FFFFFF" w:val="clear"/>
        <w:bidi w:val="0"/>
        <w:spacing w:before="100" w:after="100"/>
        <w:ind w:left="0" w:right="0" w:hanging="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three months ended June 30, 2025, the Company settled the aggregate $51.0 million of principal outstanding on the 2025 Notes in a combination of cash and the issuance of shares of the Company’s common stock resulting in a loss on extinguishment of debt of $20.4 million. There were no such losses during the three months ended June 30, 2026.</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Income (Loss) Attributable to the Company</w:t>
      </w:r>
    </w:p>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Net income (loss) attributable to the Company totaled $15.1 million and $(23.4) million during the three months ended </w:t>
      </w:r>
      <w:r>
        <w:rPr>
          <w:rFonts w:ascii="Times New Roman;Times;serif" w:hAnsi="Times New Roman;Times;serif"/>
          <w:color w:val="212529"/>
          <w:sz w:val="20"/>
          <w:shd w:fill="FFFFFF" w:val="clear"/>
        </w:rPr>
        <w:t>June 30, 2026 and 2025,</w:t>
      </w:r>
      <w:r>
        <w:rPr>
          <w:rFonts w:ascii="Times New Roman;Times;serif" w:hAnsi="Times New Roman;Times;serif"/>
          <w:sz w:val="20"/>
        </w:rPr>
        <w:t xml:space="preserve"> respectively. The $38.5 million increase in net income is attributable to the factors described above, </w:t>
      </w:r>
      <w:r>
        <w:rPr>
          <w:rFonts w:ascii="Times New Roman;Times;serif" w:hAnsi="Times New Roman;Times;serif"/>
          <w:sz w:val="20"/>
          <w:shd w:fill="FFFFFF" w:val="clear"/>
        </w:rPr>
        <w:t>most notably the $20.4 million loss on extinguishment of debt incurred during the three months ended June 30, 2025 with no such loss during the three months ended June 30, 2026.</w:t>
      </w:r>
    </w:p>
    <w:p>
      <w:pPr>
        <w:pStyle w:val="TextBody"/>
        <w:bidi w:val="0"/>
        <w:spacing w:before="280" w:after="0"/>
        <w:ind w:left="0" w:right="0" w:hanging="0"/>
        <w:jc w:val="both"/>
        <w:rPr>
          <w:rFonts w:ascii="Times New Roman;Times;serif" w:hAnsi="Times New Roman;Times;serif"/>
          <w:b/>
          <w:sz w:val="20"/>
        </w:rPr>
      </w:pPr>
      <w:r>
        <w:rPr>
          <w:rFonts w:ascii="Times New Roman;Times;serif" w:hAnsi="Times New Roman;Times;serif"/>
          <w:b/>
          <w:sz w:val="20"/>
        </w:rPr>
        <w:t>COMPARISON OF THE SIX MONTHS ENDED JUNE 30, 2026 AND 2025</w:t>
      </w:r>
    </w:p>
    <w:p>
      <w:pPr>
        <w:pStyle w:val="TextBody"/>
        <w:bidi w:val="0"/>
        <w:spacing w:before="280" w:after="0"/>
        <w:ind w:left="0" w:right="0" w:hanging="0"/>
        <w:jc w:val="both"/>
        <w:rPr>
          <w:rFonts w:ascii="Times New Roman;Times;serif" w:hAnsi="Times New Roman;Times;serif"/>
          <w:b/>
          <w:sz w:val="20"/>
        </w:rPr>
      </w:pPr>
      <w:r>
        <w:rPr>
          <w:rFonts w:ascii="Times New Roman;Times;serif" w:hAnsi="Times New Roman;Times;serif"/>
          <w:b/>
          <w:sz w:val="20"/>
        </w:rPr>
        <w:t>Revenue</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Total revenue for the six months ended June 30, 2026 is presented in the following summary and indicates the changes as compared to the six months ended June 30, 2025 (in thousands): </w:t>
      </w:r>
    </w:p>
    <w:p>
      <w:pPr>
        <w:pStyle w:val="TextBody"/>
        <w:bidi w:val="0"/>
        <w:spacing w:before="0" w:after="0"/>
        <w:ind w:left="0" w:right="0" w:firstLine="490"/>
        <w:jc w:val="both"/>
        <w:rPr/>
      </w:pPr>
      <w:r>
        <w:rPr/>
        <w:t>​</w:t>
      </w:r>
    </w:p>
    <w:tbl>
      <w:tblPr>
        <w:tblW w:w="8171" w:type="dxa"/>
        <w:jc w:val="left"/>
        <w:tblInd w:w="0" w:type="dxa"/>
        <w:tblLayout w:type="fixed"/>
        <w:tblCellMar>
          <w:top w:w="0" w:type="dxa"/>
          <w:left w:w="0" w:type="dxa"/>
          <w:bottom w:w="0" w:type="dxa"/>
          <w:right w:w="0" w:type="dxa"/>
        </w:tblCellMar>
      </w:tblPr>
      <w:tblGrid>
        <w:gridCol w:w="3016"/>
        <w:gridCol w:w="346"/>
        <w:gridCol w:w="267"/>
        <w:gridCol w:w="856"/>
        <w:gridCol w:w="138"/>
        <w:gridCol w:w="267"/>
        <w:gridCol w:w="856"/>
        <w:gridCol w:w="109"/>
        <w:gridCol w:w="246"/>
        <w:gridCol w:w="790"/>
        <w:gridCol w:w="109"/>
        <w:gridCol w:w="1171"/>
      </w:tblGrid>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19710" cy="175260"/>
                      <wp:effectExtent l="0" t="0" r="0" b="0"/>
                      <wp:wrapNone/>
                      <wp:docPr id="472" name="Frame4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69545" cy="175260"/>
                      <wp:effectExtent l="0" t="0" r="0" b="0"/>
                      <wp:wrapNone/>
                      <wp:docPr id="473" name="Frame473"/>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543560" cy="175260"/>
                      <wp:effectExtent l="0" t="0" r="0" b="0"/>
                      <wp:wrapNone/>
                      <wp:docPr id="474" name="Frame474"/>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87630" cy="175260"/>
                      <wp:effectExtent l="0" t="0" r="0" b="0"/>
                      <wp:wrapNone/>
                      <wp:docPr id="475" name="Frame475"/>
                      <a:graphic xmlns:a="http://schemas.openxmlformats.org/drawingml/2006/main">
                        <a:graphicData uri="http://schemas.microsoft.com/office/word/2010/wordprocessingShape">
                          <wps:wsp>
                            <wps:cNvSpPr txBox="1"/>
                            <wps:spPr>
                              <a:xfrm>
                                <a:off x="0" y="0"/>
                                <a:ext cx="87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69545" cy="175260"/>
                      <wp:effectExtent l="0" t="0" r="0" b="0"/>
                      <wp:wrapNone/>
                      <wp:docPr id="476" name="Frame476"/>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543560" cy="175260"/>
                      <wp:effectExtent l="0" t="0" r="0" b="0"/>
                      <wp:wrapNone/>
                      <wp:docPr id="477" name="Frame477"/>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9215" cy="175260"/>
                      <wp:effectExtent l="0" t="0" r="0" b="0"/>
                      <wp:wrapNone/>
                      <wp:docPr id="478" name="Frame4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56210" cy="175260"/>
                      <wp:effectExtent l="0" t="0" r="0" b="0"/>
                      <wp:wrapNone/>
                      <wp:docPr id="479" name="Frame479"/>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501650" cy="175260"/>
                      <wp:effectExtent l="0" t="0" r="0" b="0"/>
                      <wp:wrapNone/>
                      <wp:docPr id="480" name="Frame480"/>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9215" cy="175260"/>
                      <wp:effectExtent l="0" t="0" r="0" b="0"/>
                      <wp:wrapNone/>
                      <wp:docPr id="481" name="Frame4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743585" cy="175260"/>
                      <wp:effectExtent l="0" t="0" r="0" b="0"/>
                      <wp:wrapNone/>
                      <wp:docPr id="482" name="Frame482"/>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r>
      <w:tr>
        <w:trPr/>
        <w:tc>
          <w:tcPr>
            <w:tcW w:w="30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Segment</w:t>
            </w:r>
          </w:p>
        </w:tc>
        <w:tc>
          <w:tcPr>
            <w:tcW w:w="346" w:type="dxa"/>
            <w:tcBorders/>
            <w:vAlign w:val="center"/>
          </w:tcPr>
          <w:p>
            <w:pPr>
              <w:pStyle w:val="TableContents"/>
              <w:bidi w:val="0"/>
              <w:spacing w:before="0" w:after="0"/>
              <w:ind w:left="0" w:right="0" w:hanging="0"/>
              <w:jc w:val="left"/>
              <w:rPr/>
            </w:pPr>
            <w:r>
              <w:rPr/>
              <w:t>  ​ ​ ​</w:t>
            </w:r>
          </w:p>
        </w:tc>
        <w:tc>
          <w:tcPr>
            <w:tcW w:w="11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38" w:type="dxa"/>
            <w:tcBorders/>
            <w:vAlign w:val="center"/>
          </w:tcPr>
          <w:p>
            <w:pPr>
              <w:pStyle w:val="TableContents"/>
              <w:bidi w:val="0"/>
              <w:spacing w:before="0" w:after="0"/>
              <w:ind w:left="0" w:right="0" w:hanging="0"/>
              <w:jc w:val="left"/>
              <w:rPr/>
            </w:pPr>
            <w:r>
              <w:rPr/>
              <w:t>​</w:t>
            </w:r>
          </w:p>
        </w:tc>
        <w:tc>
          <w:tcPr>
            <w:tcW w:w="11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73,716</w:t>
            </w:r>
          </w:p>
        </w:tc>
        <w:tc>
          <w:tcPr>
            <w:tcW w:w="138"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65,047</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8,669</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Services</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2,815</w:t>
            </w:r>
          </w:p>
        </w:tc>
        <w:tc>
          <w:tcPr>
            <w:tcW w:w="138"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2,425</w:t>
            </w:r>
          </w:p>
        </w:tc>
        <w:tc>
          <w:tcPr>
            <w:tcW w:w="109"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8,473</w:t>
            </w:r>
          </w:p>
        </w:tc>
        <w:tc>
          <w:tcPr>
            <w:tcW w:w="138"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5,977</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2,496</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85,004</w:t>
            </w:r>
          </w:p>
        </w:tc>
        <w:tc>
          <w:tcPr>
            <w:tcW w:w="138" w:type="dxa"/>
            <w:tcBorders/>
            <w:vAlign w:val="center"/>
          </w:tcPr>
          <w:p>
            <w:pPr>
              <w:pStyle w:val="TableContents"/>
              <w:bidi w:val="0"/>
              <w:spacing w:before="0" w:after="0"/>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73,449</w:t>
            </w:r>
          </w:p>
        </w:tc>
        <w:tc>
          <w:tcPr>
            <w:tcW w:w="109" w:type="dxa"/>
            <w:tcBorders/>
            <w:vAlign w:val="center"/>
          </w:tcPr>
          <w:p>
            <w:pPr>
              <w:pStyle w:val="TableContents"/>
              <w:bidi w:val="0"/>
              <w:spacing w:before="0" w:after="0"/>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11,555</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15.7%</w:t>
            </w:r>
          </w:p>
        </w:tc>
      </w:tr>
    </w:tbl>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Total revenue for the six months ended June 30, 2026 increased to $85.0 million, compared to $73.4 million during the six months ended June 30, 2025. The $11.6 million increase in total revenue is primarily attributable to increased income produced by the Company’s recent income property acquisitions versus that of properties disposed of by the Company during the comparative period, as well as more same store revenue from our properties owned during each period. Additionally, revenues from our commercial loans and investments have increased due to the recent preferred equity investments which are accounted for within our commercial loan and investment portfolio.</w:t>
      </w:r>
    </w:p>
    <w:p>
      <w:pPr>
        <w:pStyle w:val="TextBody"/>
        <w:bidi w:val="0"/>
        <w:spacing w:before="0" w:after="0"/>
        <w:ind w:left="0" w:right="0" w:firstLine="49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Properties</w:t>
      </w:r>
    </w:p>
    <w:p>
      <w:pPr>
        <w:pStyle w:val="TextBody"/>
        <w:bidi w:val="0"/>
        <w:spacing w:before="240" w:after="240"/>
        <w:ind w:left="0" w:right="0" w:firstLine="446"/>
        <w:jc w:val="both"/>
        <w:rPr>
          <w:rFonts w:ascii="Times New Roman;Times;serif" w:hAnsi="Times New Roman;Times;serif"/>
          <w:sz w:val="20"/>
        </w:rPr>
      </w:pPr>
      <w:r>
        <w:rPr>
          <w:rFonts w:ascii="Times New Roman;Times;serif" w:hAnsi="Times New Roman;Times;serif"/>
          <w:sz w:val="20"/>
        </w:rPr>
        <w:t>Revenue and operating income from our income property operations totaled $73.7 million and $52.4 million, respectively, during the six months ended June 30, 2026, compared to total revenue and operating income of $65.0 million and $46.0 million, respectively, for the six months ended June 30, 2025. The direct costs of revenues for our income property operations totaled $21.3 million and $19.1 million for the six months ended June 30, 2026 and 2025, respectively. The increase in revenues of $8.7 million, or 13.3%, during the six months ended June 30, 2026 is primarily related to the overall growth and lease up of the Company’s income property portfolio, as well as the timing of acquisitions versus dispositions. The increase in operating income of $6.4 million from our income property operations reflects increased rent revenues related to our net investments as well as leasing activity.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Management Services</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Revenue from our management services from PINE totaled $2.7 million and $2.2 million during the six months ended June 30, 2026 and 2025, respectively. Management services during the six months ended June 30, 2026 and 2025 also included $0.1 million and $0.2 million of revenue, respectively, from the asset management agreement with a third party to manage a portfolio of multi-tenant and single-tenant assets (the “Portfolio Management Agreement”), and less than $0.1 million from a subsurface management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Commercial Loans and Investments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Interest income from our commercial loans and investments totaled $8.5 million and $6.0 million during the six months ended June 30, 2026 and 2025, respectively. The increase of $2.5 million is primarily due to the timing of the investments made related to new loan originations and structured investments and repayments of previous investments, most notably the two preferred equity agreements for aggregate investments of $96.4 million completed during the three months ended June 30, 2026.  </w:t>
      </w:r>
    </w:p>
    <w:p>
      <w:pPr>
        <w:pStyle w:val="TextBody"/>
        <w:bidi w:val="0"/>
        <w:spacing w:before="240" w:after="0"/>
        <w:ind w:left="0" w:right="0" w:hanging="0"/>
        <w:jc w:val="both"/>
        <w:rPr>
          <w:rFonts w:ascii="Times New Roman;Times;serif" w:hAnsi="Times New Roman;Times;serif"/>
          <w:b/>
          <w:sz w:val="20"/>
        </w:rPr>
      </w:pPr>
      <w:r>
        <w:rPr>
          <w:rFonts w:ascii="Times New Roman;Times;serif" w:hAnsi="Times New Roman;Times;serif"/>
          <w:b/>
          <w:sz w:val="20"/>
        </w:rPr>
        <w:t>General and Administrative Expenses</w:t>
      </w:r>
    </w:p>
    <w:p>
      <w:pPr>
        <w:pStyle w:val="TextBody"/>
        <w:bidi w:val="0"/>
        <w:spacing w:before="240" w:after="120"/>
        <w:ind w:left="0" w:right="0" w:firstLine="490"/>
        <w:jc w:val="both"/>
        <w:rPr>
          <w:rFonts w:ascii="Times New Roman;Times;serif" w:hAnsi="Times New Roman;Times;serif"/>
          <w:sz w:val="20"/>
        </w:rPr>
      </w:pPr>
      <w:r>
        <w:rPr>
          <w:rFonts w:ascii="Times New Roman;Times;serif" w:hAnsi="Times New Roman;Times;serif"/>
          <w:sz w:val="20"/>
        </w:rPr>
        <w:t>Total general and administrative expenses for the six months ended June 30, 2026 is presented in the following summary and indicates the changes as compared to the six months ended June 30, 2025 (in thousands):</w:t>
      </w:r>
    </w:p>
    <w:tbl>
      <w:tblPr>
        <w:tblW w:w="9175" w:type="dxa"/>
        <w:jc w:val="left"/>
        <w:tblInd w:w="0" w:type="dxa"/>
        <w:tblLayout w:type="fixed"/>
        <w:tblCellMar>
          <w:top w:w="0" w:type="dxa"/>
          <w:left w:w="0" w:type="dxa"/>
          <w:bottom w:w="0" w:type="dxa"/>
          <w:right w:w="0" w:type="dxa"/>
        </w:tblCellMar>
      </w:tblPr>
      <w:tblGrid>
        <w:gridCol w:w="4021"/>
        <w:gridCol w:w="346"/>
        <w:gridCol w:w="300"/>
        <w:gridCol w:w="814"/>
        <w:gridCol w:w="155"/>
        <w:gridCol w:w="300"/>
        <w:gridCol w:w="814"/>
        <w:gridCol w:w="109"/>
        <w:gridCol w:w="345"/>
        <w:gridCol w:w="691"/>
        <w:gridCol w:w="109"/>
        <w:gridCol w:w="1171"/>
      </w:tblGrid>
      <w:tr>
        <w:trPr/>
        <w:tc>
          <w:tcPr>
            <w:tcW w:w="4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19710" cy="175260"/>
                      <wp:effectExtent l="0" t="0" r="0" b="0"/>
                      <wp:wrapNone/>
                      <wp:docPr id="483" name="Frame4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90500" cy="175260"/>
                      <wp:effectExtent l="0" t="0" r="0" b="0"/>
                      <wp:wrapNone/>
                      <wp:docPr id="484" name="Frame484"/>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516890" cy="175260"/>
                      <wp:effectExtent l="0" t="0" r="0" b="0"/>
                      <wp:wrapNone/>
                      <wp:docPr id="485" name="Frame485"/>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98425" cy="175260"/>
                      <wp:effectExtent l="0" t="0" r="0" b="0"/>
                      <wp:wrapNone/>
                      <wp:docPr id="486" name="Frame486"/>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90500" cy="175260"/>
                      <wp:effectExtent l="0" t="0" r="0" b="0"/>
                      <wp:wrapNone/>
                      <wp:docPr id="487" name="Frame487"/>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516890" cy="175260"/>
                      <wp:effectExtent l="0" t="0" r="0" b="0"/>
                      <wp:wrapNone/>
                      <wp:docPr id="488" name="Frame488"/>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9215" cy="175260"/>
                      <wp:effectExtent l="0" t="0" r="0" b="0"/>
                      <wp:wrapNone/>
                      <wp:docPr id="489" name="Frame4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19075" cy="175260"/>
                      <wp:effectExtent l="0" t="0" r="0" b="0"/>
                      <wp:wrapNone/>
                      <wp:docPr id="490" name="Frame490"/>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438785" cy="175260"/>
                      <wp:effectExtent l="0" t="0" r="0" b="0"/>
                      <wp:wrapNone/>
                      <wp:docPr id="491" name="Frame49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69215" cy="175260"/>
                      <wp:effectExtent l="0" t="0" r="0" b="0"/>
                      <wp:wrapNone/>
                      <wp:docPr id="492" name="Frame4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743585" cy="175260"/>
                      <wp:effectExtent l="0" t="0" r="0" b="0"/>
                      <wp:wrapNone/>
                      <wp:docPr id="493" name="Frame493"/>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r>
      <w:tr>
        <w:trPr/>
        <w:tc>
          <w:tcPr>
            <w:tcW w:w="40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w:t>
            </w:r>
          </w:p>
        </w:tc>
        <w:tc>
          <w:tcPr>
            <w:tcW w:w="346" w:type="dxa"/>
            <w:tcBorders/>
            <w:vAlign w:val="center"/>
          </w:tcPr>
          <w:p>
            <w:pPr>
              <w:pStyle w:val="TableContents"/>
              <w:bidi w:val="0"/>
              <w:spacing w:before="0" w:after="0"/>
              <w:ind w:left="0" w:right="0" w:hanging="0"/>
              <w:jc w:val="left"/>
              <w:rPr/>
            </w:pPr>
            <w:r>
              <w:rPr/>
              <w:t>  ​ ​ ​</w:t>
            </w:r>
          </w:p>
        </w:tc>
        <w:tc>
          <w:tcPr>
            <w:tcW w:w="11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55" w:type="dxa"/>
            <w:tcBorders/>
            <w:vAlign w:val="center"/>
          </w:tcPr>
          <w:p>
            <w:pPr>
              <w:pStyle w:val="TableContents"/>
              <w:bidi w:val="0"/>
              <w:spacing w:before="0" w:after="0"/>
              <w:ind w:left="0" w:right="0" w:hanging="0"/>
              <w:jc w:val="left"/>
              <w:rPr/>
            </w:pPr>
            <w:r>
              <w:rPr/>
              <w:t>​</w:t>
            </w:r>
          </w:p>
        </w:tc>
        <w:tc>
          <w:tcPr>
            <w:tcW w:w="11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Recurring 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7,185</w:t>
            </w:r>
          </w:p>
        </w:tc>
        <w:tc>
          <w:tcPr>
            <w:tcW w:w="155"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6,845</w:t>
            </w:r>
          </w:p>
        </w:tc>
        <w:tc>
          <w:tcPr>
            <w:tcW w:w="109"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Non-Cash Stock Compensation </w:t>
            </w:r>
          </w:p>
        </w:tc>
        <w:tc>
          <w:tcPr>
            <w:tcW w:w="34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2,522</w:t>
            </w:r>
          </w:p>
        </w:tc>
        <w:tc>
          <w:tcPr>
            <w:tcW w:w="155"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2,286</w:t>
            </w:r>
          </w:p>
        </w:tc>
        <w:tc>
          <w:tcPr>
            <w:tcW w:w="109"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9,707</w:t>
            </w:r>
          </w:p>
        </w:tc>
        <w:tc>
          <w:tcPr>
            <w:tcW w:w="155"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9,131</w:t>
            </w:r>
          </w:p>
        </w:tc>
        <w:tc>
          <w:tcPr>
            <w:tcW w:w="109"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6.3%</w:t>
            </w:r>
          </w:p>
        </w:tc>
      </w:tr>
    </w:tbl>
    <w:p>
      <w:pPr>
        <w:pStyle w:val="TextBody"/>
        <w:bidi w:val="0"/>
        <w:spacing w:before="240" w:after="120"/>
        <w:ind w:left="0" w:right="0" w:firstLine="490"/>
        <w:jc w:val="both"/>
        <w:rPr>
          <w:rFonts w:ascii="Times New Roman;Times;serif" w:hAnsi="Times New Roman;Times;serif"/>
          <w:sz w:val="20"/>
        </w:rPr>
      </w:pPr>
      <w:r>
        <w:rPr>
          <w:rFonts w:ascii="Times New Roman;Times;serif" w:hAnsi="Times New Roman;Times;serif"/>
          <w:sz w:val="20"/>
        </w:rPr>
        <w:t>The primary reason for the increase in total general and administrative expenses is the overall higher employee count, as a result of the increased operating activity from the increase in managed income property assets.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Depreciation and Amortization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Depreciation and amortization totaled $31.8 million and $29.7 million during the six months ended June 30, 2026 and 2025, respectively. The increase of $2.1 million is due to the overall growth in the Company’s income property portfolio.</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Gain on Disposition of Assets and Provision for Impairment and Adjustments to CECL Reserve</w:t>
      </w:r>
    </w:p>
    <w:p>
      <w:pPr>
        <w:pStyle w:val="TextBody"/>
        <w:bidi w:val="0"/>
        <w:spacing w:before="100" w:after="100"/>
        <w:ind w:left="0" w:right="0" w:hanging="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i/>
          <w:color w:val="212529"/>
          <w:sz w:val="20"/>
        </w:rPr>
        <w:t>2026 and 2025 Dispositions.</w:t>
      </w:r>
      <w:r>
        <w:rPr>
          <w:rFonts w:ascii="Times New Roman;Times;serif" w:hAnsi="Times New Roman;Times;serif"/>
          <w:color w:val="212529"/>
          <w:sz w:val="20"/>
        </w:rPr>
        <w:t xml:space="preserve"> During the six months ended June 30, 2026, the Company sold two shopping center properties for $90.7 million, generating gains of $2.1 million. </w:t>
      </w:r>
      <w:r>
        <w:rPr>
          <w:rFonts w:ascii="Times New Roman;Times;serif" w:hAnsi="Times New Roman;Times;serif"/>
          <w:sz w:val="20"/>
        </w:rPr>
        <w:t>There were no income property dispositions during the six months ended June 30, 2025.</w:t>
      </w:r>
    </w:p>
    <w:p>
      <w:pPr>
        <w:pStyle w:val="TextBody"/>
        <w:shd w:fill="FFFFFF" w:val="clear"/>
        <w:bidi w:val="0"/>
        <w:spacing w:before="0" w:after="0"/>
        <w:ind w:left="0" w:right="0" w:firstLine="49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Provision for Impairment and Adjustments to CECL Reserve.</w:t>
      </w:r>
      <w:r>
        <w:rPr>
          <w:rFonts w:ascii="Times New Roman;Times;serif" w:hAnsi="Times New Roman;Times;serif"/>
          <w:sz w:val="20"/>
          <w:shd w:fill="FFFFFF" w:val="clear"/>
        </w:rPr>
        <w:t> </w:t>
      </w:r>
      <w:r>
        <w:rPr>
          <w:rFonts w:ascii="Times New Roman;Times;serif" w:hAnsi="Times New Roman;Times;serif"/>
          <w:color w:val="212529"/>
          <w:sz w:val="20"/>
          <w:shd w:fill="FFFFFF" w:val="clear"/>
        </w:rPr>
        <w:t xml:space="preserve">There were no impairment charges on the Company’s income property portfolio during the </w:t>
      </w:r>
      <w:r>
        <w:rPr>
          <w:rFonts w:ascii="Times New Roman;Times;serif" w:hAnsi="Times New Roman;Times;serif"/>
          <w:sz w:val="20"/>
        </w:rPr>
        <w:t xml:space="preserve">six </w:t>
      </w:r>
      <w:r>
        <w:rPr>
          <w:rFonts w:ascii="Times New Roman;Times;serif" w:hAnsi="Times New Roman;Times;serif"/>
          <w:color w:val="212529"/>
          <w:sz w:val="20"/>
          <w:shd w:fill="FFFFFF" w:val="clear"/>
        </w:rPr>
        <w:t xml:space="preserve">months ended </w:t>
      </w:r>
      <w:r>
        <w:rPr>
          <w:rFonts w:ascii="Times New Roman;Times;serif" w:hAnsi="Times New Roman;Times;serif"/>
          <w:sz w:val="20"/>
        </w:rPr>
        <w:t>June 30, 2026 and 2025</w:t>
      </w:r>
      <w:r>
        <w:rPr>
          <w:rFonts w:ascii="Times New Roman;Times;serif" w:hAnsi="Times New Roman;Times;serif"/>
          <w:color w:val="212529"/>
          <w:sz w:val="20"/>
          <w:shd w:fill="FFFFFF" w:val="clear"/>
        </w:rPr>
        <w:t xml:space="preserve">. </w:t>
      </w:r>
      <w:r>
        <w:rPr>
          <w:rFonts w:ascii="Times New Roman;Times;serif" w:hAnsi="Times New Roman;Times;serif"/>
          <w:sz w:val="20"/>
        </w:rPr>
        <w:t>The Company recorded a charge to CECL reserves related to its commercial loans and investments of $0.8 million for the six months ended June 30, 2026, with no such charge being recorded during the six months ended June 30, 2025.</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Investment and Other Income (Loss)</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During the six months ended </w:t>
      </w:r>
      <w:r>
        <w:rPr>
          <w:rFonts w:ascii="Times New Roman;Times;serif" w:hAnsi="Times New Roman;Times;serif"/>
          <w:color w:val="212529"/>
          <w:sz w:val="20"/>
          <w:shd w:fill="FFFFFF" w:val="clear"/>
        </w:rPr>
        <w:t>June 30, 2026</w:t>
      </w:r>
      <w:r>
        <w:rPr>
          <w:rFonts w:ascii="Times New Roman;Times;serif" w:hAnsi="Times New Roman;Times;serif"/>
          <w:sz w:val="20"/>
        </w:rPr>
        <w:t>, the closing stock price of PINE increased by $4.04 per share, with a closing price of $20.76 on</w:t>
      </w:r>
      <w:r>
        <w:rPr>
          <w:rFonts w:ascii="Times New Roman;Times;serif" w:hAnsi="Times New Roman;Times;serif"/>
          <w:color w:val="212529"/>
          <w:sz w:val="20"/>
          <w:shd w:fill="FFFFFF" w:val="clear"/>
        </w:rPr>
        <w:t xml:space="preserve"> June 30, 2026</w:t>
      </w:r>
      <w:r>
        <w:rPr>
          <w:rFonts w:ascii="Times New Roman;Times;serif" w:hAnsi="Times New Roman;Times;serif"/>
          <w:sz w:val="20"/>
        </w:rPr>
        <w:t xml:space="preserve">. </w:t>
      </w:r>
      <w:r>
        <w:rPr>
          <w:rFonts w:ascii="Times New Roman;Times;serif" w:hAnsi="Times New Roman;Times;serif"/>
          <w:sz w:val="20"/>
          <w:shd w:fill="FFFFFF" w:val="clear"/>
        </w:rPr>
        <w:t>During the six months ended June 30, 2025, the closing stock price of PINE decreased by $2.08 per share, with a closing price of $14.71 on June 30, 2025</w:t>
      </w:r>
      <w:r>
        <w:rPr>
          <w:rFonts w:ascii="Times New Roman;Times;serif" w:hAnsi="Times New Roman;Times;serif"/>
          <w:color w:val="212529"/>
          <w:sz w:val="20"/>
          <w:shd w:fill="FFFFFF" w:val="clear"/>
        </w:rPr>
        <w:t>. </w:t>
      </w:r>
      <w:r>
        <w:rPr>
          <w:rFonts w:ascii="Times New Roman;Times;serif" w:hAnsi="Times New Roman;Times;serif"/>
          <w:sz w:val="20"/>
        </w:rPr>
        <w:t xml:space="preserve">The change in stock price resulted in unrealized non-cash gain (loss) on the Company’s investment in PINE in the amount of $10.0 million and $(4.9) million which is included in investment and other income (loss) in the consolidated statements of operations for the six months ended </w:t>
      </w:r>
      <w:r>
        <w:rPr>
          <w:rFonts w:ascii="Times New Roman;Times;serif" w:hAnsi="Times New Roman;Times;serif"/>
          <w:color w:val="212529"/>
          <w:sz w:val="20"/>
          <w:shd w:fill="FFFFFF" w:val="clear"/>
        </w:rPr>
        <w:t>June 30, 2026 and 2025</w:t>
      </w:r>
      <w:r>
        <w:rPr>
          <w:rFonts w:ascii="Times New Roman;Times;serif" w:hAnsi="Times New Roman;Times;serif"/>
          <w:sz w:val="20"/>
        </w:rPr>
        <w:t>, respectively.</w:t>
      </w:r>
    </w:p>
    <w:p>
      <w:pPr>
        <w:pStyle w:val="TextBody"/>
        <w:bidi w:val="0"/>
        <w:spacing w:before="0" w:after="0"/>
        <w:ind w:left="0" w:right="0" w:firstLine="49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earned dividend income of $1.5 million and $1.3 million from its investment in PINE during the six months ended </w:t>
      </w:r>
      <w:r>
        <w:rPr>
          <w:rFonts w:ascii="Times New Roman;Times;serif" w:hAnsi="Times New Roman;Times;serif"/>
          <w:color w:val="212529"/>
          <w:sz w:val="20"/>
          <w:shd w:fill="FFFFFF" w:val="clear"/>
        </w:rPr>
        <w:t>June 30, 2026 and 2025, respectively</w:t>
      </w:r>
      <w:r>
        <w:rPr>
          <w:rFonts w:ascii="Times New Roman;Times;serif" w:hAnsi="Times New Roman;Times;serif"/>
          <w:sz w:val="20"/>
        </w:rPr>
        <w:t>.</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Interest expense totaled $15.1 million and $13.0 million for the six months ended </w:t>
      </w:r>
      <w:r>
        <w:rPr>
          <w:rFonts w:ascii="Times New Roman;Times;serif" w:hAnsi="Times New Roman;Times;serif"/>
          <w:color w:val="212529"/>
          <w:sz w:val="20"/>
          <w:shd w:fill="FFFFFF" w:val="clear"/>
        </w:rPr>
        <w:t>June 30, 2026</w:t>
      </w:r>
      <w:r>
        <w:rPr>
          <w:rFonts w:ascii="Times New Roman;Times;serif" w:hAnsi="Times New Roman;Times;serif"/>
          <w:sz w:val="20"/>
        </w:rPr>
        <w:t xml:space="preserve"> and 2025, respectively. The increase of $2.1 million is </w:t>
      </w:r>
      <w:r>
        <w:rPr>
          <w:rFonts w:ascii="Times New Roman;Times;serif" w:hAnsi="Times New Roman;Times;serif"/>
          <w:sz w:val="20"/>
          <w:shd w:fill="FFFFFF" w:val="clear"/>
        </w:rPr>
        <w:t>primarily attributable to an aggregate increase in the Company’s term loan balances</w:t>
      </w:r>
      <w:r>
        <w:rPr>
          <w:rFonts w:ascii="Times New Roman;Times;serif" w:hAnsi="Times New Roman;Times;serif"/>
          <w:sz w:val="20"/>
        </w:rPr>
        <w:t>.</w:t>
      </w:r>
    </w:p>
    <w:p>
      <w:pPr>
        <w:pStyle w:val="TextBody"/>
        <w:bidi w:val="0"/>
        <w:spacing w:before="0" w:after="0"/>
        <w:ind w:left="0" w:right="0" w:firstLine="490"/>
        <w:jc w:val="both"/>
        <w:rPr/>
      </w:pPr>
      <w:r>
        <w:rPr/>
        <w:t>​</w:t>
      </w:r>
    </w:p>
    <w:p>
      <w:pPr>
        <w:pStyle w:val="TextBody"/>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Loss on Extinguishment of Debt</w:t>
      </w:r>
    </w:p>
    <w:p>
      <w:pPr>
        <w:pStyle w:val="TextBody"/>
        <w:shd w:fill="FFFFFF" w:val="clear"/>
        <w:bidi w:val="0"/>
        <w:spacing w:before="100" w:after="100"/>
        <w:ind w:left="0" w:right="0" w:hanging="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six months ended June 30, 2025, the Company settled the aggregate $51.0 million of principal outstanding on the 2025 Notes in a combination of cash and the issuance of shares of the Company’s common stock resulting in a loss on extinguishment of debt of $20.4 million. There were no such losses during the six months ended June 30, 2026.</w:t>
      </w:r>
    </w:p>
    <w:p>
      <w:pPr>
        <w:pStyle w:val="TextBody"/>
        <w:shd w:fill="FFFFFF" w:val="clear"/>
        <w:bidi w:val="0"/>
        <w:spacing w:before="100" w:after="100"/>
        <w:ind w:left="0" w:right="0" w:firstLine="72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Income (Loss) Attributable to the Company</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Net income (loss) attributable to the Company totaled $21.3 million and $(21.2) million during the six months ended </w:t>
      </w:r>
      <w:r>
        <w:rPr>
          <w:rFonts w:ascii="Times New Roman;Times;serif" w:hAnsi="Times New Roman;Times;serif"/>
          <w:color w:val="212529"/>
          <w:sz w:val="20"/>
          <w:shd w:fill="FFFFFF" w:val="clear"/>
        </w:rPr>
        <w:t>June 30, 2026 and 2025,</w:t>
      </w:r>
      <w:r>
        <w:rPr>
          <w:rFonts w:ascii="Times New Roman;Times;serif" w:hAnsi="Times New Roman;Times;serif"/>
          <w:sz w:val="20"/>
        </w:rPr>
        <w:t xml:space="preserve"> respectively. The $42.5 million increase in net income is attributable to the factors described above, </w:t>
      </w:r>
      <w:r>
        <w:rPr>
          <w:rFonts w:ascii="Times New Roman;Times;serif" w:hAnsi="Times New Roman;Times;serif"/>
          <w:sz w:val="20"/>
          <w:shd w:fill="FFFFFF" w:val="clear"/>
        </w:rPr>
        <w:t>most notably the $20.4 million loss on extinguishment of debt incurred during the six months ended June 30, 2025 with no such loss during the six months ended June 30, 2026.</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Cash and cash equivalents totaled $8.1 million at </w:t>
      </w:r>
      <w:r>
        <w:rPr>
          <w:rFonts w:ascii="Times New Roman;Times;serif" w:hAnsi="Times New Roman;Times;serif"/>
          <w:color w:val="212529"/>
          <w:sz w:val="20"/>
          <w:shd w:fill="FFFFFF" w:val="clear"/>
        </w:rPr>
        <w:t>June 30, 2026</w:t>
      </w:r>
      <w:r>
        <w:rPr>
          <w:rFonts w:ascii="Times New Roman;Times;serif" w:hAnsi="Times New Roman;Times;serif"/>
          <w:sz w:val="20"/>
        </w:rPr>
        <w:t xml:space="preserve">, while restricted cash totaled $35.4 million, see Note 2, “Summary of Significant Accounting Policies” in the Notes to Financial Statements under the heading Restricted Cash for the Company’s disclosure related to its restricted cash balance at </w:t>
      </w:r>
      <w:r>
        <w:rPr>
          <w:rFonts w:ascii="Times New Roman;Times;serif" w:hAnsi="Times New Roman;Times;serif"/>
          <w:color w:val="212529"/>
          <w:sz w:val="20"/>
          <w:shd w:fill="FFFFFF" w:val="clear"/>
        </w:rPr>
        <w:t>June 30, 2026</w:t>
      </w:r>
      <w:r>
        <w:rPr>
          <w:rFonts w:ascii="Times New Roman;Times;serif" w:hAnsi="Times New Roman;Times;serif"/>
          <w:sz w:val="20"/>
        </w:rPr>
        <w:t>.</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Our cash flows provided by operating activities totaled $34.6 million during the six months ended June 30, 2026, as compared to $27.5 million during the six months ended June 30, 2025, an increase of $7.1 million. The primary reason for the increase is the increased cash flows provided by income properties, which is the result of the overall growth and lease up of the Company’s income property portfolio, as well as increased cash flows from our commercial loans and investments.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cash flows used in investing activities totaled $140.6 million during the six months ended June 30, 2026, as compared to $83.7 million during the six months ended June 30, 2025, for an increase in cash outflows of $56.9 million. This increase was primarily driven by a $78.5 million increase in net funding of new and existing commercial loans and investments, including related reserve funding, partially offset by $21.1 million of net proceeds from income property dispositions in excess of acquisition and capital investment activity.</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Our cash flows provided by financing activities totaled $108.4 million during the six months ended June 30, 2026, compared to $57.7 million for the six months ended June 30, 2025, an increase in cash inflows of $50.7 million. The increase is primarily due to $97.5 million in higher cash inflows from common stock issuances under the common ATM program and the </w:t>
      </w:r>
      <w:r>
        <w:rPr>
          <w:rFonts w:ascii="Times New Roman;Times;serif" w:hAnsi="Times New Roman;Times;serif"/>
          <w:sz w:val="20"/>
          <w:shd w:fill="FFFFFF" w:val="clear"/>
        </w:rPr>
        <w:t>$14.1 million premium paid related to the settlement of the 2025 Notes during the six months ended June 30, 2025,</w:t>
      </w:r>
      <w:r>
        <w:rPr>
          <w:rFonts w:ascii="Times New Roman;Times;serif" w:hAnsi="Times New Roman;Times;serif"/>
          <w:sz w:val="20"/>
        </w:rPr>
        <w:t xml:space="preserve"> which was partially offset by a $58.7 million reduction in proceeds from long-term debt issuances.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i/>
          <w:sz w:val="20"/>
        </w:rPr>
        <w:t xml:space="preserve">Long-Term Debt. </w:t>
      </w:r>
      <w:r>
        <w:rPr>
          <w:rFonts w:ascii="Times New Roman;Times;serif" w:hAnsi="Times New Roman;Times;serif"/>
          <w:sz w:val="20"/>
        </w:rPr>
        <w:t>At June 30, 2026, the current commitment level under the Revolving Credit Facility was $300.0 million. The undrawn commitment under the Revolving Credit Facility totaled $107.0 million. As of June 30, 2026, the Revolving Credit Facility had a $193.0 million balance outstanding. See Note 14, “Long-Term Debt” in the Notes to Financial Statements for the Company’s disclosure related to its long-term debt balance at June 30, 2026.</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i/>
          <w:sz w:val="20"/>
        </w:rPr>
        <w:t>Acquisitions and Investments.</w:t>
      </w:r>
      <w:r>
        <w:rPr>
          <w:rFonts w:ascii="Times New Roman;Times;serif" w:hAnsi="Times New Roman;Times;serif"/>
          <w:sz w:val="20"/>
        </w:rPr>
        <w:t xml:space="preserve"> During the six months ended June 30, 2026, the Company acquired two shopping center properties and one land parcel for an aggregate purchase price of $137.8 million, or a total acquisition cost of $138.1 million. </w:t>
      </w:r>
      <w:r>
        <w:rPr>
          <w:rFonts w:ascii="Times New Roman;Times;serif" w:hAnsi="Times New Roman;Times;serif"/>
          <w:sz w:val="20"/>
          <w:shd w:fill="FFFFFF" w:val="clear"/>
        </w:rPr>
        <w:t>During the six months ended June 30, 2025, the Company acquired one shopping center for a purchase price of $79.8 million, or a total acquisition cost of $80.0 million, including capitalized acquisition costs.</w:t>
      </w:r>
    </w:p>
    <w:p>
      <w:pPr>
        <w:pStyle w:val="TextBody"/>
        <w:bidi w:val="0"/>
        <w:spacing w:before="0" w:after="0"/>
        <w:ind w:left="0" w:right="0" w:firstLine="547"/>
        <w:jc w:val="both"/>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Company’s guidance for 2026 investments in income-producing properties, including structured investments, ranges from $300.0 million to $400.0 million. We e</w:t>
      </w:r>
      <w:r>
        <w:rPr>
          <w:rFonts w:ascii="Times New Roman;Times;serif" w:hAnsi="Times New Roman;Times;serif"/>
          <w:sz w:val="20"/>
          <w:shd w:fill="FFFFFF" w:val="clear"/>
        </w:rPr>
        <w:t>xpect to fund future acquisitions utilizing cash on hand, cash from operations, proceeds from the dispositions of income properties through 1031 like-kind exchanges, borrowings on our Revolving Credit Facility, if available, and additional financing sources. We expect dispositions of income properties will qualify under the like-kind exchange deferred-tax structure.</w:t>
      </w:r>
    </w:p>
    <w:p>
      <w:pPr>
        <w:pStyle w:val="TextBody"/>
        <w:bidi w:val="0"/>
        <w:spacing w:before="0" w:after="0"/>
        <w:ind w:left="0" w:right="0" w:firstLine="547"/>
        <w:jc w:val="both"/>
        <w:rPr/>
      </w:pPr>
      <w:r>
        <w:rPr/>
        <w:t>​</w:t>
      </w:r>
    </w:p>
    <w:p>
      <w:pPr>
        <w:pStyle w:val="TextBody"/>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i/>
          <w:sz w:val="20"/>
        </w:rPr>
        <w:t>Dispositions.</w:t>
      </w:r>
      <w:r>
        <w:rPr>
          <w:rFonts w:ascii="Times New Roman;Times;serif" w:hAnsi="Times New Roman;Times;serif"/>
          <w:sz w:val="20"/>
        </w:rPr>
        <w:t xml:space="preserve"> During the six months ended June 30, 2026, the Company sold two shopping center properties for $90.7 million, generating gains of $2.1 million. There were no property dispositions during the six months ended June 30, 2025. </w:t>
      </w:r>
    </w:p>
    <w:p>
      <w:pPr>
        <w:pStyle w:val="TextBody"/>
        <w:bidi w:val="0"/>
        <w:spacing w:before="0" w:after="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i/>
          <w:sz w:val="20"/>
        </w:rPr>
        <w:t>ATM Program</w:t>
      </w:r>
      <w:r>
        <w:rPr>
          <w:rFonts w:ascii="Times New Roman;Times;serif" w:hAnsi="Times New Roman;Times;serif"/>
          <w:sz w:val="20"/>
        </w:rPr>
        <w:t>. During the six months ended June 30, 2026, the Company sold 4,917,499 shares under the 2024 ATM Program for gross proceeds of $99.2 million at a weighted average price of $20.18 per share, generating net proceeds of $97.8 million after deducting transaction fees of $1.4 million. As of June 30, 2026, $117.2 million of availability remained under the 2024 ATM Program.</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i/>
          <w:sz w:val="20"/>
        </w:rPr>
        <w:t xml:space="preserve">Contractual Commitments – Expenditures. </w:t>
      </w:r>
      <w:r>
        <w:rPr>
          <w:rFonts w:ascii="Times New Roman;Times;serif" w:hAnsi="Times New Roman;Times;serif"/>
          <w:sz w:val="20"/>
        </w:rPr>
        <w:t xml:space="preserve">The Company has committed to fund the following capital improvements. The improvements, which are related to several properties, are estimated to be generally completed within twelve months. These commitments, as of </w:t>
      </w:r>
      <w:r>
        <w:rPr>
          <w:rFonts w:ascii="Times New Roman;Times;serif" w:hAnsi="Times New Roman;Times;serif"/>
          <w:color w:val="212529"/>
          <w:sz w:val="20"/>
          <w:shd w:fill="FFFFFF" w:val="clear"/>
        </w:rPr>
        <w:t>June 30, 2026</w:t>
      </w:r>
      <w:r>
        <w:rPr>
          <w:rFonts w:ascii="Times New Roman;Times;serif" w:hAnsi="Times New Roman;Times;serif"/>
          <w:sz w:val="20"/>
        </w:rPr>
        <w:t>, are as follows (in thousands):</w:t>
      </w:r>
    </w:p>
    <w:p>
      <w:pPr>
        <w:pStyle w:val="TextBody"/>
        <w:bidi w:val="0"/>
        <w:spacing w:lineRule="auto" w:line="273" w:before="0" w:after="0"/>
        <w:ind w:left="0" w:right="0" w:firstLine="547"/>
        <w:jc w:val="both"/>
        <w:rPr/>
      </w:pPr>
      <w:r>
        <w:rPr/>
        <w:t>​</w:t>
      </w:r>
    </w:p>
    <w:tbl>
      <w:tblPr>
        <w:tblW w:w="4025" w:type="dxa"/>
        <w:jc w:val="left"/>
        <w:tblInd w:w="0" w:type="dxa"/>
        <w:tblLayout w:type="fixed"/>
        <w:tblCellMar>
          <w:top w:w="0" w:type="dxa"/>
          <w:left w:w="0" w:type="dxa"/>
          <w:bottom w:w="0" w:type="dxa"/>
          <w:right w:w="0" w:type="dxa"/>
        </w:tblCellMar>
      </w:tblPr>
      <w:tblGrid>
        <w:gridCol w:w="2131"/>
        <w:gridCol w:w="109"/>
        <w:gridCol w:w="379"/>
        <w:gridCol w:w="140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353185" cy="175260"/>
                      <wp:effectExtent l="0" t="0" r="0" b="0"/>
                      <wp:wrapNone/>
                      <wp:docPr id="494" name="Frame494"/>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9215" cy="175260"/>
                      <wp:effectExtent l="0" t="0" r="0" b="0"/>
                      <wp:wrapNone/>
                      <wp:docPr id="495" name="Frame4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40665" cy="175260"/>
                      <wp:effectExtent l="0" t="0" r="0" b="0"/>
                      <wp:wrapNone/>
                      <wp:docPr id="496" name="Frame496"/>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892810" cy="175260"/>
                      <wp:effectExtent l="0" t="0" r="0" b="0"/>
                      <wp:wrapNone/>
                      <wp:docPr id="497" name="Frame497"/>
                      <a:graphic xmlns:a="http://schemas.openxmlformats.org/drawingml/2006/main">
                        <a:graphicData uri="http://schemas.microsoft.com/office/word/2010/wordprocessingShape">
                          <wps:wsp>
                            <wps:cNvSpPr txBox="1"/>
                            <wps:spPr>
                              <a:xfrm>
                                <a:off x="0" y="0"/>
                                <a:ext cx="89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 June 30, 2026</w:t>
            </w:r>
          </w:p>
        </w:tc>
      </w:tr>
      <w:tr>
        <w:trPr/>
        <w:tc>
          <w:tcPr>
            <w:tcW w:w="21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Commitment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37,555</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Amount Funded</w:t>
            </w:r>
          </w:p>
        </w:tc>
        <w:tc>
          <w:tcPr>
            <w:tcW w:w="109" w:type="dxa"/>
            <w:tcBorders/>
            <w:vAlign w:val="center"/>
          </w:tcPr>
          <w:p>
            <w:pPr>
              <w:pStyle w:val="TableContents"/>
              <w:bidi w:val="0"/>
              <w:spacing w:before="0" w:after="0"/>
              <w:ind w:left="0" w:right="0" w:hanging="0"/>
              <w:jc w:val="left"/>
              <w:rPr/>
            </w:pPr>
            <w:r>
              <w:rPr/>
              <w:t>​</w:t>
            </w:r>
          </w:p>
        </w:tc>
        <w:tc>
          <w:tcPr>
            <w:tcW w:w="3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(9,301)</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Commitment</w:t>
            </w:r>
          </w:p>
        </w:tc>
        <w:tc>
          <w:tcPr>
            <w:tcW w:w="109" w:type="dxa"/>
            <w:tcBorders/>
            <w:shd w:fill="CCEEFF" w:val="clear"/>
            <w:vAlign w:val="center"/>
          </w:tcPr>
          <w:p>
            <w:pPr>
              <w:pStyle w:val="TableContents"/>
              <w:bidi w:val="0"/>
              <w:spacing w:before="0" w:after="0"/>
              <w:ind w:left="0" w:right="0" w:hanging="0"/>
              <w:jc w:val="left"/>
              <w:rPr/>
            </w:pPr>
            <w:r>
              <w:rPr/>
              <w:t>​</w:t>
            </w:r>
          </w:p>
        </w:tc>
        <w:tc>
          <w:tcPr>
            <w:tcW w:w="3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28,254</w:t>
            </w:r>
          </w:p>
        </w:tc>
      </w:tr>
    </w:tbl>
    <w:p>
      <w:pPr>
        <w:pStyle w:val="TextBody"/>
        <w:pBdr/>
        <w:bidi w:val="0"/>
        <w:spacing w:lineRule="auto" w:line="240" w:before="0" w:after="0"/>
        <w:ind w:left="0" w:right="0" w:hanging="360"/>
        <w:jc w:val="both"/>
        <w:rPr>
          <w:rFonts w:ascii="Times New Roman;Times;serif" w:hAnsi="Times New Roman;Times;serif"/>
          <w:sz w:val="14"/>
        </w:rPr>
      </w:pPr>
      <w:r>
        <w:rPr>
          <w:rFonts w:ascii="Times New Roman;Times;serif" w:hAnsi="Times New Roman;Times;serif"/>
          <w:sz w:val="11"/>
        </w:rPr>
        <w:t>(1)</w:t>
      </w:r>
      <w:r>
        <w:rPr>
          <w:rFonts w:ascii="Times New Roman;Times;serif" w:hAnsi="Times New Roman;Times;serif"/>
          <w:sz w:val="14"/>
        </w:rPr>
        <w:t xml:space="preserve">     </w:t>
      </w:r>
      <w:r>
        <w:rPr>
          <w:rFonts w:ascii="Times New Roman;Times;serif" w:hAnsi="Times New Roman;Times;serif"/>
          <w:sz w:val="16"/>
        </w:rPr>
        <w:t>Commitment includes tenant improvements, leasing commissions, rebranding, facility expansion and other capital improvements.</w:t>
      </w:r>
    </w:p>
    <w:p>
      <w:pPr>
        <w:pStyle w:val="TextBody"/>
        <w:bidi w:val="0"/>
        <w:spacing w:before="0" w:after="0"/>
        <w:ind w:left="0" w:right="0" w:hanging="0"/>
        <w:jc w:val="left"/>
        <w:rPr/>
      </w:pPr>
      <w:r>
        <w:rPr/>
        <w:t>​</w:t>
      </w:r>
    </w:p>
    <w:p>
      <w:pPr>
        <w:pStyle w:val="TextBody"/>
        <w:bidi w:val="0"/>
        <w:spacing w:lineRule="auto" w:line="273"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Company has unfunded loan commitments under two construction loans, as described in Note 4, “Commercial Loans and Investments.” The unfunded portion of these construction loans totaled $33.5 million as of </w:t>
      </w:r>
      <w:r>
        <w:rPr>
          <w:rFonts w:ascii="Times New Roman;Times;serif" w:hAnsi="Times New Roman;Times;serif"/>
          <w:color w:val="212529"/>
          <w:sz w:val="20"/>
          <w:shd w:fill="FFFFFF" w:val="clear"/>
        </w:rPr>
        <w:t>June 30, 2026</w:t>
      </w:r>
      <w:r>
        <w:rPr>
          <w:rFonts w:ascii="Times New Roman;Times;serif" w:hAnsi="Times New Roman;Times;serif"/>
          <w:sz w:val="20"/>
        </w:rPr>
        <w:t>.</w:t>
      </w:r>
    </w:p>
    <w:p>
      <w:pPr>
        <w:pStyle w:val="TextBody"/>
        <w:bidi w:val="0"/>
        <w:spacing w:lineRule="auto" w:line="273" w:before="0" w:after="0"/>
        <w:ind w:left="0" w:right="0" w:firstLine="547"/>
        <w:jc w:val="both"/>
        <w:rPr/>
      </w:pPr>
      <w:r>
        <w:rPr/>
        <w:t>​</w:t>
      </w:r>
    </w:p>
    <w:p>
      <w:pPr>
        <w:pStyle w:val="TextBody"/>
        <w:bidi w:val="0"/>
        <w:spacing w:lineRule="auto" w:line="273" w:before="0" w:after="0"/>
        <w:ind w:left="0" w:right="0" w:firstLine="547"/>
        <w:jc w:val="both"/>
        <w:rPr>
          <w:rFonts w:ascii="Times New Roman;Times;serif" w:hAnsi="Times New Roman;Times;serif"/>
          <w:sz w:val="20"/>
        </w:rPr>
      </w:pPr>
      <w:r>
        <w:rPr>
          <w:rFonts w:ascii="Times New Roman;Times;serif" w:hAnsi="Times New Roman;Times;serif"/>
          <w:i/>
          <w:sz w:val="20"/>
        </w:rPr>
        <w:t>Off-Balance Sheet Arrangements</w:t>
      </w:r>
      <w:r>
        <w:rPr>
          <w:rFonts w:ascii="Times New Roman;Times;serif" w:hAnsi="Times New Roman;Times;serif"/>
          <w:sz w:val="20"/>
        </w:rPr>
        <w:t>. None.</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 xml:space="preserve">Other Matters. </w:t>
      </w:r>
      <w:r>
        <w:rPr>
          <w:rFonts w:ascii="Times New Roman;Times;serif" w:hAnsi="Times New Roman;Times;serif"/>
          <w:sz w:val="20"/>
        </w:rPr>
        <w:t xml:space="preserve">We believe we will have sufficient liquidity to fund our operations, capital requirements, maintenance, and debt service requirements over the next twelve months and into the foreseeable future, with cash on hand, cash flow from our operations, $117.2 million of availability remaining under our $250.0 million “at-the-market” equity offering program, and $107.0 million undrawn commitment under the existing $300.0 million Revolving Credit Facility as of </w:t>
      </w:r>
      <w:r>
        <w:rPr>
          <w:rFonts w:ascii="Times New Roman;Times;serif" w:hAnsi="Times New Roman;Times;serif"/>
          <w:color w:val="212529"/>
          <w:sz w:val="20"/>
          <w:shd w:fill="FFFFFF" w:val="clear"/>
        </w:rPr>
        <w:t>June 30, 2026</w:t>
      </w:r>
      <w:r>
        <w:rPr>
          <w:rFonts w:ascii="Times New Roman;Times;serif" w:hAnsi="Times New Roman;Times;serif"/>
          <w:sz w:val="20"/>
        </w:rPr>
        <w:t>.</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to diversify our portfolio by redeploying proceeds from like-kind exchange transactions and utilizing our Credit Facility to increase our portfolio of income-producing properties, providing stabilized cash flows with strong risk-adjusted returns primarily in larger metropolitan areas and growth markets.</w:t>
      </w:r>
    </w:p>
    <w:p>
      <w:pPr>
        <w:pStyle w:val="TextBody"/>
        <w:bidi w:val="0"/>
        <w:spacing w:before="0" w:after="0"/>
        <w:ind w:left="0" w:right="0" w:firstLine="49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We believe that we currently have a reasonable level of leverage. Our strategy is to utilize leverage, when appropriate and necessary, and proceeds from sales of income properties and the disposition or payoffs on our commercial loans and investments to acquire income properties. We may also acquire or originate commercial loans and investments, invest in securities of real estate companies, or make other shorter-term investments. In addition to our primary shopping center investment strategy, our targeted investment classes may include the following:</w:t>
      </w:r>
    </w:p>
    <w:p>
      <w:pPr>
        <w:pStyle w:val="TextBody"/>
        <w:bidi w:val="0"/>
        <w:spacing w:before="0" w:after="0"/>
        <w:ind w:left="0" w:right="0" w:firstLine="490"/>
        <w:jc w:val="both"/>
        <w:rPr>
          <w:rFonts w:ascii="Times New Roman;Times;serif" w:hAnsi="Times New Roman;Times;serif"/>
          <w:i/>
          <w:sz w:val="20"/>
        </w:rPr>
      </w:pPr>
      <w:r>
        <w:rPr>
          <w:rFonts w:ascii="Times New Roman;Times;serif" w:hAnsi="Times New Roman;Times;serif"/>
          <w:i/>
          <w:sz w:val="20"/>
        </w:rPr>
        <w:t>Other asset classes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Single-tenant retail or other commercial, double or triple net leased, properties that are typically stabilized and located in what we believe to be faster growing, business-friendly markets exhibiting accommodative business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policies and outsized relative job and population growth that are compliant with our commitments under the ROFO Agreement;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Ground leases, whether purchased or originated by the Company, that are compliant with our commitments under the ROFO Agreement;</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Self-developed retail or other commercial properties;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loans and investments, whether purchased or originated by the Company, with loan terms of 1-10 years with strong risk-adjusted yields secured by property types to include hotel, retail, residential, land and industrial;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 regional area investments using Company market knowledge and expertise to earn strong risk-adjusted yields;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estate-related investment securities, including commercial mortgage-backed securities, preferred or common stock, and corporate bonds.</w:t>
            </w:r>
          </w:p>
        </w:tc>
      </w:tr>
    </w:tbl>
    <w:p>
      <w:pPr>
        <w:pStyle w:val="TextBody"/>
        <w:bidi w:val="0"/>
        <w:spacing w:before="0" w:after="0"/>
        <w:ind w:left="85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investments in income-producing properties are typically subject to long-term leases. For shopping centers, each tenant typically pays its proportionate share of the aforementioned operating expenses of the property, although for such properties we typically incur additional costs for property management services. Single-tenant leases are typically in the form of triple or double net leases and ground leases. Triple-net leases generally require the tenant to pay property operating expenses such as real estate taxes, insurance, assessments and other governmental fees, utilities, repairs and maintenance, and capital expenditures.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center"/>
        <w:rPr>
          <w:rFonts w:ascii="Times New Roman;Times;serif" w:hAnsi="Times New Roman;Times;serif"/>
          <w:b/>
          <w:sz w:val="20"/>
        </w:rPr>
      </w:pPr>
      <w:r>
        <w:rPr>
          <w:rFonts w:ascii="Times New Roman;Times;serif" w:hAnsi="Times New Roman;Times;serif"/>
          <w:b/>
          <w:sz w:val="20"/>
        </w:rPr>
        <w:t>Non-U.S. GAAP Financial Measures</w:t>
      </w:r>
    </w:p>
    <w:p>
      <w:pPr>
        <w:pStyle w:val="TextBody"/>
        <w:bidi w:val="0"/>
        <w:spacing w:before="0" w:after="0"/>
        <w:ind w:left="0" w:right="0" w:firstLine="360"/>
        <w:jc w:val="center"/>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Our reported results are presented in accordance with U.S. GAAP. We also disclose Funds From Operations (“FFO”), Core Funds From Operations (“Core FFO”), and Adjusted Funds From Operations (“AFFO”), each of which are non-U.S. GAAP financial measures. We believe these non-U.S. GAAP financial measures are useful to investors because they are widely accepted industry measures used by analysts and investors to compare the operating performance of REITs.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FFO, Core FFO, and AFFO do not represent cash generated from operating activities and are not necessarily indicative of cash available to fund cash requirements; accordingly, they should not be considered alternatives to net income as a performance measure or cash flows from operating activities as reported on our statement of cash flows as a liquidity measure and should be considered in addition to, and not in lieu of, U.S. GAAP financial measures.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We compute FFO in accordance with the definition adopted by the Board of Governors of the National Association of Real Estate Investment Trusts, or NAREIT.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NAREIT defines FFO as U.S. GAAP net income or loss adjusted to exclude real estate related depreciation and amortization, as well as extraordinary items (as defined by U.S. GAAP) such as net gain or loss from sales of depreciable real estate assets, impairment write-downs associated with depreciable real estate assets and impairments associated with the current expected credit losses (“CECL”) on commercial loans and investments at the time of origination and repayment, including the pro rata share of such adjustments of unconsolidated subsidiaries. The Company also excludes the gains or losses from sales of assets incidental to the primary business of the REIT which specifically include the sales of investment securities (which are presented net of income tax expense or benefit, if applicable) in addition to the mark-to-market of the Company’s investment securities. To derive Core FFO, we modify the NAREIT computation of FFO to include other adjustments to U.S. GAAP net income related to gains and losses recognized on the extinguishment of debt, amortization of above- and below-market lease related intangibles, and other unforecastable market- or transaction-driven non-cash items. To derive AFFO, we further modify the NAREIT computation of FFO and Core FFO to include other adjustments to U.S. GAAP net income related to non-cash revenues and expenses such as straight-line rental revenue, non-cash compensation, and other non-cash amortization. Such items may cause short-term fluctuations in net income but have no impact on operating cash flows or long-term operating performance. We use AFFO as one measure of our performance when we formulate corporate goals. </w:t>
      </w:r>
    </w:p>
    <w:p>
      <w:pPr>
        <w:pStyle w:val="TextBody"/>
        <w:shd w:fill="FFFFFF" w:val="clear"/>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Core FFO and AFFO are additional useful supplemental measures for investors to consider because they will help them to better assess our operating performance without the distortions created by other non-cash revenues or expenses. FFO, Core FFO, and AFFO may not be comparable to similarly titled measures employed by other companies.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Reconciliation of Non-U.S. GAAP Measures (in thousands, except share and dividend data):</w:t>
      </w:r>
    </w:p>
    <w:tbl>
      <w:tblPr>
        <w:tblW w:w="10205" w:type="dxa"/>
        <w:jc w:val="left"/>
        <w:tblInd w:w="0" w:type="dxa"/>
        <w:tblLayout w:type="fixed"/>
        <w:tblCellMar>
          <w:top w:w="0" w:type="dxa"/>
          <w:left w:w="0" w:type="dxa"/>
          <w:bottom w:w="0" w:type="dxa"/>
          <w:right w:w="0" w:type="dxa"/>
        </w:tblCellMar>
      </w:tblPr>
      <w:tblGrid>
        <w:gridCol w:w="4736"/>
        <w:gridCol w:w="109"/>
        <w:gridCol w:w="211"/>
        <w:gridCol w:w="1036"/>
        <w:gridCol w:w="109"/>
        <w:gridCol w:w="211"/>
        <w:gridCol w:w="1036"/>
        <w:gridCol w:w="109"/>
        <w:gridCol w:w="211"/>
        <w:gridCol w:w="1036"/>
        <w:gridCol w:w="109"/>
        <w:gridCol w:w="211"/>
        <w:gridCol w:w="1081"/>
      </w:tblGrid>
      <w:tr>
        <w:trPr/>
        <w:tc>
          <w:tcPr>
            <w:tcW w:w="4736" w:type="dxa"/>
            <w:tcBorders/>
            <w:vAlign w:val="center"/>
          </w:tcPr>
          <w:p>
            <w:pPr>
              <w:pStyle w:val="TableContents"/>
              <w:bidi w:val="0"/>
              <w:spacing w:before="1"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69215" cy="175895"/>
                      <wp:effectExtent l="0" t="0" r="0" b="0"/>
                      <wp:wrapNone/>
                      <wp:docPr id="498" name="Frame498"/>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133985" cy="175895"/>
                      <wp:effectExtent l="0" t="0" r="0" b="0"/>
                      <wp:wrapNone/>
                      <wp:docPr id="499" name="Frame499"/>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57860" cy="175895"/>
                      <wp:effectExtent l="0" t="0" r="0" b="0"/>
                      <wp:wrapNone/>
                      <wp:docPr id="500" name="Frame500"/>
                      <a:graphic xmlns:a="http://schemas.openxmlformats.org/drawingml/2006/main">
                        <a:graphicData uri="http://schemas.microsoft.com/office/word/2010/wordprocessingShape">
                          <wps:wsp>
                            <wps:cNvSpPr txBox="1"/>
                            <wps:spPr>
                              <a:xfrm>
                                <a:off x="0" y="0"/>
                                <a:ext cx="65786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9215" cy="175895"/>
                      <wp:effectExtent l="0" t="0" r="0" b="0"/>
                      <wp:wrapNone/>
                      <wp:docPr id="501" name="Frame501"/>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33985" cy="175895"/>
                      <wp:effectExtent l="0" t="0" r="0" b="0"/>
                      <wp:wrapNone/>
                      <wp:docPr id="502" name="Frame502"/>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57860" cy="175895"/>
                      <wp:effectExtent l="0" t="0" r="0" b="0"/>
                      <wp:wrapNone/>
                      <wp:docPr id="503" name="Frame503"/>
                      <a:graphic xmlns:a="http://schemas.openxmlformats.org/drawingml/2006/main">
                        <a:graphicData uri="http://schemas.microsoft.com/office/word/2010/wordprocessingShape">
                          <wps:wsp>
                            <wps:cNvSpPr txBox="1"/>
                            <wps:spPr>
                              <a:xfrm>
                                <a:off x="0" y="0"/>
                                <a:ext cx="65786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69215" cy="175895"/>
                      <wp:effectExtent l="0" t="0" r="0" b="0"/>
                      <wp:wrapNone/>
                      <wp:docPr id="504" name="Frame504"/>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33985" cy="175895"/>
                      <wp:effectExtent l="0" t="0" r="0" b="0"/>
                      <wp:wrapNone/>
                      <wp:docPr id="505" name="Frame505"/>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57860" cy="175895"/>
                      <wp:effectExtent l="0" t="0" r="0" b="0"/>
                      <wp:wrapNone/>
                      <wp:docPr id="506" name="Frame506"/>
                      <a:graphic xmlns:a="http://schemas.openxmlformats.org/drawingml/2006/main">
                        <a:graphicData uri="http://schemas.microsoft.com/office/word/2010/wordprocessingShape">
                          <wps:wsp>
                            <wps:cNvSpPr txBox="1"/>
                            <wps:spPr>
                              <a:xfrm>
                                <a:off x="0" y="0"/>
                                <a:ext cx="65786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9215" cy="175895"/>
                      <wp:effectExtent l="0" t="0" r="0" b="0"/>
                      <wp:wrapNone/>
                      <wp:docPr id="507" name="Frame507"/>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33985" cy="175895"/>
                      <wp:effectExtent l="0" t="0" r="0" b="0"/>
                      <wp:wrapNone/>
                      <wp:docPr id="508" name="Frame508"/>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86435" cy="175895"/>
                      <wp:effectExtent l="0" t="0" r="0" b="0"/>
                      <wp:wrapNone/>
                      <wp:docPr id="509" name="Frame509"/>
                      <a:graphic xmlns:a="http://schemas.openxmlformats.org/drawingml/2006/main">
                        <a:graphicData uri="http://schemas.microsoft.com/office/word/2010/wordprocessingShape">
                          <wps:wsp>
                            <wps:cNvSpPr txBox="1"/>
                            <wps:spPr>
                              <a:xfrm>
                                <a:off x="0" y="0"/>
                                <a:ext cx="68643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r>
      <w:tr>
        <w:trPr/>
        <w:tc>
          <w:tcPr>
            <w:tcW w:w="4736" w:type="dxa"/>
            <w:tcBorders/>
            <w:vAlign w:val="center"/>
          </w:tcPr>
          <w:p>
            <w:pPr>
              <w:pStyle w:val="TableContents"/>
              <w:bidi w:val="0"/>
              <w:spacing w:before="1" w:after="0"/>
              <w:ind w:left="0" w:right="0" w:hanging="0"/>
              <w:jc w:val="left"/>
              <w:rPr/>
            </w:pPr>
            <w:r>
              <w:rPr/>
              <w:t>​</w:t>
            </w:r>
          </w:p>
        </w:tc>
        <w:tc>
          <w:tcPr>
            <w:tcW w:w="109" w:type="dxa"/>
            <w:tcBorders/>
            <w:vAlign w:val="center"/>
          </w:tcPr>
          <w:p>
            <w:pPr>
              <w:pStyle w:val="TableContents"/>
              <w:bidi w:val="0"/>
              <w:spacing w:before="1" w:after="0"/>
              <w:ind w:left="0" w:right="0" w:hanging="0"/>
              <w:jc w:val="left"/>
              <w:rPr/>
            </w:pPr>
            <w:r>
              <w:rPr/>
              <w:t>​</w:t>
            </w:r>
          </w:p>
        </w:tc>
        <w:tc>
          <w:tcPr>
            <w:tcW w:w="2603" w:type="dxa"/>
            <w:gridSpan w:val="5"/>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br/>
              <w:t>June 30,</w:t>
            </w:r>
          </w:p>
        </w:tc>
        <w:tc>
          <w:tcPr>
            <w:tcW w:w="109" w:type="dxa"/>
            <w:tcBorders/>
            <w:vAlign w:val="center"/>
          </w:tcPr>
          <w:p>
            <w:pPr>
              <w:pStyle w:val="TableContents"/>
              <w:bidi w:val="0"/>
              <w:spacing w:before="1" w:after="0"/>
              <w:ind w:left="0" w:right="0" w:hanging="0"/>
              <w:jc w:val="left"/>
              <w:rPr/>
            </w:pPr>
            <w:r>
              <w:rPr/>
              <w:t>​</w:t>
            </w:r>
          </w:p>
        </w:tc>
        <w:tc>
          <w:tcPr>
            <w:tcW w:w="2648" w:type="dxa"/>
            <w:gridSpan w:val="5"/>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br/>
              <w:t xml:space="preserve">June 30, </w:t>
            </w:r>
          </w:p>
        </w:tc>
      </w:tr>
      <w:tr>
        <w:trPr/>
        <w:tc>
          <w:tcPr>
            <w:tcW w:w="4736" w:type="dxa"/>
            <w:tcBorders/>
            <w:vAlign w:val="center"/>
          </w:tcPr>
          <w:p>
            <w:pPr>
              <w:pStyle w:val="TableContents"/>
              <w:bidi w:val="0"/>
              <w:spacing w:before="1" w:after="0"/>
              <w:ind w:left="0" w:right="0" w:hanging="0"/>
              <w:jc w:val="center"/>
              <w:rPr/>
            </w:pPr>
            <w:r>
              <w:rPr/>
              <w:t>​</w:t>
            </w:r>
          </w:p>
        </w:tc>
        <w:tc>
          <w:tcPr>
            <w:tcW w:w="109" w:type="dxa"/>
            <w:tcBorders/>
            <w:vAlign w:val="center"/>
          </w:tcPr>
          <w:p>
            <w:pPr>
              <w:pStyle w:val="TableContents"/>
              <w:bidi w:val="0"/>
              <w:spacing w:before="1"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09" w:type="dxa"/>
            <w:tcBorders/>
            <w:vAlign w:val="center"/>
          </w:tcPr>
          <w:p>
            <w:pPr>
              <w:pStyle w:val="TableContents"/>
              <w:bidi w:val="0"/>
              <w:spacing w:before="1"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1"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09" w:type="dxa"/>
            <w:tcBorders/>
            <w:vAlign w:val="center"/>
          </w:tcPr>
          <w:p>
            <w:pPr>
              <w:pStyle w:val="TableContents"/>
              <w:bidi w:val="0"/>
              <w:spacing w:before="1" w:after="0"/>
              <w:ind w:left="0" w:right="0" w:hanging="0"/>
              <w:jc w:val="center"/>
              <w:rPr/>
            </w:pPr>
            <w:r>
              <w:rPr/>
              <w:t>​</w:t>
            </w:r>
          </w:p>
        </w:tc>
        <w:tc>
          <w:tcPr>
            <w:tcW w:w="1292"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473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the Company</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15,112</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(23,418)</w:t>
            </w:r>
          </w:p>
        </w:tc>
        <w:tc>
          <w:tcPr>
            <w:tcW w:w="109"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21,317</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(21,157)</w:t>
            </w:r>
          </w:p>
        </w:tc>
      </w:tr>
      <w:tr>
        <w:trPr/>
        <w:tc>
          <w:tcPr>
            <w:tcW w:w="473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109"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1036" w:type="dxa"/>
            <w:tcBorders/>
            <w:vAlign w:val="center"/>
          </w:tcPr>
          <w:p>
            <w:pPr>
              <w:pStyle w:val="TableContents"/>
              <w:bidi w:val="0"/>
              <w:spacing w:before="1" w:after="0"/>
              <w:ind w:left="0" w:right="0" w:hanging="0"/>
              <w:jc w:val="left"/>
              <w:rPr/>
            </w:pPr>
            <w:r>
              <w:rPr/>
              <w:t>​</w:t>
            </w:r>
          </w:p>
        </w:tc>
        <w:tc>
          <w:tcPr>
            <w:tcW w:w="109"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1036" w:type="dxa"/>
            <w:tcBorders/>
            <w:vAlign w:val="center"/>
          </w:tcPr>
          <w:p>
            <w:pPr>
              <w:pStyle w:val="TableContents"/>
              <w:bidi w:val="0"/>
              <w:spacing w:before="1" w:after="0"/>
              <w:ind w:left="0" w:right="0" w:hanging="0"/>
              <w:jc w:val="left"/>
              <w:rPr/>
            </w:pPr>
            <w:r>
              <w:rPr/>
              <w:t>​</w:t>
            </w:r>
          </w:p>
        </w:tc>
        <w:tc>
          <w:tcPr>
            <w:tcW w:w="109"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1036" w:type="dxa"/>
            <w:tcBorders/>
            <w:vAlign w:val="center"/>
          </w:tcPr>
          <w:p>
            <w:pPr>
              <w:pStyle w:val="TableContents"/>
              <w:bidi w:val="0"/>
              <w:spacing w:before="1" w:after="0"/>
              <w:ind w:left="0" w:right="0" w:hanging="0"/>
              <w:jc w:val="left"/>
              <w:rPr/>
            </w:pPr>
            <w:r>
              <w:rPr/>
              <w:t>​</w:t>
            </w:r>
          </w:p>
        </w:tc>
        <w:tc>
          <w:tcPr>
            <w:tcW w:w="109"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1081" w:type="dxa"/>
            <w:tcBorders/>
            <w:vAlign w:val="center"/>
          </w:tcPr>
          <w:p>
            <w:pPr>
              <w:pStyle w:val="TableContents"/>
              <w:bidi w:val="0"/>
              <w:spacing w:before="1" w:after="0"/>
              <w:ind w:left="0" w:right="0" w:hanging="0"/>
              <w:jc w:val="right"/>
              <w:rPr/>
            </w:pPr>
            <w:r>
              <w:rPr/>
              <w:t>​</w:t>
            </w:r>
          </w:p>
        </w:tc>
      </w:tr>
      <w:tr>
        <w:trPr/>
        <w:tc>
          <w:tcPr>
            <w:tcW w:w="473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Depreciation and Amortization of Real Estate</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15,831</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15,277</w:t>
            </w:r>
          </w:p>
        </w:tc>
        <w:tc>
          <w:tcPr>
            <w:tcW w:w="109"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31,769</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8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29,623</w:t>
            </w:r>
          </w:p>
        </w:tc>
      </w:tr>
      <w:tr>
        <w:trPr/>
        <w:tc>
          <w:tcPr>
            <w:tcW w:w="473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109"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1036"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(2,107)</w:t>
            </w:r>
          </w:p>
        </w:tc>
        <w:tc>
          <w:tcPr>
            <w:tcW w:w="109"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1036" w:type="dxa"/>
            <w:tcBorders/>
            <w:vAlign w:val="center"/>
          </w:tcPr>
          <w:p>
            <w:pPr>
              <w:pStyle w:val="TableContents"/>
              <w:bidi w:val="0"/>
              <w:spacing w:before="1" w:after="0"/>
              <w:ind w:left="0" w:right="0" w:hanging="0"/>
              <w:jc w:val="right"/>
              <w:rPr/>
            </w:pPr>
            <w:r>
              <w:rPr/>
              <w:t>—</w:t>
            </w:r>
          </w:p>
        </w:tc>
        <w:tc>
          <w:tcPr>
            <w:tcW w:w="109" w:type="dxa"/>
            <w:tcBorders/>
            <w:vAlign w:val="center"/>
          </w:tcPr>
          <w:p>
            <w:pPr>
              <w:pStyle w:val="TableContents"/>
              <w:bidi w:val="0"/>
              <w:spacing w:before="1" w:after="0"/>
              <w:ind w:left="0" w:right="0" w:hanging="0"/>
              <w:jc w:val="right"/>
              <w:rPr/>
            </w:pPr>
            <w:r>
              <w:rPr/>
              <w:t>​</w:t>
            </w:r>
          </w:p>
        </w:tc>
        <w:tc>
          <w:tcPr>
            <w:tcW w:w="211" w:type="dxa"/>
            <w:tcBorders/>
            <w:vAlign w:val="center"/>
          </w:tcPr>
          <w:p>
            <w:pPr>
              <w:pStyle w:val="TableContents"/>
              <w:bidi w:val="0"/>
              <w:spacing w:before="1" w:after="0"/>
              <w:ind w:left="0" w:right="0" w:hanging="0"/>
              <w:jc w:val="left"/>
              <w:rPr/>
            </w:pPr>
            <w:r>
              <w:rPr/>
              <w:t>​</w:t>
            </w:r>
          </w:p>
        </w:tc>
        <w:tc>
          <w:tcPr>
            <w:tcW w:w="1036"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(2,107)</w:t>
            </w:r>
          </w:p>
        </w:tc>
        <w:tc>
          <w:tcPr>
            <w:tcW w:w="109"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1081" w:type="dxa"/>
            <w:tcBorders/>
            <w:vAlign w:val="center"/>
          </w:tcPr>
          <w:p>
            <w:pPr>
              <w:pStyle w:val="TableContents"/>
              <w:bidi w:val="0"/>
              <w:spacing w:before="1" w:after="0"/>
              <w:ind w:left="0" w:right="0" w:hanging="0"/>
              <w:jc w:val="right"/>
              <w:rPr/>
            </w:pPr>
            <w:r>
              <w:rPr/>
              <w:t>—</w:t>
            </w:r>
          </w:p>
        </w:tc>
      </w:tr>
      <w:tr>
        <w:trPr/>
        <w:tc>
          <w:tcPr>
            <w:tcW w:w="473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Provision for Impairment and Adjustment to CECL Reserve</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1,084</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36" w:type="dxa"/>
            <w:tcBorders/>
            <w:shd w:fill="CCEEFF" w:val="clear"/>
            <w:vAlign w:val="center"/>
          </w:tcPr>
          <w:p>
            <w:pPr>
              <w:pStyle w:val="TableContents"/>
              <w:bidi w:val="0"/>
              <w:spacing w:before="1" w:after="0"/>
              <w:ind w:left="0" w:right="0" w:hanging="0"/>
              <w:jc w:val="right"/>
              <w:rPr/>
            </w:pPr>
            <w:r>
              <w:rPr/>
              <w:t>—</w:t>
            </w:r>
          </w:p>
        </w:tc>
        <w:tc>
          <w:tcPr>
            <w:tcW w:w="109"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763</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81" w:type="dxa"/>
            <w:tcBorders/>
            <w:shd w:fill="CCEEFF" w:val="clear"/>
            <w:vAlign w:val="center"/>
          </w:tcPr>
          <w:p>
            <w:pPr>
              <w:pStyle w:val="TableContents"/>
              <w:bidi w:val="0"/>
              <w:spacing w:before="1" w:after="0"/>
              <w:ind w:left="0" w:right="0" w:hanging="0"/>
              <w:jc w:val="right"/>
              <w:rPr/>
            </w:pPr>
            <w:r>
              <w:rPr/>
              <w:t>—</w:t>
            </w:r>
          </w:p>
        </w:tc>
      </w:tr>
      <w:tr>
        <w:trPr/>
        <w:tc>
          <w:tcPr>
            <w:tcW w:w="473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Realized and Unrealized Loss (Gain) on Investment Securities, Net of Income Tax</w:t>
            </w:r>
          </w:p>
        </w:tc>
        <w:tc>
          <w:tcPr>
            <w:tcW w:w="109" w:type="dxa"/>
            <w:tcBorders/>
            <w:vAlign w:val="center"/>
          </w:tcPr>
          <w:p>
            <w:pPr>
              <w:pStyle w:val="TableContents"/>
              <w:bidi w:val="0"/>
              <w:spacing w:before="1"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(8,905)</w:t>
            </w:r>
          </w:p>
        </w:tc>
        <w:tc>
          <w:tcPr>
            <w:tcW w:w="109" w:type="dxa"/>
            <w:tcBorders/>
            <w:vAlign w:val="center"/>
          </w:tcPr>
          <w:p>
            <w:pPr>
              <w:pStyle w:val="TableContents"/>
              <w:bidi w:val="0"/>
              <w:spacing w:before="1"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4,549</w:t>
            </w:r>
          </w:p>
        </w:tc>
        <w:tc>
          <w:tcPr>
            <w:tcW w:w="109" w:type="dxa"/>
            <w:tcBorders/>
            <w:vAlign w:val="center"/>
          </w:tcPr>
          <w:p>
            <w:pPr>
              <w:pStyle w:val="TableContents"/>
              <w:bidi w:val="0"/>
              <w:spacing w:before="1"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(11,008)</w:t>
            </w:r>
          </w:p>
        </w:tc>
        <w:tc>
          <w:tcPr>
            <w:tcW w:w="109" w:type="dxa"/>
            <w:tcBorders/>
            <w:vAlign w:val="center"/>
          </w:tcPr>
          <w:p>
            <w:pPr>
              <w:pStyle w:val="TableContents"/>
              <w:bidi w:val="0"/>
              <w:spacing w:before="1"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4,714</w:t>
            </w:r>
          </w:p>
        </w:tc>
      </w:tr>
      <w:tr>
        <w:trPr/>
        <w:tc>
          <w:tcPr>
            <w:tcW w:w="473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Funds from Operations</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21,015</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(3,592)</w:t>
            </w:r>
          </w:p>
        </w:tc>
        <w:tc>
          <w:tcPr>
            <w:tcW w:w="109"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40,734</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13,180</w:t>
            </w:r>
          </w:p>
        </w:tc>
      </w:tr>
      <w:tr>
        <w:trPr/>
        <w:tc>
          <w:tcPr>
            <w:tcW w:w="473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Distributions to Preferred Stockholders</w:t>
            </w:r>
          </w:p>
        </w:tc>
        <w:tc>
          <w:tcPr>
            <w:tcW w:w="109" w:type="dxa"/>
            <w:tcBorders/>
            <w:vAlign w:val="center"/>
          </w:tcPr>
          <w:p>
            <w:pPr>
              <w:pStyle w:val="TableContents"/>
              <w:bidi w:val="0"/>
              <w:spacing w:before="1"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(1,878)</w:t>
            </w:r>
          </w:p>
        </w:tc>
        <w:tc>
          <w:tcPr>
            <w:tcW w:w="109" w:type="dxa"/>
            <w:tcBorders/>
            <w:vAlign w:val="center"/>
          </w:tcPr>
          <w:p>
            <w:pPr>
              <w:pStyle w:val="TableContents"/>
              <w:bidi w:val="0"/>
              <w:spacing w:before="1"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(1,878)</w:t>
            </w:r>
          </w:p>
        </w:tc>
        <w:tc>
          <w:tcPr>
            <w:tcW w:w="109" w:type="dxa"/>
            <w:tcBorders/>
            <w:vAlign w:val="center"/>
          </w:tcPr>
          <w:p>
            <w:pPr>
              <w:pStyle w:val="TableContents"/>
              <w:bidi w:val="0"/>
              <w:spacing w:before="1"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(3,756)</w:t>
            </w:r>
          </w:p>
        </w:tc>
        <w:tc>
          <w:tcPr>
            <w:tcW w:w="109" w:type="dxa"/>
            <w:tcBorders/>
            <w:vAlign w:val="center"/>
          </w:tcPr>
          <w:p>
            <w:pPr>
              <w:pStyle w:val="TableContents"/>
              <w:bidi w:val="0"/>
              <w:spacing w:before="1"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(3,756)</w:t>
            </w:r>
          </w:p>
        </w:tc>
      </w:tr>
      <w:tr>
        <w:trPr/>
        <w:tc>
          <w:tcPr>
            <w:tcW w:w="473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Funds From Operations Attributable to Common Stockholders</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19,137</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(5,470)</w:t>
            </w:r>
          </w:p>
        </w:tc>
        <w:tc>
          <w:tcPr>
            <w:tcW w:w="109"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36,978</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9,424</w:t>
            </w:r>
          </w:p>
        </w:tc>
      </w:tr>
      <w:tr>
        <w:trPr/>
        <w:tc>
          <w:tcPr>
            <w:tcW w:w="473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109"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1036" w:type="dxa"/>
            <w:tcBorders/>
            <w:vAlign w:val="center"/>
          </w:tcPr>
          <w:p>
            <w:pPr>
              <w:pStyle w:val="TableContents"/>
              <w:bidi w:val="0"/>
              <w:spacing w:before="1" w:after="0"/>
              <w:ind w:left="0" w:right="0" w:hanging="0"/>
              <w:jc w:val="right"/>
              <w:rPr/>
            </w:pPr>
            <w:r>
              <w:rPr/>
              <w:t>​</w:t>
            </w:r>
          </w:p>
        </w:tc>
        <w:tc>
          <w:tcPr>
            <w:tcW w:w="109"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1036" w:type="dxa"/>
            <w:tcBorders/>
            <w:vAlign w:val="center"/>
          </w:tcPr>
          <w:p>
            <w:pPr>
              <w:pStyle w:val="TableContents"/>
              <w:bidi w:val="0"/>
              <w:spacing w:before="1" w:after="0"/>
              <w:ind w:left="0" w:right="0" w:hanging="0"/>
              <w:jc w:val="right"/>
              <w:rPr/>
            </w:pPr>
            <w:r>
              <w:rPr/>
              <w:t>​</w:t>
            </w:r>
          </w:p>
        </w:tc>
        <w:tc>
          <w:tcPr>
            <w:tcW w:w="109" w:type="dxa"/>
            <w:tcBorders/>
            <w:vAlign w:val="center"/>
          </w:tcPr>
          <w:p>
            <w:pPr>
              <w:pStyle w:val="TableContents"/>
              <w:bidi w:val="0"/>
              <w:spacing w:before="1" w:after="0"/>
              <w:ind w:left="0" w:right="0" w:hanging="0"/>
              <w:jc w:val="right"/>
              <w:rPr/>
            </w:pPr>
            <w:r>
              <w:rPr/>
              <w:t>​</w:t>
            </w:r>
          </w:p>
        </w:tc>
        <w:tc>
          <w:tcPr>
            <w:tcW w:w="211" w:type="dxa"/>
            <w:tcBorders/>
            <w:vAlign w:val="center"/>
          </w:tcPr>
          <w:p>
            <w:pPr>
              <w:pStyle w:val="TableContents"/>
              <w:bidi w:val="0"/>
              <w:spacing w:before="1" w:after="0"/>
              <w:ind w:left="0" w:right="0" w:hanging="0"/>
              <w:jc w:val="left"/>
              <w:rPr/>
            </w:pPr>
            <w:r>
              <w:rPr/>
              <w:t>​</w:t>
            </w:r>
          </w:p>
        </w:tc>
        <w:tc>
          <w:tcPr>
            <w:tcW w:w="1036" w:type="dxa"/>
            <w:tcBorders/>
            <w:vAlign w:val="center"/>
          </w:tcPr>
          <w:p>
            <w:pPr>
              <w:pStyle w:val="TableContents"/>
              <w:bidi w:val="0"/>
              <w:spacing w:before="1" w:after="0"/>
              <w:ind w:left="0" w:right="0" w:hanging="0"/>
              <w:jc w:val="right"/>
              <w:rPr/>
            </w:pPr>
            <w:r>
              <w:rPr/>
              <w:t>​</w:t>
            </w:r>
          </w:p>
        </w:tc>
        <w:tc>
          <w:tcPr>
            <w:tcW w:w="109"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1081" w:type="dxa"/>
            <w:tcBorders/>
            <w:vAlign w:val="center"/>
          </w:tcPr>
          <w:p>
            <w:pPr>
              <w:pStyle w:val="TableContents"/>
              <w:bidi w:val="0"/>
              <w:spacing w:before="1" w:after="0"/>
              <w:ind w:left="0" w:right="0" w:hanging="0"/>
              <w:jc w:val="right"/>
              <w:rPr/>
            </w:pPr>
            <w:r>
              <w:rPr/>
              <w:t>​</w:t>
            </w:r>
          </w:p>
        </w:tc>
      </w:tr>
      <w:tr>
        <w:trPr/>
        <w:tc>
          <w:tcPr>
            <w:tcW w:w="473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36" w:type="dxa"/>
            <w:tcBorders/>
            <w:shd w:fill="CCEEFF" w:val="clear"/>
            <w:vAlign w:val="center"/>
          </w:tcPr>
          <w:p>
            <w:pPr>
              <w:pStyle w:val="TableContents"/>
              <w:bidi w:val="0"/>
              <w:spacing w:before="1" w:after="0"/>
              <w:ind w:left="0" w:right="0" w:hanging="0"/>
              <w:jc w:val="right"/>
              <w:rPr/>
            </w:pPr>
            <w:r>
              <w:rPr/>
              <w:t>—</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20,396</w:t>
            </w:r>
          </w:p>
        </w:tc>
        <w:tc>
          <w:tcPr>
            <w:tcW w:w="109"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36" w:type="dxa"/>
            <w:tcBorders/>
            <w:shd w:fill="CCEEFF" w:val="clear"/>
            <w:vAlign w:val="center"/>
          </w:tcPr>
          <w:p>
            <w:pPr>
              <w:pStyle w:val="TableContents"/>
              <w:bidi w:val="0"/>
              <w:spacing w:before="1" w:after="0"/>
              <w:ind w:left="0" w:right="0" w:hanging="0"/>
              <w:jc w:val="right"/>
              <w:rPr/>
            </w:pPr>
            <w:r>
              <w:rPr/>
              <w:t>—</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8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20,396</w:t>
            </w:r>
          </w:p>
        </w:tc>
      </w:tr>
      <w:tr>
        <w:trPr/>
        <w:tc>
          <w:tcPr>
            <w:tcW w:w="473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Amortization of Intangibles to Lease Income</w:t>
            </w:r>
          </w:p>
        </w:tc>
        <w:tc>
          <w:tcPr>
            <w:tcW w:w="109" w:type="dxa"/>
            <w:tcBorders/>
            <w:vAlign w:val="center"/>
          </w:tcPr>
          <w:p>
            <w:pPr>
              <w:pStyle w:val="TableContents"/>
              <w:bidi w:val="0"/>
              <w:spacing w:before="1"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(699)</w:t>
            </w:r>
          </w:p>
        </w:tc>
        <w:tc>
          <w:tcPr>
            <w:tcW w:w="109" w:type="dxa"/>
            <w:tcBorders/>
            <w:vAlign w:val="center"/>
          </w:tcPr>
          <w:p>
            <w:pPr>
              <w:pStyle w:val="TableContents"/>
              <w:bidi w:val="0"/>
              <w:spacing w:before="1"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109" w:type="dxa"/>
            <w:tcBorders/>
            <w:vAlign w:val="center"/>
          </w:tcPr>
          <w:p>
            <w:pPr>
              <w:pStyle w:val="TableContents"/>
              <w:bidi w:val="0"/>
              <w:spacing w:before="1"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(1,609)</w:t>
            </w:r>
          </w:p>
        </w:tc>
        <w:tc>
          <w:tcPr>
            <w:tcW w:w="109" w:type="dxa"/>
            <w:tcBorders/>
            <w:vAlign w:val="center"/>
          </w:tcPr>
          <w:p>
            <w:pPr>
              <w:pStyle w:val="TableContents"/>
              <w:bidi w:val="0"/>
              <w:spacing w:before="1"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(716)</w:t>
            </w:r>
          </w:p>
        </w:tc>
      </w:tr>
      <w:tr>
        <w:trPr/>
        <w:tc>
          <w:tcPr>
            <w:tcW w:w="473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Core Funds From Operations Attributable to Common Stockholders</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18,438</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14,659</w:t>
            </w:r>
          </w:p>
        </w:tc>
        <w:tc>
          <w:tcPr>
            <w:tcW w:w="109"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35,369</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29,104</w:t>
            </w:r>
          </w:p>
        </w:tc>
      </w:tr>
      <w:tr>
        <w:trPr/>
        <w:tc>
          <w:tcPr>
            <w:tcW w:w="473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109"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1036" w:type="dxa"/>
            <w:tcBorders/>
            <w:vAlign w:val="center"/>
          </w:tcPr>
          <w:p>
            <w:pPr>
              <w:pStyle w:val="TableContents"/>
              <w:bidi w:val="0"/>
              <w:spacing w:before="1" w:after="0"/>
              <w:ind w:left="0" w:right="0" w:hanging="0"/>
              <w:jc w:val="right"/>
              <w:rPr/>
            </w:pPr>
            <w:r>
              <w:rPr/>
              <w:t>​</w:t>
            </w:r>
          </w:p>
        </w:tc>
        <w:tc>
          <w:tcPr>
            <w:tcW w:w="109"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1036" w:type="dxa"/>
            <w:tcBorders/>
            <w:vAlign w:val="center"/>
          </w:tcPr>
          <w:p>
            <w:pPr>
              <w:pStyle w:val="TableContents"/>
              <w:bidi w:val="0"/>
              <w:spacing w:before="1" w:after="0"/>
              <w:ind w:left="0" w:right="0" w:hanging="0"/>
              <w:jc w:val="right"/>
              <w:rPr/>
            </w:pPr>
            <w:r>
              <w:rPr/>
              <w:t>​</w:t>
            </w:r>
          </w:p>
        </w:tc>
        <w:tc>
          <w:tcPr>
            <w:tcW w:w="109" w:type="dxa"/>
            <w:tcBorders/>
            <w:vAlign w:val="center"/>
          </w:tcPr>
          <w:p>
            <w:pPr>
              <w:pStyle w:val="TableContents"/>
              <w:bidi w:val="0"/>
              <w:spacing w:before="1" w:after="0"/>
              <w:ind w:left="0" w:right="0" w:hanging="0"/>
              <w:jc w:val="right"/>
              <w:rPr/>
            </w:pPr>
            <w:r>
              <w:rPr/>
              <w:t>​</w:t>
            </w:r>
          </w:p>
        </w:tc>
        <w:tc>
          <w:tcPr>
            <w:tcW w:w="211" w:type="dxa"/>
            <w:tcBorders/>
            <w:vAlign w:val="center"/>
          </w:tcPr>
          <w:p>
            <w:pPr>
              <w:pStyle w:val="TableContents"/>
              <w:bidi w:val="0"/>
              <w:spacing w:before="1" w:after="0"/>
              <w:ind w:left="0" w:right="0" w:hanging="0"/>
              <w:jc w:val="left"/>
              <w:rPr/>
            </w:pPr>
            <w:r>
              <w:rPr/>
              <w:t>​</w:t>
            </w:r>
          </w:p>
        </w:tc>
        <w:tc>
          <w:tcPr>
            <w:tcW w:w="1036" w:type="dxa"/>
            <w:tcBorders/>
            <w:vAlign w:val="center"/>
          </w:tcPr>
          <w:p>
            <w:pPr>
              <w:pStyle w:val="TableContents"/>
              <w:bidi w:val="0"/>
              <w:spacing w:before="1" w:after="0"/>
              <w:ind w:left="0" w:right="0" w:hanging="0"/>
              <w:jc w:val="right"/>
              <w:rPr/>
            </w:pPr>
            <w:r>
              <w:rPr/>
              <w:t>​</w:t>
            </w:r>
          </w:p>
        </w:tc>
        <w:tc>
          <w:tcPr>
            <w:tcW w:w="109"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1081" w:type="dxa"/>
            <w:tcBorders/>
            <w:vAlign w:val="center"/>
          </w:tcPr>
          <w:p>
            <w:pPr>
              <w:pStyle w:val="TableContents"/>
              <w:bidi w:val="0"/>
              <w:spacing w:before="1" w:after="0"/>
              <w:ind w:left="0" w:right="0" w:hanging="0"/>
              <w:jc w:val="right"/>
              <w:rPr/>
            </w:pPr>
            <w:r>
              <w:rPr/>
              <w:t>​</w:t>
            </w:r>
          </w:p>
        </w:tc>
      </w:tr>
      <w:tr>
        <w:trPr/>
        <w:tc>
          <w:tcPr>
            <w:tcW w:w="473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(712)</w:t>
            </w:r>
          </w:p>
        </w:tc>
        <w:tc>
          <w:tcPr>
            <w:tcW w:w="109"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(863)</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8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(1,285)</w:t>
            </w:r>
          </w:p>
        </w:tc>
      </w:tr>
      <w:tr>
        <w:trPr/>
        <w:tc>
          <w:tcPr>
            <w:tcW w:w="473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Other Depreciation and Amortization</w:t>
            </w:r>
          </w:p>
        </w:tc>
        <w:tc>
          <w:tcPr>
            <w:tcW w:w="109"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1036"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1036"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before="1" w:after="0"/>
              <w:ind w:left="0" w:right="0" w:hanging="0"/>
              <w:jc w:val="right"/>
              <w:rPr/>
            </w:pPr>
            <w:r>
              <w:rPr/>
              <w:t>​</w:t>
            </w:r>
          </w:p>
        </w:tc>
        <w:tc>
          <w:tcPr>
            <w:tcW w:w="211" w:type="dxa"/>
            <w:tcBorders/>
            <w:vAlign w:val="center"/>
          </w:tcPr>
          <w:p>
            <w:pPr>
              <w:pStyle w:val="TableContents"/>
              <w:bidi w:val="0"/>
              <w:spacing w:before="1" w:after="0"/>
              <w:ind w:left="0" w:right="0" w:hanging="0"/>
              <w:jc w:val="left"/>
              <w:rPr/>
            </w:pPr>
            <w:r>
              <w:rPr/>
              <w:t>​</w:t>
            </w:r>
          </w:p>
        </w:tc>
        <w:tc>
          <w:tcPr>
            <w:tcW w:w="1036"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108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73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Amortization of Loan Costs, Discount on Convertible Debt, and Capitalized Interest</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109"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347</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8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685</w:t>
            </w:r>
          </w:p>
        </w:tc>
      </w:tr>
      <w:tr>
        <w:trPr/>
        <w:tc>
          <w:tcPr>
            <w:tcW w:w="473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Non-Cash Compensation</w:t>
            </w:r>
          </w:p>
        </w:tc>
        <w:tc>
          <w:tcPr>
            <w:tcW w:w="109" w:type="dxa"/>
            <w:tcBorders/>
            <w:vAlign w:val="center"/>
          </w:tcPr>
          <w:p>
            <w:pPr>
              <w:pStyle w:val="TableContents"/>
              <w:bidi w:val="0"/>
              <w:spacing w:before="1"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1,116</w:t>
            </w:r>
          </w:p>
        </w:tc>
        <w:tc>
          <w:tcPr>
            <w:tcW w:w="109" w:type="dxa"/>
            <w:tcBorders/>
            <w:vAlign w:val="center"/>
          </w:tcPr>
          <w:p>
            <w:pPr>
              <w:pStyle w:val="TableContents"/>
              <w:bidi w:val="0"/>
              <w:spacing w:before="1"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1,003</w:t>
            </w:r>
          </w:p>
        </w:tc>
        <w:tc>
          <w:tcPr>
            <w:tcW w:w="109" w:type="dxa"/>
            <w:tcBorders/>
            <w:vAlign w:val="center"/>
          </w:tcPr>
          <w:p>
            <w:pPr>
              <w:pStyle w:val="TableContents"/>
              <w:bidi w:val="0"/>
              <w:spacing w:before="1"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2,522</w:t>
            </w:r>
          </w:p>
        </w:tc>
        <w:tc>
          <w:tcPr>
            <w:tcW w:w="109" w:type="dxa"/>
            <w:tcBorders/>
            <w:vAlign w:val="center"/>
          </w:tcPr>
          <w:p>
            <w:pPr>
              <w:pStyle w:val="TableContents"/>
              <w:bidi w:val="0"/>
              <w:spacing w:before="1"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2,286</w:t>
            </w:r>
          </w:p>
        </w:tc>
      </w:tr>
      <w:tr>
        <w:trPr/>
        <w:tc>
          <w:tcPr>
            <w:tcW w:w="473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Adjusted Funds From Operations Attributable to Common Stockholders</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19,135</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15,267</w:t>
            </w:r>
          </w:p>
        </w:tc>
        <w:tc>
          <w:tcPr>
            <w:tcW w:w="109" w:type="dxa"/>
            <w:tcBorders/>
            <w:shd w:fill="CCEEFF" w:val="clear"/>
            <w:vAlign w:val="center"/>
          </w:tcPr>
          <w:p>
            <w:pPr>
              <w:pStyle w:val="TableContents"/>
              <w:bidi w:val="0"/>
              <w:spacing w:before="1"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37,373</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30,788</w:t>
            </w:r>
          </w:p>
        </w:tc>
      </w:tr>
      <w:tr>
        <w:trPr/>
        <w:tc>
          <w:tcPr>
            <w:tcW w:w="4736" w:type="dxa"/>
            <w:tcBorders/>
            <w:vAlign w:val="center"/>
          </w:tcPr>
          <w:p>
            <w:pPr>
              <w:pStyle w:val="TableContents"/>
              <w:bidi w:val="0"/>
              <w:spacing w:before="1" w:after="0"/>
              <w:ind w:left="0" w:right="0" w:hanging="0"/>
              <w:jc w:val="left"/>
              <w:rPr/>
            </w:pPr>
            <w:r>
              <w:rPr/>
              <w:t>​</w:t>
            </w:r>
          </w:p>
        </w:tc>
        <w:tc>
          <w:tcPr>
            <w:tcW w:w="109"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1036" w:type="dxa"/>
            <w:tcBorders/>
            <w:vAlign w:val="center"/>
          </w:tcPr>
          <w:p>
            <w:pPr>
              <w:pStyle w:val="TableContents"/>
              <w:bidi w:val="0"/>
              <w:spacing w:before="1" w:after="0"/>
              <w:ind w:left="0" w:right="0" w:hanging="0"/>
              <w:jc w:val="right"/>
              <w:rPr/>
            </w:pPr>
            <w:r>
              <w:rPr/>
              <w:t>​</w:t>
            </w:r>
          </w:p>
        </w:tc>
        <w:tc>
          <w:tcPr>
            <w:tcW w:w="109"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1036" w:type="dxa"/>
            <w:tcBorders/>
            <w:vAlign w:val="center"/>
          </w:tcPr>
          <w:p>
            <w:pPr>
              <w:pStyle w:val="TableContents"/>
              <w:bidi w:val="0"/>
              <w:spacing w:before="1" w:after="0"/>
              <w:ind w:left="0" w:right="0" w:hanging="0"/>
              <w:jc w:val="right"/>
              <w:rPr/>
            </w:pPr>
            <w:r>
              <w:rPr/>
              <w:t>​</w:t>
            </w:r>
          </w:p>
        </w:tc>
        <w:tc>
          <w:tcPr>
            <w:tcW w:w="109" w:type="dxa"/>
            <w:tcBorders/>
            <w:vAlign w:val="center"/>
          </w:tcPr>
          <w:p>
            <w:pPr>
              <w:pStyle w:val="TableContents"/>
              <w:bidi w:val="0"/>
              <w:spacing w:before="1" w:after="0"/>
              <w:ind w:left="0" w:right="0" w:hanging="0"/>
              <w:jc w:val="right"/>
              <w:rPr/>
            </w:pPr>
            <w:r>
              <w:rPr/>
              <w:t>​</w:t>
            </w:r>
          </w:p>
        </w:tc>
        <w:tc>
          <w:tcPr>
            <w:tcW w:w="211" w:type="dxa"/>
            <w:tcBorders/>
            <w:vAlign w:val="center"/>
          </w:tcPr>
          <w:p>
            <w:pPr>
              <w:pStyle w:val="TableContents"/>
              <w:bidi w:val="0"/>
              <w:spacing w:before="1" w:after="0"/>
              <w:ind w:left="0" w:right="0" w:hanging="0"/>
              <w:jc w:val="left"/>
              <w:rPr/>
            </w:pPr>
            <w:r>
              <w:rPr/>
              <w:t>​</w:t>
            </w:r>
          </w:p>
        </w:tc>
        <w:tc>
          <w:tcPr>
            <w:tcW w:w="1036" w:type="dxa"/>
            <w:tcBorders/>
            <w:vAlign w:val="center"/>
          </w:tcPr>
          <w:p>
            <w:pPr>
              <w:pStyle w:val="TableContents"/>
              <w:bidi w:val="0"/>
              <w:spacing w:before="1" w:after="0"/>
              <w:ind w:left="0" w:right="0" w:hanging="0"/>
              <w:jc w:val="right"/>
              <w:rPr/>
            </w:pPr>
            <w:r>
              <w:rPr/>
              <w:t>​</w:t>
            </w:r>
          </w:p>
        </w:tc>
        <w:tc>
          <w:tcPr>
            <w:tcW w:w="109"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1081" w:type="dxa"/>
            <w:tcBorders/>
            <w:vAlign w:val="center"/>
          </w:tcPr>
          <w:p>
            <w:pPr>
              <w:pStyle w:val="TableContents"/>
              <w:bidi w:val="0"/>
              <w:spacing w:before="1" w:after="0"/>
              <w:ind w:left="0" w:right="0" w:hanging="0"/>
              <w:jc w:val="right"/>
              <w:rPr/>
            </w:pPr>
            <w:r>
              <w:rPr/>
              <w:t>​</w:t>
            </w:r>
          </w:p>
        </w:tc>
      </w:tr>
      <w:tr>
        <w:trPr/>
        <w:tc>
          <w:tcPr>
            <w:tcW w:w="473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36" w:type="dxa"/>
            <w:tcBorders/>
            <w:shd w:fill="CCEEFF" w:val="clear"/>
            <w:vAlign w:val="center"/>
          </w:tcPr>
          <w:p>
            <w:pPr>
              <w:pStyle w:val="TableContents"/>
              <w:bidi w:val="0"/>
              <w:spacing w:before="1" w:after="0"/>
              <w:ind w:left="0" w:right="0" w:hanging="0"/>
              <w:jc w:val="right"/>
              <w:rPr/>
            </w:pPr>
            <w:r>
              <w:rPr/>
              <w:t>​</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36" w:type="dxa"/>
            <w:tcBorders/>
            <w:shd w:fill="CCEEFF" w:val="clear"/>
            <w:vAlign w:val="center"/>
          </w:tcPr>
          <w:p>
            <w:pPr>
              <w:pStyle w:val="TableContents"/>
              <w:bidi w:val="0"/>
              <w:spacing w:before="1" w:after="0"/>
              <w:ind w:left="0" w:right="0" w:hanging="0"/>
              <w:jc w:val="right"/>
              <w:rPr/>
            </w:pPr>
            <w:r>
              <w:rPr/>
              <w:t>​</w:t>
            </w:r>
          </w:p>
        </w:tc>
        <w:tc>
          <w:tcPr>
            <w:tcW w:w="109"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36" w:type="dxa"/>
            <w:tcBorders/>
            <w:shd w:fill="CCEEFF" w:val="clear"/>
            <w:vAlign w:val="center"/>
          </w:tcPr>
          <w:p>
            <w:pPr>
              <w:pStyle w:val="TableContents"/>
              <w:bidi w:val="0"/>
              <w:spacing w:before="1" w:after="0"/>
              <w:ind w:left="0" w:right="0" w:hanging="0"/>
              <w:jc w:val="right"/>
              <w:rPr/>
            </w:pPr>
            <w:r>
              <w:rPr/>
              <w:t>​</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81" w:type="dxa"/>
            <w:tcBorders/>
            <w:shd w:fill="CCEEFF" w:val="clear"/>
            <w:vAlign w:val="center"/>
          </w:tcPr>
          <w:p>
            <w:pPr>
              <w:pStyle w:val="TableContents"/>
              <w:bidi w:val="0"/>
              <w:spacing w:before="1" w:after="0"/>
              <w:ind w:left="0" w:right="0" w:hanging="0"/>
              <w:jc w:val="right"/>
              <w:rPr/>
            </w:pPr>
            <w:r>
              <w:rPr/>
              <w:t>​</w:t>
            </w:r>
          </w:p>
        </w:tc>
      </w:tr>
      <w:tr>
        <w:trPr/>
        <w:tc>
          <w:tcPr>
            <w:tcW w:w="473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1036"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34,988,612</w:t>
            </w:r>
          </w:p>
        </w:tc>
        <w:tc>
          <w:tcPr>
            <w:tcW w:w="109"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1036"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32,678,771</w:t>
            </w:r>
          </w:p>
        </w:tc>
        <w:tc>
          <w:tcPr>
            <w:tcW w:w="109" w:type="dxa"/>
            <w:tcBorders/>
            <w:vAlign w:val="center"/>
          </w:tcPr>
          <w:p>
            <w:pPr>
              <w:pStyle w:val="TableContents"/>
              <w:bidi w:val="0"/>
              <w:spacing w:before="1" w:after="0"/>
              <w:ind w:left="0" w:right="0" w:hanging="0"/>
              <w:jc w:val="right"/>
              <w:rPr/>
            </w:pPr>
            <w:r>
              <w:rPr/>
              <w:t>​</w:t>
            </w:r>
          </w:p>
        </w:tc>
        <w:tc>
          <w:tcPr>
            <w:tcW w:w="211" w:type="dxa"/>
            <w:tcBorders/>
            <w:vAlign w:val="center"/>
          </w:tcPr>
          <w:p>
            <w:pPr>
              <w:pStyle w:val="TableContents"/>
              <w:bidi w:val="0"/>
              <w:spacing w:before="1" w:after="0"/>
              <w:ind w:left="0" w:right="0" w:hanging="0"/>
              <w:jc w:val="left"/>
              <w:rPr/>
            </w:pPr>
            <w:r>
              <w:rPr/>
              <w:t>​</w:t>
            </w:r>
          </w:p>
        </w:tc>
        <w:tc>
          <w:tcPr>
            <w:tcW w:w="1036"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33,760,706</w:t>
            </w:r>
          </w:p>
        </w:tc>
        <w:tc>
          <w:tcPr>
            <w:tcW w:w="109"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108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32,118,982</w:t>
            </w:r>
          </w:p>
        </w:tc>
      </w:tr>
      <w:tr>
        <w:trPr/>
        <w:tc>
          <w:tcPr>
            <w:tcW w:w="4736" w:type="dxa"/>
            <w:tcBorders/>
            <w:shd w:fill="CCEEFF" w:val="clear"/>
            <w:vAlign w:val="center"/>
          </w:tcPr>
          <w:p>
            <w:pPr>
              <w:pStyle w:val="TableContents"/>
              <w:bidi w:val="0"/>
              <w:spacing w:lineRule="auto" w:line="240" w:before="1" w:after="0"/>
              <w:ind w:left="0" w:right="0" w:hanging="0"/>
              <w:jc w:val="left"/>
              <w:rPr>
                <w:rFonts w:ascii="Times New Roman;Times;serif" w:hAnsi="Times New Roman;Times;serif"/>
                <w:sz w:val="20"/>
              </w:rPr>
            </w:pPr>
            <w:r>
              <w:rPr>
                <w:rFonts w:ascii="Times New Roman;Times;serif" w:hAnsi="Times New Roman;Times;serif"/>
                <w:sz w:val="20"/>
              </w:rPr>
              <w:t xml:space="preserve">Diluted </w:t>
            </w:r>
            <w:r>
              <w:rPr>
                <w:rFonts w:ascii="Times New Roman;Times;serif" w:hAnsi="Times New Roman;Times;serif"/>
                <w:sz w:val="15"/>
              </w:rPr>
              <w:t>(1)</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35,024,642</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32,727,831</w:t>
            </w:r>
          </w:p>
        </w:tc>
        <w:tc>
          <w:tcPr>
            <w:tcW w:w="109"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33,788,343</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8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32,174,574</w:t>
            </w:r>
          </w:p>
        </w:tc>
      </w:tr>
      <w:tr>
        <w:trPr/>
        <w:tc>
          <w:tcPr>
            <w:tcW w:w="4736" w:type="dxa"/>
            <w:tcBorders/>
            <w:vAlign w:val="center"/>
          </w:tcPr>
          <w:p>
            <w:pPr>
              <w:pStyle w:val="TableContents"/>
              <w:bidi w:val="0"/>
              <w:spacing w:before="1" w:after="0"/>
              <w:ind w:left="0" w:right="0" w:hanging="0"/>
              <w:jc w:val="left"/>
              <w:rPr/>
            </w:pPr>
            <w:r>
              <w:rPr/>
              <w:t>​</w:t>
            </w:r>
          </w:p>
        </w:tc>
        <w:tc>
          <w:tcPr>
            <w:tcW w:w="109"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1036" w:type="dxa"/>
            <w:tcBorders/>
            <w:vAlign w:val="center"/>
          </w:tcPr>
          <w:p>
            <w:pPr>
              <w:pStyle w:val="TableContents"/>
              <w:bidi w:val="0"/>
              <w:spacing w:before="1" w:after="0"/>
              <w:ind w:left="0" w:right="0" w:hanging="0"/>
              <w:jc w:val="right"/>
              <w:rPr/>
            </w:pPr>
            <w:r>
              <w:rPr/>
              <w:t>​</w:t>
            </w:r>
          </w:p>
        </w:tc>
        <w:tc>
          <w:tcPr>
            <w:tcW w:w="109"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1036" w:type="dxa"/>
            <w:tcBorders/>
            <w:vAlign w:val="center"/>
          </w:tcPr>
          <w:p>
            <w:pPr>
              <w:pStyle w:val="TableContents"/>
              <w:bidi w:val="0"/>
              <w:spacing w:before="1" w:after="0"/>
              <w:ind w:left="0" w:right="0" w:hanging="0"/>
              <w:jc w:val="right"/>
              <w:rPr/>
            </w:pPr>
            <w:r>
              <w:rPr/>
              <w:t>​</w:t>
            </w:r>
          </w:p>
        </w:tc>
        <w:tc>
          <w:tcPr>
            <w:tcW w:w="109" w:type="dxa"/>
            <w:tcBorders/>
            <w:vAlign w:val="center"/>
          </w:tcPr>
          <w:p>
            <w:pPr>
              <w:pStyle w:val="TableContents"/>
              <w:bidi w:val="0"/>
              <w:spacing w:before="1" w:after="0"/>
              <w:ind w:left="0" w:right="0" w:hanging="0"/>
              <w:jc w:val="right"/>
              <w:rPr/>
            </w:pPr>
            <w:r>
              <w:rPr/>
              <w:t>​</w:t>
            </w:r>
          </w:p>
        </w:tc>
        <w:tc>
          <w:tcPr>
            <w:tcW w:w="211" w:type="dxa"/>
            <w:tcBorders/>
            <w:vAlign w:val="center"/>
          </w:tcPr>
          <w:p>
            <w:pPr>
              <w:pStyle w:val="TableContents"/>
              <w:bidi w:val="0"/>
              <w:spacing w:before="1" w:after="0"/>
              <w:ind w:left="0" w:right="0" w:hanging="0"/>
              <w:jc w:val="left"/>
              <w:rPr/>
            </w:pPr>
            <w:r>
              <w:rPr/>
              <w:t>​</w:t>
            </w:r>
          </w:p>
        </w:tc>
        <w:tc>
          <w:tcPr>
            <w:tcW w:w="1036" w:type="dxa"/>
            <w:tcBorders/>
            <w:vAlign w:val="center"/>
          </w:tcPr>
          <w:p>
            <w:pPr>
              <w:pStyle w:val="TableContents"/>
              <w:bidi w:val="0"/>
              <w:spacing w:before="1" w:after="0"/>
              <w:ind w:left="0" w:right="0" w:hanging="0"/>
              <w:jc w:val="right"/>
              <w:rPr/>
            </w:pPr>
            <w:r>
              <w:rPr/>
              <w:t>​</w:t>
            </w:r>
          </w:p>
        </w:tc>
        <w:tc>
          <w:tcPr>
            <w:tcW w:w="109"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1081" w:type="dxa"/>
            <w:tcBorders/>
            <w:vAlign w:val="center"/>
          </w:tcPr>
          <w:p>
            <w:pPr>
              <w:pStyle w:val="TableContents"/>
              <w:bidi w:val="0"/>
              <w:spacing w:before="1" w:after="0"/>
              <w:ind w:left="0" w:right="0" w:hanging="0"/>
              <w:jc w:val="right"/>
              <w:rPr/>
            </w:pPr>
            <w:r>
              <w:rPr/>
              <w:t>​</w:t>
            </w:r>
          </w:p>
        </w:tc>
      </w:tr>
      <w:tr>
        <w:trPr/>
        <w:tc>
          <w:tcPr>
            <w:tcW w:w="473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Dividends Declared and Paid - Preferred Stock</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0.40</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0.40</w:t>
            </w:r>
          </w:p>
        </w:tc>
        <w:tc>
          <w:tcPr>
            <w:tcW w:w="109"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0.80</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0.80</w:t>
            </w:r>
          </w:p>
        </w:tc>
      </w:tr>
      <w:tr>
        <w:trPr/>
        <w:tc>
          <w:tcPr>
            <w:tcW w:w="473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Dividends Declared and Paid - Common Stock</w:t>
            </w:r>
          </w:p>
        </w:tc>
        <w:tc>
          <w:tcPr>
            <w:tcW w:w="109"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0.38</w:t>
            </w:r>
          </w:p>
        </w:tc>
        <w:tc>
          <w:tcPr>
            <w:tcW w:w="109"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0.38</w:t>
            </w:r>
          </w:p>
        </w:tc>
        <w:tc>
          <w:tcPr>
            <w:tcW w:w="109" w:type="dxa"/>
            <w:tcBorders/>
            <w:vAlign w:val="center"/>
          </w:tcPr>
          <w:p>
            <w:pPr>
              <w:pStyle w:val="TableContents"/>
              <w:bidi w:val="0"/>
              <w:spacing w:before="1" w:after="0"/>
              <w:ind w:left="0" w:right="0" w:hanging="0"/>
              <w:jc w:val="right"/>
              <w:rPr/>
            </w:pPr>
            <w:r>
              <w:rPr/>
              <w:t>​</w:t>
            </w:r>
          </w:p>
        </w:tc>
        <w:tc>
          <w:tcPr>
            <w:tcW w:w="21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0.76</w:t>
            </w:r>
          </w:p>
        </w:tc>
        <w:tc>
          <w:tcPr>
            <w:tcW w:w="109"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0.76</w:t>
            </w:r>
          </w:p>
        </w:tc>
      </w:tr>
      <w:tr>
        <w:trPr/>
        <w:tc>
          <w:tcPr>
            <w:tcW w:w="4736" w:type="dxa"/>
            <w:tcBorders/>
            <w:shd w:fill="CCEEFF" w:val="clear"/>
            <w:vAlign w:val="center"/>
          </w:tcPr>
          <w:p>
            <w:pPr>
              <w:pStyle w:val="TableContents"/>
              <w:bidi w:val="0"/>
              <w:spacing w:before="1" w:after="0"/>
              <w:ind w:left="0" w:right="0" w:hanging="0"/>
              <w:jc w:val="left"/>
              <w:rPr/>
            </w:pPr>
            <w:r>
              <w:rPr/>
              <w:t>​</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36" w:type="dxa"/>
            <w:tcBorders/>
            <w:shd w:fill="CCEEFF" w:val="clear"/>
            <w:vAlign w:val="center"/>
          </w:tcPr>
          <w:p>
            <w:pPr>
              <w:pStyle w:val="TableContents"/>
              <w:bidi w:val="0"/>
              <w:spacing w:before="1" w:after="0"/>
              <w:ind w:left="0" w:right="0" w:hanging="0"/>
              <w:jc w:val="left"/>
              <w:rPr/>
            </w:pPr>
            <w:r>
              <w:rPr/>
              <w:t>​</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36" w:type="dxa"/>
            <w:tcBorders/>
            <w:shd w:fill="CCEEFF" w:val="clear"/>
            <w:vAlign w:val="center"/>
          </w:tcPr>
          <w:p>
            <w:pPr>
              <w:pStyle w:val="TableContents"/>
              <w:bidi w:val="0"/>
              <w:spacing w:before="1" w:after="0"/>
              <w:ind w:left="0" w:right="0" w:hanging="0"/>
              <w:jc w:val="left"/>
              <w:rPr/>
            </w:pPr>
            <w:r>
              <w:rPr/>
              <w:t>​</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36" w:type="dxa"/>
            <w:tcBorders/>
            <w:shd w:fill="CCEEFF" w:val="clear"/>
            <w:vAlign w:val="center"/>
          </w:tcPr>
          <w:p>
            <w:pPr>
              <w:pStyle w:val="TableContents"/>
              <w:bidi w:val="0"/>
              <w:spacing w:before="1" w:after="0"/>
              <w:ind w:left="0" w:right="0" w:hanging="0"/>
              <w:jc w:val="left"/>
              <w:rPr/>
            </w:pPr>
            <w:r>
              <w:rPr/>
              <w:t>​</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81" w:type="dxa"/>
            <w:tcBorders/>
            <w:shd w:fill="CCEEFF" w:val="clear"/>
            <w:vAlign w:val="center"/>
          </w:tcPr>
          <w:p>
            <w:pPr>
              <w:pStyle w:val="TableContents"/>
              <w:bidi w:val="0"/>
              <w:spacing w:before="1" w:after="0"/>
              <w:ind w:left="0" w:right="0" w:hanging="0"/>
              <w:jc w:val="left"/>
              <w:rPr/>
            </w:pPr>
            <w:r>
              <w:rPr/>
              <w:t>​</w:t>
            </w:r>
          </w:p>
        </w:tc>
      </w:tr>
      <w:tr>
        <w:trPr/>
        <w:tc>
          <w:tcPr>
            <w:tcW w:w="473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 xml:space="preserve">Supplemental Disclosure: </w:t>
            </w:r>
          </w:p>
        </w:tc>
        <w:tc>
          <w:tcPr>
            <w:tcW w:w="109"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right"/>
              <w:rPr/>
            </w:pPr>
            <w:r>
              <w:rPr/>
              <w:t>​</w:t>
            </w:r>
          </w:p>
        </w:tc>
        <w:tc>
          <w:tcPr>
            <w:tcW w:w="1036" w:type="dxa"/>
            <w:tcBorders/>
            <w:vAlign w:val="center"/>
          </w:tcPr>
          <w:p>
            <w:pPr>
              <w:pStyle w:val="TableContents"/>
              <w:bidi w:val="0"/>
              <w:spacing w:before="1" w:after="0"/>
              <w:ind w:left="0" w:right="0" w:hanging="0"/>
              <w:jc w:val="left"/>
              <w:rPr/>
            </w:pPr>
            <w:r>
              <w:rPr/>
              <w:t>​</w:t>
            </w:r>
          </w:p>
        </w:tc>
        <w:tc>
          <w:tcPr>
            <w:tcW w:w="109"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right"/>
              <w:rPr/>
            </w:pPr>
            <w:r>
              <w:rPr/>
              <w:t>​</w:t>
            </w:r>
          </w:p>
        </w:tc>
        <w:tc>
          <w:tcPr>
            <w:tcW w:w="1036" w:type="dxa"/>
            <w:tcBorders/>
            <w:vAlign w:val="center"/>
          </w:tcPr>
          <w:p>
            <w:pPr>
              <w:pStyle w:val="TableContents"/>
              <w:bidi w:val="0"/>
              <w:spacing w:before="1" w:after="0"/>
              <w:ind w:left="0" w:right="0" w:hanging="0"/>
              <w:jc w:val="right"/>
              <w:rPr/>
            </w:pPr>
            <w:r>
              <w:rPr/>
              <w:t>​</w:t>
            </w:r>
          </w:p>
        </w:tc>
        <w:tc>
          <w:tcPr>
            <w:tcW w:w="109"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1036" w:type="dxa"/>
            <w:tcBorders/>
            <w:vAlign w:val="center"/>
          </w:tcPr>
          <w:p>
            <w:pPr>
              <w:pStyle w:val="TableContents"/>
              <w:bidi w:val="0"/>
              <w:spacing w:before="1" w:after="0"/>
              <w:ind w:left="0" w:right="0" w:hanging="0"/>
              <w:jc w:val="left"/>
              <w:rPr/>
            </w:pPr>
            <w:r>
              <w:rPr/>
              <w:t>​</w:t>
            </w:r>
          </w:p>
        </w:tc>
        <w:tc>
          <w:tcPr>
            <w:tcW w:w="109"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1081" w:type="dxa"/>
            <w:tcBorders/>
            <w:vAlign w:val="center"/>
          </w:tcPr>
          <w:p>
            <w:pPr>
              <w:pStyle w:val="TableContents"/>
              <w:bidi w:val="0"/>
              <w:spacing w:before="1" w:after="0"/>
              <w:ind w:left="0" w:right="0" w:hanging="0"/>
              <w:jc w:val="left"/>
              <w:rPr/>
            </w:pPr>
            <w:r>
              <w:rPr/>
              <w:t>​</w:t>
            </w:r>
          </w:p>
        </w:tc>
      </w:tr>
      <w:tr>
        <w:trPr/>
        <w:tc>
          <w:tcPr>
            <w:tcW w:w="473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PIK Interest Earned</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1" w:after="0"/>
              <w:ind w:left="0" w:right="0" w:hanging="0"/>
              <w:jc w:val="right"/>
              <w:rPr/>
            </w:pPr>
            <w:r>
              <w:rPr/>
              <w:t>—</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1" w:after="0"/>
              <w:ind w:left="0" w:right="0" w:hanging="0"/>
              <w:jc w:val="right"/>
              <w:rPr/>
            </w:pPr>
            <w:r>
              <w:rPr/>
              <w:t>—</w:t>
            </w:r>
          </w:p>
        </w:tc>
      </w:tr>
      <w:tr>
        <w:trPr/>
        <w:tc>
          <w:tcPr>
            <w:tcW w:w="473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PIK Interest Paid</w:t>
            </w:r>
          </w:p>
        </w:tc>
        <w:tc>
          <w:tcPr>
            <w:tcW w:w="109" w:type="dxa"/>
            <w:tcBorders/>
            <w:vAlign w:val="center"/>
          </w:tcPr>
          <w:p>
            <w:pPr>
              <w:pStyle w:val="TableContents"/>
              <w:bidi w:val="0"/>
              <w:spacing w:before="1"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1" w:after="0"/>
              <w:ind w:left="0" w:right="0" w:hanging="0"/>
              <w:jc w:val="right"/>
              <w:rPr/>
            </w:pPr>
            <w:r>
              <w:rPr/>
              <w:t>—</w:t>
            </w:r>
          </w:p>
        </w:tc>
        <w:tc>
          <w:tcPr>
            <w:tcW w:w="109" w:type="dxa"/>
            <w:tcBorders/>
            <w:vAlign w:val="center"/>
          </w:tcPr>
          <w:p>
            <w:pPr>
              <w:pStyle w:val="TableContents"/>
              <w:bidi w:val="0"/>
              <w:spacing w:before="1"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1" w:after="0"/>
              <w:ind w:left="0" w:right="0" w:hanging="0"/>
              <w:jc w:val="right"/>
              <w:rPr/>
            </w:pPr>
            <w:r>
              <w:rPr/>
              <w:t>—</w:t>
            </w:r>
          </w:p>
        </w:tc>
        <w:tc>
          <w:tcPr>
            <w:tcW w:w="109" w:type="dxa"/>
            <w:tcBorders/>
            <w:vAlign w:val="center"/>
          </w:tcPr>
          <w:p>
            <w:pPr>
              <w:pStyle w:val="TableContents"/>
              <w:bidi w:val="0"/>
              <w:spacing w:before="1"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1" w:after="0"/>
              <w:ind w:left="0" w:right="0" w:hanging="0"/>
              <w:jc w:val="right"/>
              <w:rPr/>
            </w:pPr>
            <w:r>
              <w:rPr/>
              <w:t>—</w:t>
            </w:r>
          </w:p>
        </w:tc>
        <w:tc>
          <w:tcPr>
            <w:tcW w:w="109" w:type="dxa"/>
            <w:tcBorders/>
            <w:vAlign w:val="center"/>
          </w:tcPr>
          <w:p>
            <w:pPr>
              <w:pStyle w:val="TableContents"/>
              <w:bidi w:val="0"/>
              <w:spacing w:before="1"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1" w:after="0"/>
              <w:ind w:left="0" w:right="0" w:hanging="0"/>
              <w:jc w:val="right"/>
              <w:rPr/>
            </w:pPr>
            <w:r>
              <w:rPr/>
              <w:t>—</w:t>
            </w:r>
          </w:p>
        </w:tc>
      </w:tr>
      <w:tr>
        <w:trPr/>
        <w:tc>
          <w:tcPr>
            <w:tcW w:w="473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PIK Interest Earned in Excess of PIK Interest Paid</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1" w:after="0"/>
              <w:ind w:left="0" w:right="0" w:hanging="0"/>
              <w:jc w:val="right"/>
              <w:rPr/>
            </w:pPr>
            <w:r>
              <w:rPr/>
              <w:t>—</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109" w:type="dxa"/>
            <w:tcBorders/>
            <w:shd w:fill="CCEEFF" w:val="clear"/>
            <w:vAlign w:val="center"/>
          </w:tcPr>
          <w:p>
            <w:pPr>
              <w:pStyle w:val="TableContents"/>
              <w:bidi w:val="0"/>
              <w:spacing w:before="1"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1" w:after="0"/>
              <w:ind w:left="0" w:right="60" w:hanging="0"/>
              <w:jc w:val="right"/>
              <w:rPr/>
            </w:pPr>
            <w:r>
              <w:rPr/>
              <w:t>—</w:t>
            </w:r>
          </w:p>
        </w:tc>
      </w:tr>
    </w:tbl>
    <w:p>
      <w:pPr>
        <w:pStyle w:val="TextBody"/>
        <w:bidi w:val="0"/>
        <w:spacing w:before="200" w:after="0"/>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Other Data (in thousands, except per share data):</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243"/>
        <w:gridCol w:w="109"/>
        <w:gridCol w:w="274"/>
        <w:gridCol w:w="845"/>
        <w:gridCol w:w="109"/>
        <w:gridCol w:w="265"/>
        <w:gridCol w:w="854"/>
        <w:gridCol w:w="109"/>
        <w:gridCol w:w="275"/>
        <w:gridCol w:w="844"/>
        <w:gridCol w:w="109"/>
        <w:gridCol w:w="270"/>
        <w:gridCol w:w="899"/>
      </w:tblGrid>
      <w:tr>
        <w:trPr/>
        <w:tc>
          <w:tcPr>
            <w:tcW w:w="52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73990" cy="175260"/>
                      <wp:effectExtent l="0" t="0" r="0" b="0"/>
                      <wp:wrapNone/>
                      <wp:docPr id="510" name="Frame510"/>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536575" cy="175260"/>
                      <wp:effectExtent l="0" t="0" r="0" b="0"/>
                      <wp:wrapNone/>
                      <wp:docPr id="511" name="Frame511"/>
                      <a:graphic xmlns:a="http://schemas.openxmlformats.org/drawingml/2006/main">
                        <a:graphicData uri="http://schemas.microsoft.com/office/word/2010/wordprocessingShape">
                          <wps:wsp>
                            <wps:cNvSpPr txBox="1"/>
                            <wps:spPr>
                              <a:xfrm>
                                <a:off x="0" y="0"/>
                                <a:ext cx="536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69215" cy="175260"/>
                      <wp:effectExtent l="0" t="0" r="0" b="0"/>
                      <wp:wrapNone/>
                      <wp:docPr id="512" name="Frame5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168275" cy="175260"/>
                      <wp:effectExtent l="0" t="0" r="0" b="0"/>
                      <wp:wrapNone/>
                      <wp:docPr id="513" name="Frame513"/>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542290" cy="175260"/>
                      <wp:effectExtent l="0" t="0" r="0" b="0"/>
                      <wp:wrapNone/>
                      <wp:docPr id="514" name="Frame514"/>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69215" cy="175260"/>
                      <wp:effectExtent l="0" t="0" r="0" b="0"/>
                      <wp:wrapNone/>
                      <wp:docPr id="515" name="Frame5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174625" cy="175260"/>
                      <wp:effectExtent l="0" t="0" r="0" b="0"/>
                      <wp:wrapNone/>
                      <wp:docPr id="516" name="Frame516"/>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535940" cy="175260"/>
                      <wp:effectExtent l="0" t="0" r="0" b="0"/>
                      <wp:wrapNone/>
                      <wp:docPr id="517" name="Frame517"/>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69215" cy="175260"/>
                      <wp:effectExtent l="0" t="0" r="0" b="0"/>
                      <wp:wrapNone/>
                      <wp:docPr id="518" name="Frame5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71450" cy="175260"/>
                      <wp:effectExtent l="0" t="0" r="0" b="0"/>
                      <wp:wrapNone/>
                      <wp:docPr id="519" name="Frame519"/>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570865" cy="175260"/>
                      <wp:effectExtent l="0" t="0" r="0" b="0"/>
                      <wp:wrapNone/>
                      <wp:docPr id="520" name="Frame520"/>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4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34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w:t>
            </w:r>
          </w:p>
        </w:tc>
        <w:tc>
          <w:tcPr>
            <w:tcW w:w="109" w:type="dxa"/>
            <w:tcBorders/>
            <w:vAlign w:val="center"/>
          </w:tcPr>
          <w:p>
            <w:pPr>
              <w:pStyle w:val="TableContents"/>
              <w:bidi w:val="0"/>
              <w:spacing w:before="0" w:after="0"/>
              <w:ind w:left="0" w:right="0" w:hanging="0"/>
              <w:jc w:val="left"/>
              <w:rPr/>
            </w:pPr>
            <w:r>
              <w:rPr/>
              <w:t>​</w:t>
            </w:r>
          </w:p>
        </w:tc>
        <w:tc>
          <w:tcPr>
            <w:tcW w:w="239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Six Months Ended</w:t>
            </w:r>
          </w:p>
        </w:tc>
      </w:tr>
      <w:tr>
        <w:trPr/>
        <w:tc>
          <w:tcPr>
            <w:tcW w:w="524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109" w:type="dxa"/>
            <w:tcBorders/>
            <w:vAlign w:val="center"/>
          </w:tcPr>
          <w:p>
            <w:pPr>
              <w:pStyle w:val="TableContents"/>
              <w:bidi w:val="0"/>
              <w:spacing w:before="0" w:after="0"/>
              <w:ind w:left="0" w:right="0" w:hanging="0"/>
              <w:jc w:val="center"/>
              <w:rPr/>
            </w:pPr>
            <w:r>
              <w:rPr/>
              <w:t>​</w:t>
            </w:r>
          </w:p>
        </w:tc>
        <w:tc>
          <w:tcPr>
            <w:tcW w:w="11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2025</w:t>
            </w:r>
          </w:p>
        </w:tc>
        <w:tc>
          <w:tcPr>
            <w:tcW w:w="109" w:type="dxa"/>
            <w:tcBorders/>
            <w:vAlign w:val="center"/>
          </w:tcPr>
          <w:p>
            <w:pPr>
              <w:pStyle w:val="TableContents"/>
              <w:bidi w:val="0"/>
              <w:spacing w:before="0" w:after="0"/>
              <w:ind w:left="0" w:right="0" w:hanging="0"/>
              <w:jc w:val="center"/>
              <w:rPr/>
            </w:pPr>
            <w:r>
              <w:rPr/>
              <w:t>​</w:t>
            </w:r>
          </w:p>
        </w:tc>
        <w:tc>
          <w:tcPr>
            <w:tcW w:w="11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109" w:type="dxa"/>
            <w:tcBorders/>
            <w:vAlign w:val="center"/>
          </w:tcPr>
          <w:p>
            <w:pPr>
              <w:pStyle w:val="TableContents"/>
              <w:bidi w:val="0"/>
              <w:spacing w:before="0" w:after="0"/>
              <w:ind w:left="0" w:right="0" w:hanging="0"/>
              <w:jc w:val="center"/>
              <w:rPr/>
            </w:pPr>
            <w:r>
              <w:rPr/>
              <w:t>​</w:t>
            </w:r>
          </w:p>
        </w:tc>
        <w:tc>
          <w:tcPr>
            <w:tcW w:w="11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2025</w:t>
            </w:r>
          </w:p>
        </w:tc>
      </w:tr>
      <w:tr>
        <w:trPr/>
        <w:tc>
          <w:tcPr>
            <w:tcW w:w="524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FFO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19,137</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(5,470)</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36,978</w:t>
            </w:r>
          </w:p>
        </w:tc>
        <w:tc>
          <w:tcPr>
            <w:tcW w:w="109"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9,424</w:t>
            </w:r>
          </w:p>
        </w:tc>
      </w:tr>
      <w:tr>
        <w:trPr/>
        <w:tc>
          <w:tcPr>
            <w:tcW w:w="52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FFO Attributable to Common Stockholders per Common Share - Diluted</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0.55</w:t>
            </w:r>
          </w:p>
        </w:tc>
        <w:tc>
          <w:tcPr>
            <w:tcW w:w="109"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(0.17)</w:t>
            </w:r>
          </w:p>
        </w:tc>
        <w:tc>
          <w:tcPr>
            <w:tcW w:w="109"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w:t>
            </w:r>
          </w:p>
        </w:tc>
        <w:tc>
          <w:tcPr>
            <w:tcW w:w="109"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0.29</w:t>
            </w:r>
          </w:p>
        </w:tc>
      </w:tr>
      <w:tr>
        <w:trPr/>
        <w:tc>
          <w:tcPr>
            <w:tcW w:w="524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pPr>
            <w:r>
              <w:rPr/>
              <w:t>​</w:t>
            </w:r>
          </w:p>
        </w:tc>
      </w:tr>
      <w:tr>
        <w:trPr/>
        <w:tc>
          <w:tcPr>
            <w:tcW w:w="52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Core FFO Attributable to Common Stockholders</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18,438</w:t>
            </w:r>
          </w:p>
        </w:tc>
        <w:tc>
          <w:tcPr>
            <w:tcW w:w="109"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14,659</w:t>
            </w:r>
          </w:p>
        </w:tc>
        <w:tc>
          <w:tcPr>
            <w:tcW w:w="109"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35,369</w:t>
            </w:r>
          </w:p>
        </w:tc>
        <w:tc>
          <w:tcPr>
            <w:tcW w:w="109"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29,104</w:t>
            </w:r>
          </w:p>
        </w:tc>
      </w:tr>
      <w:tr>
        <w:trPr/>
        <w:tc>
          <w:tcPr>
            <w:tcW w:w="524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Core FFO Attributable to Common Stockholders per Common Share - Diluted</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0.53</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0.45</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w:t>
            </w:r>
          </w:p>
        </w:tc>
        <w:tc>
          <w:tcPr>
            <w:tcW w:w="109"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0.90</w:t>
            </w:r>
          </w:p>
        </w:tc>
      </w:tr>
      <w:tr>
        <w:trPr/>
        <w:tc>
          <w:tcPr>
            <w:tcW w:w="52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r>
      <w:tr>
        <w:trPr/>
        <w:tc>
          <w:tcPr>
            <w:tcW w:w="524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AFFO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19,135</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15,267</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37,373</w:t>
            </w:r>
          </w:p>
        </w:tc>
        <w:tc>
          <w:tcPr>
            <w:tcW w:w="109"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30,788</w:t>
            </w:r>
          </w:p>
        </w:tc>
      </w:tr>
      <w:tr>
        <w:trPr/>
        <w:tc>
          <w:tcPr>
            <w:tcW w:w="52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AFFO Attributable to Common Stockholders per Common Share - Diluted</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0.55</w:t>
            </w:r>
          </w:p>
        </w:tc>
        <w:tc>
          <w:tcPr>
            <w:tcW w:w="109"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0.47</w:t>
            </w:r>
          </w:p>
        </w:tc>
        <w:tc>
          <w:tcPr>
            <w:tcW w:w="109"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w:t>
            </w:r>
          </w:p>
        </w:tc>
        <w:tc>
          <w:tcPr>
            <w:tcW w:w="109"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9"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0.96</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0"/>
        <w:ind w:left="0" w:right="0" w:hanging="0"/>
        <w:jc w:val="both"/>
        <w:rPr/>
      </w:pPr>
      <w:r>
        <w:rPr/>
        <w:t>​</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Critical accounting estimates include those estimates made in accordance with U.S. GAAP that involve a significant level of estimation uncertainty and have had or are reasonably likely to have a material impact on the Company’s financial condition or results of operations. Our most significant estimate is as follows:</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Purchase Accounting for Acquisitions of Real Estate Subject to a Lease</w:t>
      </w:r>
      <w:r>
        <w:rPr>
          <w:rFonts w:ascii="Times New Roman;Times;serif" w:hAnsi="Times New Roman;Times;serif"/>
          <w:sz w:val="20"/>
        </w:rPr>
        <w:t>.  As required by U.S. GAAP,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The acquisitions of real estate subject to this estimate totaled two shopping centers and one land parcel for a purchase price of $137.8 million, or a total acquisition cost of $138.1 million, for the six months ended June 30, 2026, and one shopping center for an aggregate purchase price of $79.8 million, or a total acquisition cost of $80.0 million, for the six months ended June 30, 2025.</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See Note 2, “Summary of Significant Accounting Policies” in the Notes to Financial Statements, for further discussion of the Company’s accounting estimates and policies.</w:t>
      </w:r>
    </w:p>
    <w:p>
      <w:pPr>
        <w:pStyle w:val="TextBody"/>
        <w:bidi w:val="0"/>
        <w:spacing w:before="280" w:after="0"/>
        <w:ind w:left="0" w:right="0" w:hanging="0"/>
        <w:jc w:val="both"/>
        <w:rPr>
          <w:rFonts w:ascii="Times New Roman;Times;serif" w:hAnsi="Times New Roman;Times;serif"/>
          <w:b/>
          <w:sz w:val="20"/>
        </w:rPr>
      </w:pPr>
      <w:bookmarkStart w:id="2076" w:name="ITEM3QUANTITATIVEANDQUALITATIVE_871147"/>
      <w:bookmarkStart w:id="2077" w:name="_c494f6d7_a6a9_4c3c_bab1_3225a23b6618"/>
      <w:bookmarkEnd w:id="2076"/>
      <w:bookmarkEnd w:id="2077"/>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both"/>
        <w:rPr/>
      </w:pPr>
      <w:r>
        <w:rPr/>
        <w:t>​</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principal market risk (i.e. the risk of loss arising from adverse changes in market rates and prices), to which we are exposed is interest rate risk relating to our debt. We may utilize overnight sweep accounts and short-term investments as a means to minimize the interest rate risk. We do not believe that interest rate risk related to cash equivalents and short-term investments, if any, is material due to the nature of the investments.</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We are primarily exposed to interest rate risk relating to our own debt in connection with our Revolving Credit Facility, as this facility carries a variable rate of interest. Our borrowings on our $300.0 million Revolving Credit Facility bear interest at a rate ranging from SOFR plus 0.10% plus 125 basis points to SOFR plus 0.10% plus 220 basis points based on our level of borrowing as a percentage of our total asset value. As of June 30, 2026, the outstanding balance on our Revolving Credit Facility totaled $193.0 million of which $143.0 million was not fixed by virtue of an interest rate swap agreement.</w:t>
      </w:r>
      <w:r>
        <w:rPr>
          <w:rFonts w:ascii="Times New Roman;Times;serif" w:hAnsi="Times New Roman;Times;serif"/>
          <w:color w:val="212529"/>
          <w:sz w:val="20"/>
        </w:rPr>
        <w:t> </w:t>
      </w:r>
      <w:r>
        <w:rPr>
          <w:rFonts w:ascii="Times New Roman;Times;serif" w:hAnsi="Times New Roman;Times;serif"/>
          <w:sz w:val="20"/>
        </w:rPr>
        <w:t>As of June 30, 2025, the outstanding balance on our Revolving Credit Facility totaled $224.0 million of which $74.0 million was not fixed by virtue of an interest rate swap agreement.</w:t>
      </w:r>
      <w:r>
        <w:rPr>
          <w:rFonts w:ascii="Times New Roman;Times;serif" w:hAnsi="Times New Roman;Times;serif"/>
          <w:color w:val="212529"/>
          <w:sz w:val="20"/>
        </w:rPr>
        <w:t xml:space="preserve"> </w:t>
      </w:r>
      <w:r>
        <w:rPr>
          <w:rFonts w:ascii="Times New Roman;Times;serif" w:hAnsi="Times New Roman;Times;serif"/>
          <w:sz w:val="20"/>
        </w:rPr>
        <w:t>A hypothetical change in the interest rate of 100 basis points (i.e., 1%) would affect our financial position, results of operations, and cash flows by $1.4 million and $0.7 million as of June 30, 2026 and 2025, respectively. The Company entered into interest rate swap agreements to hedge against changes in future cash flows resulting from fluctuating interest rates related to certain of its debt borrowings, see Note 15, “Interest Rate Swaps” in the Notes to Financial Statements. By virtue of fixing the variable rate on certain debt borrowings, our exposure to changes in interest rates is minimal but for the impact on other comprehensive income and loss. Management’s objective is to limit the impact of interest rate changes on earnings and cash flows and to manage our overall borrowing costs.</w:t>
      </w:r>
    </w:p>
    <w:p>
      <w:pPr>
        <w:pStyle w:val="TextBody"/>
        <w:bidi w:val="0"/>
        <w:spacing w:before="280" w:after="0"/>
        <w:ind w:left="0" w:right="0" w:hanging="0"/>
        <w:jc w:val="both"/>
        <w:rPr/>
      </w:pPr>
      <w:bookmarkStart w:id="2078" w:name="_151aba33_2adf_49d2_b92e_4115607ab13d"/>
      <w:bookmarkEnd w:id="2078"/>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2079" w:name="ITEM4CONTROLSANDPROCEDURES_992496"/>
      <w:bookmarkEnd w:id="2079"/>
      <w:r>
        <w:rPr>
          <w:rFonts w:ascii="Times New Roman;Times;serif" w:hAnsi="Times New Roman;Times;serif"/>
          <w:b/>
          <w:sz w:val="20"/>
        </w:rPr>
        <w:t>ITEM 4. CONTROLS AND PROCEDURES</w:t>
      </w:r>
    </w:p>
    <w:p>
      <w:pPr>
        <w:pStyle w:val="TextBody"/>
        <w:shd w:fill="FFFFFF" w:val="clear"/>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As of the end of the period covered by this report, an evaluation, as required by Rules 13a-15 and 15d-15 of the Securities Exchange Act of 1934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Securities and Exchange Commission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 There were no changes in the Company’s internal control over financial reporting (as defined in Rules 13a-15(f) or 15d-15(f) under the Exchange Act) during the three months ended June 30, 2026, that have materially affected, or are reasonably likely to materially affect, the Company’s internal control over financial reporting.</w:t>
      </w:r>
    </w:p>
    <w:p>
      <w:pPr>
        <w:pStyle w:val="TextBody"/>
        <w:bidi w:val="0"/>
        <w:spacing w:before="280" w:after="0"/>
        <w:ind w:left="0" w:right="0" w:hanging="0"/>
        <w:jc w:val="both"/>
        <w:rPr>
          <w:rFonts w:ascii="Times New Roman;Times;serif" w:hAnsi="Times New Roman;Times;serif"/>
          <w:b/>
          <w:sz w:val="20"/>
        </w:rPr>
      </w:pPr>
      <w:bookmarkStart w:id="2080" w:name="PARTIIOTHERINFORMATION_47745"/>
      <w:bookmarkStart w:id="2081" w:name="_f5abb2c5_23d3_4d0a_9404_0b5e9ddcc0ab"/>
      <w:bookmarkEnd w:id="2080"/>
      <w:bookmarkEnd w:id="2081"/>
      <w:r>
        <w:rPr>
          <w:rFonts w:ascii="Times New Roman;Times;serif" w:hAnsi="Times New Roman;Times;serif"/>
          <w:b/>
          <w:sz w:val="20"/>
        </w:rPr>
        <w:t>PART II—OTHER INFORMATION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2082" w:name="ITEM1LEGALPROCEEDINGS_995157"/>
      <w:bookmarkEnd w:id="2082"/>
      <w:r>
        <w:rPr>
          <w:rFonts w:ascii="Times New Roman;Times;serif" w:hAnsi="Times New Roman;Times;serif"/>
          <w:b/>
          <w:sz w:val="20"/>
        </w:rPr>
        <w:t>ITEM 1. LEGAL PROCEEDINGS</w:t>
      </w:r>
    </w:p>
    <w:p>
      <w:pPr>
        <w:pStyle w:val="TextBody"/>
        <w:shd w:fill="FFFFFF" w:val="clear"/>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From time to time, the Company may be a party to certain legal proceedings, incidental to the normal course of its business. While the outcome of legal proceedings cannot be predicted with certainty, the Company is not currently a party to any pending or threatened legal proceedings that we believe could have a material adverse effect on the Company’s business or financial condition.</w:t>
      </w:r>
    </w:p>
    <w:p>
      <w:pPr>
        <w:pStyle w:val="TextBody"/>
        <w:bidi w:val="0"/>
        <w:spacing w:before="280" w:after="0"/>
        <w:ind w:left="0" w:right="0" w:hanging="0"/>
        <w:jc w:val="both"/>
        <w:rPr>
          <w:rFonts w:ascii="Times New Roman;Times;serif" w:hAnsi="Times New Roman;Times;serif"/>
          <w:b/>
          <w:sz w:val="20"/>
        </w:rPr>
      </w:pPr>
      <w:bookmarkStart w:id="2083" w:name="ITEM1ARISKFACTORS_785246"/>
      <w:bookmarkStart w:id="2084" w:name="_40de4680_3ac0_4dd5_a141_65991e6fdc4b"/>
      <w:bookmarkEnd w:id="2083"/>
      <w:bookmarkEnd w:id="2084"/>
      <w:r>
        <w:rPr>
          <w:rFonts w:ascii="Times New Roman;Times;serif" w:hAnsi="Times New Roman;Times;serif"/>
          <w:b/>
          <w:sz w:val="20"/>
        </w:rPr>
        <w:t>ITEM 1A. RISK FACTORS</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For a discussion of the Company’s potential risks and uncertainties, see the information set forth under the heading Part I, “Item 1A. Risk Factors” in the Company’s Annual Report on Form 10-K for the year ended December 31, 2025 (the “Form 10-K”). The risks described in the Form 10-K are not the only risks facing the Company. Additional risks and uncertainties not currently known to the Company or that the Company currently deems to be immaterial also may materially adversely affect the Company. As of June 30, 2026, there have been no material changes in our risk factors from those set forth within the Form 10-K.</w:t>
      </w:r>
    </w:p>
    <w:p>
      <w:pPr>
        <w:pStyle w:val="TextBody"/>
        <w:bidi w:val="0"/>
        <w:spacing w:before="280" w:after="0"/>
        <w:ind w:left="0" w:right="0" w:hanging="0"/>
        <w:jc w:val="left"/>
        <w:rPr/>
      </w:pPr>
      <w:bookmarkStart w:id="2085" w:name="_6fe8a8dc_b0d6_4ff4_90a1_aacdb6399a7b"/>
      <w:bookmarkEnd w:id="2085"/>
      <w:r>
        <w:rPr/>
        <w:t>​</w:t>
      </w:r>
    </w:p>
    <w:p>
      <w:pPr>
        <w:pStyle w:val="TextBody"/>
        <w:bidi w:val="0"/>
        <w:spacing w:before="0" w:after="0"/>
        <w:ind w:left="0" w:right="0" w:hanging="0"/>
        <w:jc w:val="both"/>
        <w:rPr>
          <w:rFonts w:ascii="Times New Roman;Times;serif" w:hAnsi="Times New Roman;Times;serif"/>
          <w:b/>
          <w:sz w:val="20"/>
        </w:rPr>
      </w:pPr>
      <w:bookmarkStart w:id="2086" w:name="ITEM2UNREGISTEREDSALESOFEQUITY_229264"/>
      <w:bookmarkEnd w:id="2086"/>
      <w:r>
        <w:rPr>
          <w:rFonts w:ascii="Times New Roman;Times;serif" w:hAnsi="Times New Roman;Times;serif"/>
          <w:b/>
          <w:sz w:val="20"/>
        </w:rPr>
        <w:t>ITEM 2. UNREGISTERED SALES OF EQUITY SECURITIES AND USE OF PROCEEDS</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36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2087" w:name="ITEM3DEFAULTSUPONSENIORSECURITIES_987801"/>
      <w:bookmarkStart w:id="2088" w:name="_87fac603_632d_42e2_a8ba_6d4849a37f12"/>
      <w:bookmarkEnd w:id="2087"/>
      <w:bookmarkEnd w:id="2088"/>
      <w:r>
        <w:rPr>
          <w:rFonts w:ascii="Times New Roman;Times;serif" w:hAnsi="Times New Roman;Times;serif"/>
          <w:b/>
          <w:sz w:val="20"/>
        </w:rPr>
        <w:t>ITEM 3. DEFAULTS UPON SENIOR SECURITIES</w:t>
      </w:r>
    </w:p>
    <w:p>
      <w:pPr>
        <w:pStyle w:val="TextBody"/>
        <w:bidi w:val="0"/>
        <w:spacing w:before="100" w:after="100"/>
        <w:ind w:left="0" w:right="0" w:firstLine="490"/>
        <w:jc w:val="both"/>
        <w:rPr/>
      </w:pPr>
      <w:r>
        <w:rPr/>
        <w:t>​</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280" w:after="0"/>
        <w:ind w:left="0" w:right="0" w:hanging="0"/>
        <w:jc w:val="both"/>
        <w:rPr>
          <w:rFonts w:ascii="Times New Roman;Times;serif" w:hAnsi="Times New Roman;Times;serif"/>
          <w:b/>
          <w:sz w:val="20"/>
        </w:rPr>
      </w:pPr>
      <w:bookmarkStart w:id="2089" w:name="ITEM4MINESAFETYDISCLOSURES_773804"/>
      <w:bookmarkStart w:id="2090" w:name="_cf057e9b_ef44_4a75_be8b_c62fd533879a"/>
      <w:bookmarkEnd w:id="2089"/>
      <w:bookmarkEnd w:id="2090"/>
      <w:r>
        <w:rPr>
          <w:rFonts w:ascii="Times New Roman;Times;serif" w:hAnsi="Times New Roman;Times;serif"/>
          <w:b/>
          <w:sz w:val="20"/>
        </w:rPr>
        <w:t>ITEM 4. MINE SAFETY DISCLOSURES</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280" w:after="0"/>
        <w:ind w:left="0" w:right="0" w:hanging="0"/>
        <w:jc w:val="both"/>
        <w:rPr>
          <w:rFonts w:ascii="Times New Roman;Times;serif" w:hAnsi="Times New Roman;Times;serif"/>
          <w:sz w:val="20"/>
        </w:rPr>
      </w:pPr>
      <w:bookmarkStart w:id="2091" w:name="ITEM5OTHERINFORMATION_783928"/>
      <w:bookmarkStart w:id="2092" w:name="_0ac42979_f06e_44b7_a4a8_d20272ab3968"/>
      <w:bookmarkEnd w:id="2091"/>
      <w:bookmarkEnd w:id="2092"/>
      <w:r>
        <w:rPr>
          <w:rFonts w:ascii="Times New Roman;Times;serif" w:hAnsi="Times New Roman;Times;serif"/>
          <w:b/>
          <w:sz w:val="20"/>
        </w:rPr>
        <w:t>ITEM 5. OTHER</w:t>
      </w:r>
      <w:r>
        <w:rPr>
          <w:rFonts w:ascii="Times New Roman;Times;serif" w:hAnsi="Times New Roman;Times;serif"/>
          <w:sz w:val="20"/>
        </w:rPr>
        <w:t xml:space="preserve"> </w:t>
      </w:r>
      <w:r>
        <w:rPr>
          <w:rFonts w:ascii="Times New Roman;Times;serif" w:hAnsi="Times New Roman;Times;serif"/>
          <w:b/>
          <w:sz w:val="20"/>
        </w:rPr>
        <w:t>INFORMATION</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 xml:space="preserve">Not applicable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68" w:before="280" w:after="120"/>
        <w:ind w:left="0" w:right="0" w:hanging="0"/>
        <w:jc w:val="left"/>
        <w:rPr>
          <w:rFonts w:ascii="Times New Roman;Times;serif" w:hAnsi="Times New Roman;Times;serif"/>
          <w:b/>
          <w:sz w:val="20"/>
        </w:rPr>
      </w:pPr>
      <w:bookmarkStart w:id="2093" w:name="ITEM6EXHIBITS_552522"/>
      <w:bookmarkStart w:id="2094" w:name="_4661de19_d9b4_4a86_b0bd_152947d1ddd2"/>
      <w:bookmarkEnd w:id="2093"/>
      <w:bookmarkEnd w:id="2094"/>
      <w:r>
        <w:rPr>
          <w:rFonts w:ascii="Times New Roman;Times;serif" w:hAnsi="Times New Roman;Times;serif"/>
          <w:b/>
          <w:sz w:val="20"/>
        </w:rPr>
        <w:t>ITEM 6. EXHIBITS</w:t>
      </w:r>
    </w:p>
    <w:p>
      <w:pPr>
        <w:pStyle w:val="TextBody"/>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(a) Exhibits:</w:t>
      </w:r>
    </w:p>
    <w:tbl>
      <w:tblPr>
        <w:tblW w:w="10205" w:type="dxa"/>
        <w:jc w:val="left"/>
        <w:tblInd w:w="0" w:type="dxa"/>
        <w:tblLayout w:type="fixed"/>
        <w:tblCellMar>
          <w:top w:w="0" w:type="dxa"/>
          <w:left w:w="0" w:type="dxa"/>
          <w:bottom w:w="0" w:type="dxa"/>
          <w:right w:w="0" w:type="dxa"/>
        </w:tblCellMar>
      </w:tblPr>
      <w:tblGrid>
        <w:gridCol w:w="1274"/>
        <w:gridCol w:w="286"/>
        <w:gridCol w:w="8645"/>
      </w:tblGrid>
      <w:tr>
        <w:trPr/>
        <w:tc>
          <w:tcPr>
            <w:tcW w:w="1274" w:type="dxa"/>
            <w:tcBorders/>
            <w:vAlign w:val="center"/>
          </w:tcPr>
          <w:p>
            <w:pPr>
              <w:pStyle w:val="TableContents"/>
              <w:bidi w:val="0"/>
              <w:spacing w:before="0" w:after="283"/>
              <w:ind w:left="0" w:right="0" w:hanging="0"/>
              <w:jc w:val="left"/>
              <w:rPr>
                <w:sz w:val="4"/>
                <w:szCs w:val="4"/>
              </w:rPr>
            </w:pPr>
            <w:r>
              <w:rPr>
                <w:sz w:val="4"/>
                <w:szCs w:val="4"/>
              </w:rPr>
            </w:r>
          </w:p>
        </w:tc>
        <w:tc>
          <w:tcPr>
            <w:tcW w:w="286" w:type="dxa"/>
            <w:tcBorders/>
            <w:vAlign w:val="center"/>
          </w:tcPr>
          <w:p>
            <w:pPr>
              <w:pStyle w:val="TableContents"/>
              <w:bidi w:val="0"/>
              <w:spacing w:before="0" w:after="0"/>
              <w:ind w:left="0" w:right="0" w:hanging="0"/>
              <w:jc w:val="left"/>
              <w:rPr/>
            </w:pPr>
            <w:r>
              <w:rPr/>
              <w:t>​</w:t>
            </w:r>
          </w:p>
        </w:tc>
        <w:tc>
          <w:tcPr>
            <w:tcW w:w="8645" w:type="dxa"/>
            <w:tcBorders/>
            <w:vAlign w:val="center"/>
          </w:tcPr>
          <w:p>
            <w:pPr>
              <w:pStyle w:val="TableContents"/>
              <w:bidi w:val="0"/>
              <w:spacing w:before="0" w:after="283"/>
              <w:ind w:left="0" w:right="0" w:hanging="0"/>
              <w:jc w:val="left"/>
              <w:rPr>
                <w:sz w:val="4"/>
                <w:szCs w:val="4"/>
              </w:rPr>
            </w:pPr>
            <w:r>
              <w:rPr>
                <w:sz w:val="4"/>
                <w:szCs w:val="4"/>
              </w:rPr>
            </w:r>
          </w:p>
        </w:tc>
      </w:tr>
      <w:tr>
        <w:trPr/>
        <w:tc>
          <w:tcPr>
            <w:tcW w:w="127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(3.1)</w:t>
            </w:r>
          </w:p>
        </w:tc>
        <w:tc>
          <w:tcPr>
            <w:tcW w:w="286" w:type="dxa"/>
            <w:tcBorders/>
            <w:vAlign w:val="center"/>
          </w:tcPr>
          <w:p>
            <w:pPr>
              <w:pStyle w:val="TableContents"/>
              <w:bidi w:val="0"/>
              <w:spacing w:before="0" w:after="0"/>
              <w:ind w:left="0" w:right="0" w:hanging="0"/>
              <w:jc w:val="left"/>
              <w:rPr/>
            </w:pPr>
            <w:r>
              <w:rPr/>
              <w:t>  ​ ​</w:t>
            </w:r>
          </w:p>
        </w:tc>
        <w:tc>
          <w:tcPr>
            <w:tcW w:w="8645"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Articles of Amendment and Restatement of CTO Realty Growth, Inc., as amended by the Articles of Amendment (Name Change), filed as Exhibit 3.1 to the registrant’s current report on Form 8-K12B filed February 1, 2021, and incorporated herein by reference.</w:t>
              </w:r>
            </w:hyperlink>
          </w:p>
        </w:tc>
      </w:tr>
      <w:tr>
        <w:trPr/>
        <w:tc>
          <w:tcPr>
            <w:tcW w:w="127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645" w:type="dxa"/>
            <w:tcBorders/>
            <w:vAlign w:val="center"/>
          </w:tcPr>
          <w:p>
            <w:pPr>
              <w:pStyle w:val="TableContents"/>
              <w:bidi w:val="0"/>
              <w:spacing w:before="0" w:after="0"/>
              <w:ind w:left="0" w:right="0" w:hanging="0"/>
              <w:jc w:val="left"/>
              <w:rPr/>
            </w:pPr>
            <w:r>
              <w:rPr/>
              <w:t>​</w:t>
            </w:r>
          </w:p>
        </w:tc>
      </w:tr>
      <w:tr>
        <w:trPr/>
        <w:tc>
          <w:tcPr>
            <w:tcW w:w="127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(3.2)</w:t>
            </w:r>
          </w:p>
        </w:tc>
        <w:tc>
          <w:tcPr>
            <w:tcW w:w="286" w:type="dxa"/>
            <w:tcBorders/>
            <w:vAlign w:val="center"/>
          </w:tcPr>
          <w:p>
            <w:pPr>
              <w:pStyle w:val="TableContents"/>
              <w:bidi w:val="0"/>
              <w:spacing w:before="0" w:after="0"/>
              <w:ind w:left="0" w:right="0" w:hanging="0"/>
              <w:jc w:val="left"/>
              <w:rPr/>
            </w:pPr>
            <w:r>
              <w:rPr/>
              <w:t>​</w:t>
            </w:r>
          </w:p>
        </w:tc>
        <w:tc>
          <w:tcPr>
            <w:tcW w:w="8645"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Articles Supplementary, designating CTO Realty Growth, Inc.’s 6.375% Series A Cumulative Redeemable Preferred Stock, filed as Exhibit 3.2 to the registrant's Registration Statement on Form 8-A filed July 1, 2021 (File No. 001-11350), and incorporated herein by reference.</w:t>
              </w:r>
            </w:hyperlink>
          </w:p>
        </w:tc>
      </w:tr>
      <w:tr>
        <w:trPr/>
        <w:tc>
          <w:tcPr>
            <w:tcW w:w="127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645" w:type="dxa"/>
            <w:tcBorders/>
            <w:vAlign w:val="center"/>
          </w:tcPr>
          <w:p>
            <w:pPr>
              <w:pStyle w:val="TableContents"/>
              <w:bidi w:val="0"/>
              <w:spacing w:before="0" w:after="0"/>
              <w:ind w:left="0" w:right="0" w:hanging="0"/>
              <w:jc w:val="left"/>
              <w:rPr/>
            </w:pPr>
            <w:r>
              <w:rPr/>
              <w:t>​</w:t>
            </w:r>
          </w:p>
        </w:tc>
      </w:tr>
      <w:tr>
        <w:trPr/>
        <w:tc>
          <w:tcPr>
            <w:tcW w:w="127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(3.3)</w:t>
            </w:r>
          </w:p>
        </w:tc>
        <w:tc>
          <w:tcPr>
            <w:tcW w:w="286" w:type="dxa"/>
            <w:tcBorders/>
            <w:vAlign w:val="center"/>
          </w:tcPr>
          <w:p>
            <w:pPr>
              <w:pStyle w:val="TableContents"/>
              <w:bidi w:val="0"/>
              <w:spacing w:before="0" w:after="0"/>
              <w:ind w:left="0" w:right="0" w:hanging="0"/>
              <w:jc w:val="left"/>
              <w:rPr/>
            </w:pPr>
            <w:r>
              <w:rPr/>
              <w:t>​</w:t>
            </w:r>
          </w:p>
        </w:tc>
        <w:tc>
          <w:tcPr>
            <w:tcW w:w="8645"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Articles Supplementary, designating 3,000,000 additional shares of CTO Realty Growth, Inc.’s 6.375% Series A Cumulative Redeemable Preferred Stock, filed as Exhibit 3.1 to the registrant’s current report on Form 8-K filed April 3, 2024, and incorporated herein by reference.</w:t>
              </w:r>
            </w:hyperlink>
          </w:p>
        </w:tc>
      </w:tr>
      <w:tr>
        <w:trPr/>
        <w:tc>
          <w:tcPr>
            <w:tcW w:w="127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645" w:type="dxa"/>
            <w:tcBorders/>
            <w:vAlign w:val="center"/>
          </w:tcPr>
          <w:p>
            <w:pPr>
              <w:pStyle w:val="TableContents"/>
              <w:bidi w:val="0"/>
              <w:spacing w:before="0" w:after="0"/>
              <w:ind w:left="0" w:right="0" w:hanging="0"/>
              <w:jc w:val="left"/>
              <w:rPr/>
            </w:pPr>
            <w:r>
              <w:rPr/>
              <w:t>​</w:t>
            </w:r>
          </w:p>
        </w:tc>
      </w:tr>
      <w:tr>
        <w:trPr/>
        <w:tc>
          <w:tcPr>
            <w:tcW w:w="127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(3.4)</w:t>
            </w:r>
          </w:p>
        </w:tc>
        <w:tc>
          <w:tcPr>
            <w:tcW w:w="286" w:type="dxa"/>
            <w:tcBorders/>
            <w:vAlign w:val="center"/>
          </w:tcPr>
          <w:p>
            <w:pPr>
              <w:pStyle w:val="TableContents"/>
              <w:bidi w:val="0"/>
              <w:spacing w:before="0" w:after="0"/>
              <w:ind w:left="0" w:right="0" w:hanging="0"/>
              <w:jc w:val="left"/>
              <w:rPr/>
            </w:pPr>
            <w:r>
              <w:rPr/>
              <w:t>​</w:t>
            </w:r>
          </w:p>
        </w:tc>
        <w:tc>
          <w:tcPr>
            <w:tcW w:w="8645"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Third Amended and Restated Bylaws of CTO Realty Growth, Inc., effective as of February 16, 2023, filed as Exhibit 3.1 to the registrant’s current report on Form 8-K filed February 17, 2023, and incorporated herein by reference.</w:t>
              </w:r>
            </w:hyperlink>
          </w:p>
        </w:tc>
      </w:tr>
      <w:tr>
        <w:trPr/>
        <w:tc>
          <w:tcPr>
            <w:tcW w:w="127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645" w:type="dxa"/>
            <w:tcBorders/>
            <w:vAlign w:val="center"/>
          </w:tcPr>
          <w:p>
            <w:pPr>
              <w:pStyle w:val="TableContents"/>
              <w:bidi w:val="0"/>
              <w:spacing w:before="0" w:after="0"/>
              <w:ind w:left="0" w:right="0" w:hanging="0"/>
              <w:jc w:val="left"/>
              <w:rPr/>
            </w:pPr>
            <w:r>
              <w:rPr/>
              <w:t>​</w:t>
            </w:r>
          </w:p>
        </w:tc>
      </w:tr>
      <w:tr>
        <w:trPr/>
        <w:tc>
          <w:tcPr>
            <w:tcW w:w="127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(4.1)</w:t>
            </w:r>
          </w:p>
        </w:tc>
        <w:tc>
          <w:tcPr>
            <w:tcW w:w="286" w:type="dxa"/>
            <w:tcBorders/>
            <w:vAlign w:val="center"/>
          </w:tcPr>
          <w:p>
            <w:pPr>
              <w:pStyle w:val="TableContents"/>
              <w:bidi w:val="0"/>
              <w:spacing w:before="0" w:after="0"/>
              <w:ind w:left="0" w:right="0" w:hanging="0"/>
              <w:jc w:val="left"/>
              <w:rPr/>
            </w:pPr>
            <w:r>
              <w:rPr/>
              <w:t>​</w:t>
            </w:r>
          </w:p>
        </w:tc>
        <w:tc>
          <w:tcPr>
            <w:tcW w:w="8645"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Specimen Common Stock Certificate of CTO Realty Growth, Inc., filed as Exhibit 4.2 to the registrant’s current report on Form 8-K12B filed February 1, 2021, and incorporated herein by reference.</w:t>
              </w:r>
            </w:hyperlink>
          </w:p>
        </w:tc>
      </w:tr>
      <w:tr>
        <w:trPr/>
        <w:tc>
          <w:tcPr>
            <w:tcW w:w="127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645" w:type="dxa"/>
            <w:tcBorders/>
            <w:vAlign w:val="center"/>
          </w:tcPr>
          <w:p>
            <w:pPr>
              <w:pStyle w:val="TableContents"/>
              <w:bidi w:val="0"/>
              <w:spacing w:before="0" w:after="0"/>
              <w:ind w:left="0" w:right="0" w:hanging="0"/>
              <w:jc w:val="left"/>
              <w:rPr/>
            </w:pPr>
            <w:r>
              <w:rPr/>
              <w:t>​</w:t>
            </w:r>
          </w:p>
        </w:tc>
      </w:tr>
      <w:tr>
        <w:trPr/>
        <w:tc>
          <w:tcPr>
            <w:tcW w:w="127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(10.1)</w:t>
            </w:r>
          </w:p>
        </w:tc>
        <w:tc>
          <w:tcPr>
            <w:tcW w:w="286" w:type="dxa"/>
            <w:tcBorders/>
            <w:vAlign w:val="center"/>
          </w:tcPr>
          <w:p>
            <w:pPr>
              <w:pStyle w:val="TableContents"/>
              <w:bidi w:val="0"/>
              <w:spacing w:before="0" w:after="0"/>
              <w:ind w:left="0" w:right="0" w:hanging="0"/>
              <w:jc w:val="left"/>
              <w:rPr/>
            </w:pPr>
            <w:r>
              <w:rPr/>
              <w:t>​</w:t>
            </w:r>
          </w:p>
        </w:tc>
        <w:tc>
          <w:tcPr>
            <w:tcW w:w="8645" w:type="dxa"/>
            <w:tcBorders/>
            <w:vAlign w:val="center"/>
          </w:tcPr>
          <w:p>
            <w:pPr>
              <w:pStyle w:val="TableContents"/>
              <w:bidi w:val="0"/>
              <w:spacing w:before="0" w:after="0"/>
              <w:ind w:left="0" w:right="0" w:hanging="0"/>
              <w:jc w:val="left"/>
              <w:rPr/>
            </w:pPr>
            <w:hyperlink w:anchor="cto-20260630xex10d1.htm">
              <w:r>
                <w:rPr>
                  <w:rStyle w:val="InternetLink"/>
                  <w:rFonts w:ascii="Times New Roman;Times;serif" w:hAnsi="Times New Roman;Times;serif"/>
                  <w:b w:val="false"/>
                  <w:i w:val="false"/>
                  <w:caps w:val="false"/>
                  <w:smallCaps w:val="false"/>
                  <w:sz w:val="20"/>
                </w:rPr>
                <w:t>Form of July 24, 2026 Amended and Restated Performance Share Award Agreement.</w:t>
              </w:r>
            </w:hyperlink>
          </w:p>
        </w:tc>
      </w:tr>
      <w:tr>
        <w:trPr/>
        <w:tc>
          <w:tcPr>
            <w:tcW w:w="127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645" w:type="dxa"/>
            <w:tcBorders/>
            <w:vAlign w:val="center"/>
          </w:tcPr>
          <w:p>
            <w:pPr>
              <w:pStyle w:val="TableContents"/>
              <w:bidi w:val="0"/>
              <w:spacing w:before="0" w:after="0"/>
              <w:ind w:left="0" w:right="0" w:hanging="0"/>
              <w:jc w:val="left"/>
              <w:rPr/>
            </w:pPr>
            <w:r>
              <w:rPr/>
              <w:t>​</w:t>
            </w:r>
          </w:p>
        </w:tc>
      </w:tr>
      <w:tr>
        <w:trPr/>
        <w:tc>
          <w:tcPr>
            <w:tcW w:w="127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31.1</w:t>
            </w:r>
          </w:p>
        </w:tc>
        <w:tc>
          <w:tcPr>
            <w:tcW w:w="286" w:type="dxa"/>
            <w:tcBorders/>
            <w:vAlign w:val="center"/>
          </w:tcPr>
          <w:p>
            <w:pPr>
              <w:pStyle w:val="TableContents"/>
              <w:bidi w:val="0"/>
              <w:spacing w:before="0" w:after="0"/>
              <w:ind w:left="0" w:right="0" w:hanging="0"/>
              <w:jc w:val="left"/>
              <w:rPr/>
            </w:pPr>
            <w:r>
              <w:rPr/>
              <w:t>​</w:t>
            </w:r>
          </w:p>
        </w:tc>
        <w:tc>
          <w:tcPr>
            <w:tcW w:w="8645" w:type="dxa"/>
            <w:tcBorders/>
            <w:vAlign w:val="center"/>
          </w:tcPr>
          <w:p>
            <w:pPr>
              <w:pStyle w:val="TableContents"/>
              <w:bidi w:val="0"/>
              <w:spacing w:before="0" w:after="0"/>
              <w:ind w:left="0" w:right="0" w:hanging="0"/>
              <w:jc w:val="left"/>
              <w:rPr/>
            </w:pPr>
            <w:hyperlink w:anchor="cto-20260630xex31d1.htm">
              <w:r>
                <w:rPr>
                  <w:rStyle w:val="InternetLink"/>
                  <w:rFonts w:ascii="Times New Roman;Times;serif" w:hAnsi="Times New Roman;Times;serif"/>
                  <w:b w:val="false"/>
                  <w:i w:val="false"/>
                  <w:caps w:val="false"/>
                  <w:smallCaps w:val="false"/>
                  <w:sz w:val="20"/>
                </w:rPr>
                <w:t>Certification filed pursuant to Section 302 of the Sarbanes-Oxley Act of 2002.</w:t>
              </w:r>
            </w:hyperlink>
          </w:p>
        </w:tc>
      </w:tr>
      <w:tr>
        <w:trPr/>
        <w:tc>
          <w:tcPr>
            <w:tcW w:w="127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645" w:type="dxa"/>
            <w:tcBorders/>
            <w:vAlign w:val="center"/>
          </w:tcPr>
          <w:p>
            <w:pPr>
              <w:pStyle w:val="TableContents"/>
              <w:bidi w:val="0"/>
              <w:spacing w:before="0" w:after="0"/>
              <w:ind w:left="0" w:right="0" w:hanging="0"/>
              <w:jc w:val="left"/>
              <w:rPr/>
            </w:pPr>
            <w:r>
              <w:rPr/>
              <w:t>​</w:t>
            </w:r>
          </w:p>
        </w:tc>
      </w:tr>
      <w:tr>
        <w:trPr/>
        <w:tc>
          <w:tcPr>
            <w:tcW w:w="127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31.2</w:t>
            </w:r>
          </w:p>
        </w:tc>
        <w:tc>
          <w:tcPr>
            <w:tcW w:w="286" w:type="dxa"/>
            <w:tcBorders/>
            <w:vAlign w:val="center"/>
          </w:tcPr>
          <w:p>
            <w:pPr>
              <w:pStyle w:val="TableContents"/>
              <w:bidi w:val="0"/>
              <w:spacing w:before="0" w:after="0"/>
              <w:ind w:left="0" w:right="0" w:hanging="0"/>
              <w:jc w:val="left"/>
              <w:rPr/>
            </w:pPr>
            <w:r>
              <w:rPr/>
              <w:t>​</w:t>
            </w:r>
          </w:p>
        </w:tc>
        <w:tc>
          <w:tcPr>
            <w:tcW w:w="8645" w:type="dxa"/>
            <w:tcBorders/>
            <w:vAlign w:val="center"/>
          </w:tcPr>
          <w:p>
            <w:pPr>
              <w:pStyle w:val="TableContents"/>
              <w:bidi w:val="0"/>
              <w:spacing w:before="0" w:after="0"/>
              <w:ind w:left="0" w:right="0" w:hanging="0"/>
              <w:jc w:val="left"/>
              <w:rPr/>
            </w:pPr>
            <w:hyperlink w:anchor="cto-20260630xex31d2.htm">
              <w:r>
                <w:rPr>
                  <w:rStyle w:val="InternetLink"/>
                  <w:rFonts w:ascii="Times New Roman;Times;serif" w:hAnsi="Times New Roman;Times;serif"/>
                  <w:b w:val="false"/>
                  <w:i w:val="false"/>
                  <w:caps w:val="false"/>
                  <w:smallCaps w:val="false"/>
                  <w:sz w:val="20"/>
                </w:rPr>
                <w:t>Certification filed pursuant to Section 302 of the Sarbanes-Oxley Act of 2002.</w:t>
              </w:r>
            </w:hyperlink>
          </w:p>
        </w:tc>
      </w:tr>
      <w:tr>
        <w:trPr/>
        <w:tc>
          <w:tcPr>
            <w:tcW w:w="127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645" w:type="dxa"/>
            <w:tcBorders/>
            <w:vAlign w:val="center"/>
          </w:tcPr>
          <w:p>
            <w:pPr>
              <w:pStyle w:val="TableContents"/>
              <w:bidi w:val="0"/>
              <w:spacing w:before="0" w:after="0"/>
              <w:ind w:left="0" w:right="0" w:hanging="0"/>
              <w:jc w:val="left"/>
              <w:rPr/>
            </w:pPr>
            <w:r>
              <w:rPr/>
              <w:t>​</w:t>
            </w:r>
          </w:p>
        </w:tc>
      </w:tr>
      <w:tr>
        <w:trPr/>
        <w:tc>
          <w:tcPr>
            <w:tcW w:w="127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32.1</w:t>
            </w:r>
          </w:p>
        </w:tc>
        <w:tc>
          <w:tcPr>
            <w:tcW w:w="286" w:type="dxa"/>
            <w:tcBorders/>
            <w:vAlign w:val="center"/>
          </w:tcPr>
          <w:p>
            <w:pPr>
              <w:pStyle w:val="TableContents"/>
              <w:bidi w:val="0"/>
              <w:spacing w:before="0" w:after="0"/>
              <w:ind w:left="0" w:right="0" w:hanging="0"/>
              <w:jc w:val="left"/>
              <w:rPr/>
            </w:pPr>
            <w:r>
              <w:rPr/>
              <w:t>​</w:t>
            </w:r>
          </w:p>
        </w:tc>
        <w:tc>
          <w:tcPr>
            <w:tcW w:w="8645" w:type="dxa"/>
            <w:tcBorders/>
            <w:vAlign w:val="center"/>
          </w:tcPr>
          <w:p>
            <w:pPr>
              <w:pStyle w:val="TableContents"/>
              <w:bidi w:val="0"/>
              <w:spacing w:before="0" w:after="0"/>
              <w:ind w:left="0" w:right="0" w:hanging="0"/>
              <w:jc w:val="left"/>
              <w:rPr/>
            </w:pPr>
            <w:hyperlink w:anchor="cto-20260630xex32d1.htm">
              <w:r>
                <w:rPr>
                  <w:rStyle w:val="InternetLink"/>
                  <w:rFonts w:ascii="Times New Roman;Times;serif" w:hAnsi="Times New Roman;Times;serif"/>
                  <w:b w:val="false"/>
                  <w:i w:val="false"/>
                  <w:caps w:val="false"/>
                  <w:smallCaps w:val="false"/>
                  <w:sz w:val="20"/>
                </w:rPr>
                <w:t>Certification furnished pursuant to 18 U.S.C. Section 1350, as Adopted pursuant to Section 906 of the Sarbanes-Oxley Act of 2002.</w:t>
              </w:r>
            </w:hyperlink>
          </w:p>
        </w:tc>
      </w:tr>
      <w:tr>
        <w:trPr/>
        <w:tc>
          <w:tcPr>
            <w:tcW w:w="127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645" w:type="dxa"/>
            <w:tcBorders/>
            <w:vAlign w:val="center"/>
          </w:tcPr>
          <w:p>
            <w:pPr>
              <w:pStyle w:val="TableContents"/>
              <w:bidi w:val="0"/>
              <w:spacing w:before="0" w:after="0"/>
              <w:ind w:left="0" w:right="0" w:hanging="0"/>
              <w:jc w:val="left"/>
              <w:rPr/>
            </w:pPr>
            <w:r>
              <w:rPr/>
              <w:t>​</w:t>
            </w:r>
          </w:p>
        </w:tc>
      </w:tr>
      <w:tr>
        <w:trPr/>
        <w:tc>
          <w:tcPr>
            <w:tcW w:w="127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32.2</w:t>
            </w:r>
          </w:p>
        </w:tc>
        <w:tc>
          <w:tcPr>
            <w:tcW w:w="286" w:type="dxa"/>
            <w:tcBorders/>
            <w:vAlign w:val="center"/>
          </w:tcPr>
          <w:p>
            <w:pPr>
              <w:pStyle w:val="TableContents"/>
              <w:bidi w:val="0"/>
              <w:spacing w:before="0" w:after="0"/>
              <w:ind w:left="0" w:right="0" w:hanging="0"/>
              <w:jc w:val="left"/>
              <w:rPr/>
            </w:pPr>
            <w:r>
              <w:rPr/>
              <w:t>​</w:t>
            </w:r>
          </w:p>
        </w:tc>
        <w:tc>
          <w:tcPr>
            <w:tcW w:w="8645" w:type="dxa"/>
            <w:tcBorders/>
            <w:vAlign w:val="center"/>
          </w:tcPr>
          <w:p>
            <w:pPr>
              <w:pStyle w:val="TableContents"/>
              <w:bidi w:val="0"/>
              <w:spacing w:before="0" w:after="0"/>
              <w:ind w:left="0" w:right="0" w:hanging="0"/>
              <w:jc w:val="left"/>
              <w:rPr/>
            </w:pPr>
            <w:hyperlink w:anchor="cto-20260630xex32d2.htm">
              <w:r>
                <w:rPr>
                  <w:rStyle w:val="InternetLink"/>
                  <w:rFonts w:ascii="Times New Roman;Times;serif" w:hAnsi="Times New Roman;Times;serif"/>
                  <w:b w:val="false"/>
                  <w:i w:val="false"/>
                  <w:caps w:val="false"/>
                  <w:smallCaps w:val="false"/>
                  <w:sz w:val="20"/>
                </w:rPr>
                <w:t>Certification furnished pursuant to 18 U.S.C. Section 1350, as Adopted pursuant to Section 906 of the Sarbanes-Oxley Act of 2002.</w:t>
              </w:r>
            </w:hyperlink>
          </w:p>
        </w:tc>
      </w:tr>
      <w:tr>
        <w:trPr/>
        <w:tc>
          <w:tcPr>
            <w:tcW w:w="127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645" w:type="dxa"/>
            <w:tcBorders/>
            <w:vAlign w:val="center"/>
          </w:tcPr>
          <w:p>
            <w:pPr>
              <w:pStyle w:val="TableContents"/>
              <w:bidi w:val="0"/>
              <w:spacing w:before="0" w:after="0"/>
              <w:ind w:left="0" w:right="0" w:hanging="0"/>
              <w:jc w:val="left"/>
              <w:rPr/>
            </w:pPr>
            <w:r>
              <w:rPr/>
              <w:t>​</w:t>
            </w:r>
          </w:p>
        </w:tc>
      </w:tr>
      <w:tr>
        <w:trPr/>
        <w:tc>
          <w:tcPr>
            <w:tcW w:w="127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101.INS</w:t>
            </w:r>
          </w:p>
        </w:tc>
        <w:tc>
          <w:tcPr>
            <w:tcW w:w="286" w:type="dxa"/>
            <w:tcBorders/>
            <w:vAlign w:val="center"/>
          </w:tcPr>
          <w:p>
            <w:pPr>
              <w:pStyle w:val="TableContents"/>
              <w:bidi w:val="0"/>
              <w:spacing w:before="0" w:after="0"/>
              <w:ind w:left="0" w:right="0" w:hanging="0"/>
              <w:jc w:val="left"/>
              <w:rPr/>
            </w:pPr>
            <w:r>
              <w:rPr/>
              <w:t>​</w:t>
            </w:r>
          </w:p>
        </w:tc>
        <w:tc>
          <w:tcPr>
            <w:tcW w:w="864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Instance Document</w:t>
            </w:r>
          </w:p>
        </w:tc>
      </w:tr>
      <w:tr>
        <w:trPr/>
        <w:tc>
          <w:tcPr>
            <w:tcW w:w="127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645" w:type="dxa"/>
            <w:tcBorders/>
            <w:vAlign w:val="center"/>
          </w:tcPr>
          <w:p>
            <w:pPr>
              <w:pStyle w:val="TableContents"/>
              <w:bidi w:val="0"/>
              <w:spacing w:before="0" w:after="0"/>
              <w:ind w:left="0" w:right="0" w:hanging="0"/>
              <w:jc w:val="left"/>
              <w:rPr/>
            </w:pPr>
            <w:r>
              <w:rPr/>
              <w:t>​</w:t>
            </w:r>
          </w:p>
        </w:tc>
      </w:tr>
      <w:tr>
        <w:trPr/>
        <w:tc>
          <w:tcPr>
            <w:tcW w:w="127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101.SCH</w:t>
            </w:r>
          </w:p>
        </w:tc>
        <w:tc>
          <w:tcPr>
            <w:tcW w:w="286" w:type="dxa"/>
            <w:tcBorders/>
            <w:vAlign w:val="center"/>
          </w:tcPr>
          <w:p>
            <w:pPr>
              <w:pStyle w:val="TableContents"/>
              <w:bidi w:val="0"/>
              <w:spacing w:before="0" w:after="0"/>
              <w:ind w:left="0" w:right="0" w:hanging="0"/>
              <w:jc w:val="left"/>
              <w:rPr/>
            </w:pPr>
            <w:r>
              <w:rPr/>
              <w:t>​</w:t>
            </w:r>
          </w:p>
        </w:tc>
        <w:tc>
          <w:tcPr>
            <w:tcW w:w="864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Schema Document</w:t>
            </w:r>
          </w:p>
        </w:tc>
      </w:tr>
      <w:tr>
        <w:trPr/>
        <w:tc>
          <w:tcPr>
            <w:tcW w:w="127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645" w:type="dxa"/>
            <w:tcBorders/>
            <w:vAlign w:val="center"/>
          </w:tcPr>
          <w:p>
            <w:pPr>
              <w:pStyle w:val="TableContents"/>
              <w:bidi w:val="0"/>
              <w:spacing w:before="0" w:after="0"/>
              <w:ind w:left="0" w:right="0" w:hanging="0"/>
              <w:jc w:val="left"/>
              <w:rPr/>
            </w:pPr>
            <w:r>
              <w:rPr/>
              <w:t>​</w:t>
            </w:r>
          </w:p>
        </w:tc>
      </w:tr>
      <w:tr>
        <w:trPr/>
        <w:tc>
          <w:tcPr>
            <w:tcW w:w="127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101.CAL</w:t>
            </w:r>
          </w:p>
        </w:tc>
        <w:tc>
          <w:tcPr>
            <w:tcW w:w="286" w:type="dxa"/>
            <w:tcBorders/>
            <w:vAlign w:val="center"/>
          </w:tcPr>
          <w:p>
            <w:pPr>
              <w:pStyle w:val="TableContents"/>
              <w:bidi w:val="0"/>
              <w:spacing w:before="0" w:after="0"/>
              <w:ind w:left="0" w:right="0" w:hanging="0"/>
              <w:jc w:val="left"/>
              <w:rPr/>
            </w:pPr>
            <w:r>
              <w:rPr/>
              <w:t>​</w:t>
            </w:r>
          </w:p>
        </w:tc>
        <w:tc>
          <w:tcPr>
            <w:tcW w:w="864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Calculation Linkbase Document</w:t>
            </w:r>
          </w:p>
        </w:tc>
      </w:tr>
      <w:tr>
        <w:trPr/>
        <w:tc>
          <w:tcPr>
            <w:tcW w:w="127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645" w:type="dxa"/>
            <w:tcBorders/>
            <w:vAlign w:val="center"/>
          </w:tcPr>
          <w:p>
            <w:pPr>
              <w:pStyle w:val="TableContents"/>
              <w:bidi w:val="0"/>
              <w:spacing w:before="0" w:after="0"/>
              <w:ind w:left="0" w:right="0" w:hanging="0"/>
              <w:jc w:val="left"/>
              <w:rPr/>
            </w:pPr>
            <w:r>
              <w:rPr/>
              <w:t>​</w:t>
            </w:r>
          </w:p>
        </w:tc>
      </w:tr>
      <w:tr>
        <w:trPr/>
        <w:tc>
          <w:tcPr>
            <w:tcW w:w="127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101.DEF</w:t>
            </w:r>
          </w:p>
        </w:tc>
        <w:tc>
          <w:tcPr>
            <w:tcW w:w="286" w:type="dxa"/>
            <w:tcBorders/>
            <w:vAlign w:val="center"/>
          </w:tcPr>
          <w:p>
            <w:pPr>
              <w:pStyle w:val="TableContents"/>
              <w:bidi w:val="0"/>
              <w:spacing w:before="0" w:after="0"/>
              <w:ind w:left="0" w:right="0" w:hanging="0"/>
              <w:jc w:val="left"/>
              <w:rPr/>
            </w:pPr>
            <w:r>
              <w:rPr/>
              <w:t>​</w:t>
            </w:r>
          </w:p>
        </w:tc>
        <w:tc>
          <w:tcPr>
            <w:tcW w:w="864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Definition Linkbase Document</w:t>
            </w:r>
          </w:p>
        </w:tc>
      </w:tr>
      <w:tr>
        <w:trPr/>
        <w:tc>
          <w:tcPr>
            <w:tcW w:w="127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645" w:type="dxa"/>
            <w:tcBorders/>
            <w:vAlign w:val="center"/>
          </w:tcPr>
          <w:p>
            <w:pPr>
              <w:pStyle w:val="TableContents"/>
              <w:bidi w:val="0"/>
              <w:spacing w:before="0" w:after="0"/>
              <w:ind w:left="0" w:right="0" w:hanging="0"/>
              <w:jc w:val="left"/>
              <w:rPr/>
            </w:pPr>
            <w:r>
              <w:rPr/>
              <w:t>​</w:t>
            </w:r>
          </w:p>
        </w:tc>
      </w:tr>
      <w:tr>
        <w:trPr/>
        <w:tc>
          <w:tcPr>
            <w:tcW w:w="127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101.LAB</w:t>
            </w:r>
          </w:p>
        </w:tc>
        <w:tc>
          <w:tcPr>
            <w:tcW w:w="286" w:type="dxa"/>
            <w:tcBorders/>
            <w:vAlign w:val="center"/>
          </w:tcPr>
          <w:p>
            <w:pPr>
              <w:pStyle w:val="TableContents"/>
              <w:bidi w:val="0"/>
              <w:spacing w:before="0" w:after="0"/>
              <w:ind w:left="0" w:right="0" w:hanging="0"/>
              <w:jc w:val="left"/>
              <w:rPr/>
            </w:pPr>
            <w:r>
              <w:rPr/>
              <w:t>​</w:t>
            </w:r>
          </w:p>
        </w:tc>
        <w:tc>
          <w:tcPr>
            <w:tcW w:w="864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Label Linkbase Document</w:t>
            </w:r>
          </w:p>
        </w:tc>
      </w:tr>
      <w:tr>
        <w:trPr/>
        <w:tc>
          <w:tcPr>
            <w:tcW w:w="127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645" w:type="dxa"/>
            <w:tcBorders/>
            <w:vAlign w:val="center"/>
          </w:tcPr>
          <w:p>
            <w:pPr>
              <w:pStyle w:val="TableContents"/>
              <w:bidi w:val="0"/>
              <w:spacing w:before="0" w:after="0"/>
              <w:ind w:left="0" w:right="0" w:hanging="0"/>
              <w:jc w:val="left"/>
              <w:rPr/>
            </w:pPr>
            <w:r>
              <w:rPr/>
              <w:t>​</w:t>
            </w:r>
          </w:p>
        </w:tc>
      </w:tr>
      <w:tr>
        <w:trPr/>
        <w:tc>
          <w:tcPr>
            <w:tcW w:w="127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101.PRE</w:t>
            </w:r>
          </w:p>
        </w:tc>
        <w:tc>
          <w:tcPr>
            <w:tcW w:w="286" w:type="dxa"/>
            <w:tcBorders/>
            <w:vAlign w:val="center"/>
          </w:tcPr>
          <w:p>
            <w:pPr>
              <w:pStyle w:val="TableContents"/>
              <w:bidi w:val="0"/>
              <w:spacing w:before="0" w:after="0"/>
              <w:ind w:left="0" w:right="0" w:hanging="0"/>
              <w:jc w:val="left"/>
              <w:rPr/>
            </w:pPr>
            <w:r>
              <w:rPr/>
              <w:t>​</w:t>
            </w:r>
          </w:p>
        </w:tc>
        <w:tc>
          <w:tcPr>
            <w:tcW w:w="864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Presentation Linkbase Document</w:t>
            </w:r>
          </w:p>
        </w:tc>
      </w:tr>
      <w:tr>
        <w:trPr/>
        <w:tc>
          <w:tcPr>
            <w:tcW w:w="127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645" w:type="dxa"/>
            <w:tcBorders/>
            <w:vAlign w:val="center"/>
          </w:tcPr>
          <w:p>
            <w:pPr>
              <w:pStyle w:val="TableContents"/>
              <w:bidi w:val="0"/>
              <w:spacing w:before="0" w:after="0"/>
              <w:ind w:left="0" w:right="0" w:hanging="0"/>
              <w:jc w:val="left"/>
              <w:rPr/>
            </w:pPr>
            <w:r>
              <w:rPr/>
              <w:t>​</w:t>
            </w:r>
          </w:p>
        </w:tc>
      </w:tr>
      <w:tr>
        <w:trPr/>
        <w:tc>
          <w:tcPr>
            <w:tcW w:w="127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104</w:t>
            </w:r>
          </w:p>
        </w:tc>
        <w:tc>
          <w:tcPr>
            <w:tcW w:w="286" w:type="dxa"/>
            <w:tcBorders/>
            <w:vAlign w:val="center"/>
          </w:tcPr>
          <w:p>
            <w:pPr>
              <w:pStyle w:val="TableContents"/>
              <w:bidi w:val="0"/>
              <w:spacing w:before="0" w:after="0"/>
              <w:ind w:left="0" w:right="0" w:hanging="0"/>
              <w:jc w:val="left"/>
              <w:rPr/>
            </w:pPr>
            <w:r>
              <w:rPr/>
              <w:t>​</w:t>
            </w:r>
          </w:p>
        </w:tc>
        <w:tc>
          <w:tcPr>
            <w:tcW w:w="864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Cover Page Interactive Data File (embedded within the Inline XBRL document)</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ind w:left="0" w:right="0" w:hanging="0"/>
              <w:jc w:val="left"/>
              <w:rPr>
                <w:sz w:val="4"/>
                <w:szCs w:val="4"/>
              </w:rPr>
            </w:pPr>
            <w:r>
              <w:rPr>
                <w:sz w:val="4"/>
                <w:szCs w:val="4"/>
              </w:rPr>
            </w:r>
          </w:p>
        </w:tc>
        <w:tc>
          <w:tcPr>
            <w:tcW w:w="9969"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left"/>
              <w:rPr/>
            </w:pPr>
            <w:r>
              <w:rPr/>
              <w:t>​</w:t>
            </w:r>
          </w:p>
        </w:tc>
      </w:tr>
      <w:tr>
        <w:trPr/>
        <w:tc>
          <w:tcPr>
            <w:tcW w:w="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6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accordance with Item 601(b)(32) of Regulation S-K, this Exhibit is not deemed “filed” for purposes of Section 18 of the Exchange Act or otherwise subject to the liabilities of that section. Such certifications will not be deemed incorporated by reference into any filing under the Securities Act or the Exchange Act, except to the extent that the registrant specifically incorporates it by reference.</w:t>
            </w:r>
          </w:p>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268"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bookmarkStart w:id="2095" w:name="_776f0b06_8f89_44b2_8d21_e5e5ce48c91f"/>
      <w:bookmarkEnd w:id="2095"/>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096" w:name="Signatures_930257"/>
      <w:bookmarkEnd w:id="2096"/>
      <w:r>
        <w:rPr>
          <w:rFonts w:ascii="Times New Roman;Times;serif" w:hAnsi="Times New Roman;Times;serif"/>
          <w:b/>
          <w:sz w:val="20"/>
        </w:rPr>
        <w:t>SIGNATURES</w:t>
      </w:r>
    </w:p>
    <w:p>
      <w:pPr>
        <w:pStyle w:val="TextBody"/>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5853" w:type="dxa"/>
        <w:jc w:val="left"/>
        <w:tblInd w:w="0" w:type="dxa"/>
        <w:tblLayout w:type="fixed"/>
        <w:tblCellMar>
          <w:top w:w="0" w:type="dxa"/>
          <w:left w:w="0" w:type="dxa"/>
          <w:bottom w:w="0" w:type="dxa"/>
          <w:right w:w="0" w:type="dxa"/>
        </w:tblCellMar>
      </w:tblPr>
      <w:tblGrid>
        <w:gridCol w:w="1231"/>
        <w:gridCol w:w="146"/>
        <w:gridCol w:w="406"/>
        <w:gridCol w:w="109"/>
        <w:gridCol w:w="3961"/>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781685" cy="175260"/>
                      <wp:effectExtent l="0" t="0" r="0" b="0"/>
                      <wp:wrapNone/>
                      <wp:docPr id="521" name="Frame521"/>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92710" cy="175260"/>
                      <wp:effectExtent l="0" t="0" r="0" b="0"/>
                      <wp:wrapNone/>
                      <wp:docPr id="522" name="Frame52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57810" cy="175260"/>
                      <wp:effectExtent l="0" t="0" r="0" b="0"/>
                      <wp:wrapNone/>
                      <wp:docPr id="523" name="Frame52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9215" cy="175260"/>
                      <wp:effectExtent l="0" t="0" r="0" b="0"/>
                      <wp:wrapNone/>
                      <wp:docPr id="524" name="Frame5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515235" cy="175260"/>
                      <wp:effectExtent l="0" t="0" r="0" b="0"/>
                      <wp:wrapNone/>
                      <wp:docPr id="525" name="Frame525"/>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476"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CTO REALTY GROWTH, INC.</w:t>
            </w:r>
          </w:p>
        </w:tc>
      </w:tr>
      <w:tr>
        <w:trPr/>
        <w:tc>
          <w:tcPr>
            <w:tcW w:w="12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476"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1231" w:type="dxa"/>
            <w:tcBorders/>
            <w:vAlign w:val="center"/>
          </w:tcPr>
          <w:p>
            <w:pPr>
              <w:pStyle w:val="TableContents"/>
              <w:bidi w:val="0"/>
              <w:spacing w:before="0" w:after="0"/>
              <w:ind w:left="0" w:right="0" w:hanging="0"/>
              <w:jc w:val="left"/>
              <w:rPr/>
            </w:pPr>
            <w:r>
              <w:rPr/>
              <w:t>​</w:t>
            </w:r>
          </w:p>
        </w:tc>
        <w:tc>
          <w:tcPr>
            <w:tcW w:w="552"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28, 2026</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vAlign w:val="center"/>
          </w:tcPr>
          <w:p>
            <w:pPr>
              <w:pStyle w:val="TableContents"/>
              <w:bidi w:val="0"/>
              <w:spacing w:before="0" w:after="0"/>
              <w:ind w:left="0" w:right="0" w:hanging="0"/>
              <w:jc w:val="left"/>
              <w:rPr/>
            </w:pPr>
            <w:r>
              <w:rPr/>
              <w:t>​</w:t>
            </w:r>
          </w:p>
        </w:tc>
        <w:tc>
          <w:tcPr>
            <w:tcW w:w="39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P. Albright</w:t>
            </w:r>
          </w:p>
        </w:tc>
      </w:tr>
      <w:tr>
        <w:trPr/>
        <w:tc>
          <w:tcPr>
            <w:tcW w:w="12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961" w:type="dxa"/>
            <w:tcBorders>
              <w:top w:val="single" w:sz="2" w:space="0" w:color="000000"/>
            </w:tcBorders>
            <w:tcMar>
              <w:top w:w="28" w:type="dxa"/>
            </w:tcMar>
            <w:vAlign w:val="center"/>
          </w:tcPr>
          <w:p>
            <w:pPr>
              <w:pStyle w:val="TableContents"/>
              <w:bidi w:val="0"/>
              <w:spacing w:before="0" w:after="0"/>
              <w:ind w:left="0" w:right="16" w:hanging="0"/>
              <w:jc w:val="left"/>
              <w:rPr>
                <w:rFonts w:ascii="Times New Roman;Times;serif" w:hAnsi="Times New Roman;Times;serif"/>
                <w:b/>
                <w:sz w:val="20"/>
              </w:rPr>
            </w:pPr>
            <w:r>
              <w:rPr>
                <w:rFonts w:ascii="Times New Roman;Times;serif" w:hAnsi="Times New Roman;Times;serif"/>
                <w:b/>
                <w:sz w:val="20"/>
              </w:rPr>
              <w:t>John P. Albright</w:t>
            </w:r>
          </w:p>
          <w:p>
            <w:pPr>
              <w:pStyle w:val="TableContents"/>
              <w:bidi w:val="0"/>
              <w:spacing w:before="0" w:after="0"/>
              <w:ind w:left="0" w:right="16" w:hanging="0"/>
              <w:jc w:val="left"/>
              <w:rPr>
                <w:rFonts w:ascii="Times New Roman;Times;serif" w:hAnsi="Times New Roman;Times;serif"/>
                <w:b/>
                <w:sz w:val="20"/>
              </w:rPr>
            </w:pPr>
            <w:r>
              <w:rPr>
                <w:rFonts w:ascii="Times New Roman;Times;serif" w:hAnsi="Times New Roman;Times;serif"/>
                <w:b/>
                <w:sz w:val="20"/>
              </w:rPr>
              <w:t>President and Chief Executive Officer</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Executive Officer)</w:t>
            </w:r>
          </w:p>
        </w:tc>
      </w:tr>
      <w:tr>
        <w:trPr/>
        <w:tc>
          <w:tcPr>
            <w:tcW w:w="1231" w:type="dxa"/>
            <w:tcBorders/>
            <w:vAlign w:val="center"/>
          </w:tcPr>
          <w:p>
            <w:pPr>
              <w:pStyle w:val="TableContents"/>
              <w:bidi w:val="0"/>
              <w:spacing w:before="0" w:after="0"/>
              <w:ind w:left="0" w:right="0" w:hanging="0"/>
              <w:jc w:val="left"/>
              <w:rPr/>
            </w:pPr>
            <w:r>
              <w:rPr/>
              <w:t>​</w:t>
            </w:r>
          </w:p>
        </w:tc>
        <w:tc>
          <w:tcPr>
            <w:tcW w:w="552"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3961" w:type="dxa"/>
            <w:tcBorders/>
            <w:vAlign w:val="center"/>
          </w:tcPr>
          <w:p>
            <w:pPr>
              <w:pStyle w:val="TableContents"/>
              <w:bidi w:val="0"/>
              <w:spacing w:before="0" w:after="0"/>
              <w:ind w:left="0" w:right="0" w:hanging="0"/>
              <w:jc w:val="left"/>
              <w:rPr/>
            </w:pPr>
            <w:r>
              <w:rPr/>
              <w:t>​</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28, 2026</w:t>
            </w:r>
          </w:p>
        </w:tc>
        <w:tc>
          <w:tcPr>
            <w:tcW w:w="55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39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R. Mays</w:t>
            </w:r>
          </w:p>
        </w:tc>
      </w:tr>
      <w:tr>
        <w:trPr/>
        <w:tc>
          <w:tcPr>
            <w:tcW w:w="1231" w:type="dxa"/>
            <w:tcBorders/>
            <w:vAlign w:val="center"/>
          </w:tcPr>
          <w:p>
            <w:pPr>
              <w:pStyle w:val="TableContents"/>
              <w:bidi w:val="0"/>
              <w:spacing w:before="0" w:after="0"/>
              <w:ind w:left="0" w:right="0" w:hanging="0"/>
              <w:jc w:val="left"/>
              <w:rPr/>
            </w:pPr>
            <w:r>
              <w:rPr/>
              <w:t>​</w:t>
            </w:r>
          </w:p>
        </w:tc>
        <w:tc>
          <w:tcPr>
            <w:tcW w:w="552"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39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Philip R. Mays, Senior Vice President,</w:t>
            </w:r>
          </w:p>
        </w:tc>
      </w:tr>
      <w:tr>
        <w:trPr/>
        <w:tc>
          <w:tcPr>
            <w:tcW w:w="1231" w:type="dxa"/>
            <w:tcBorders/>
            <w:vAlign w:val="center"/>
          </w:tcPr>
          <w:p>
            <w:pPr>
              <w:pStyle w:val="TableContents"/>
              <w:bidi w:val="0"/>
              <w:spacing w:before="0" w:after="0"/>
              <w:ind w:left="0" w:right="0" w:hanging="0"/>
              <w:jc w:val="left"/>
              <w:rPr/>
            </w:pPr>
            <w:r>
              <w:rPr/>
              <w:t>​</w:t>
            </w:r>
          </w:p>
        </w:tc>
        <w:tc>
          <w:tcPr>
            <w:tcW w:w="552"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39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Chief Financial Officer and Treasurer</w:t>
            </w:r>
          </w:p>
        </w:tc>
      </w:tr>
      <w:tr>
        <w:trPr/>
        <w:tc>
          <w:tcPr>
            <w:tcW w:w="1231" w:type="dxa"/>
            <w:tcBorders/>
            <w:vAlign w:val="center"/>
          </w:tcPr>
          <w:p>
            <w:pPr>
              <w:pStyle w:val="TableContents"/>
              <w:bidi w:val="0"/>
              <w:spacing w:before="0" w:after="0"/>
              <w:ind w:left="0" w:right="0" w:hanging="0"/>
              <w:jc w:val="left"/>
              <w:rPr/>
            </w:pPr>
            <w:r>
              <w:rPr/>
              <w:t>​</w:t>
            </w:r>
          </w:p>
        </w:tc>
        <w:tc>
          <w:tcPr>
            <w:tcW w:w="552"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39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Financial Officer)</w:t>
            </w:r>
          </w:p>
        </w:tc>
      </w:tr>
      <w:tr>
        <w:trPr/>
        <w:tc>
          <w:tcPr>
            <w:tcW w:w="1231" w:type="dxa"/>
            <w:tcBorders/>
            <w:vAlign w:val="center"/>
          </w:tcPr>
          <w:p>
            <w:pPr>
              <w:pStyle w:val="TableContents"/>
              <w:bidi w:val="0"/>
              <w:spacing w:before="0" w:after="0"/>
              <w:ind w:left="0" w:right="0" w:hanging="0"/>
              <w:jc w:val="left"/>
              <w:rPr/>
            </w:pPr>
            <w:r>
              <w:rPr/>
              <w:t>​</w:t>
            </w:r>
          </w:p>
        </w:tc>
        <w:tc>
          <w:tcPr>
            <w:tcW w:w="552"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28, 2026</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vAlign w:val="center"/>
          </w:tcPr>
          <w:p>
            <w:pPr>
              <w:pStyle w:val="TableContents"/>
              <w:bidi w:val="0"/>
              <w:spacing w:before="0" w:after="0"/>
              <w:ind w:left="0" w:right="0" w:hanging="0"/>
              <w:jc w:val="left"/>
              <w:rPr/>
            </w:pPr>
            <w:r>
              <w:rPr/>
              <w:t>​</w:t>
            </w:r>
          </w:p>
        </w:tc>
        <w:tc>
          <w:tcPr>
            <w:tcW w:w="39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Lisa M. Vorakoun</w:t>
            </w:r>
          </w:p>
        </w:tc>
      </w:tr>
      <w:tr>
        <w:trPr/>
        <w:tc>
          <w:tcPr>
            <w:tcW w:w="12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Lisa M. Vorakoun, Senior Vice President and</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Chief Accounting Officer </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Accounting Officer)</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0"/>
        <w:ind w:left="0" w:right="0" w:hanging="0"/>
        <w:jc w:val="right"/>
        <w:rPr>
          <w:rFonts w:ascii="Times New Roman;Times;serif" w:hAnsi="Times New Roman;Times;serif"/>
          <w:b/>
          <w:sz w:val="24"/>
        </w:rPr>
      </w:pPr>
      <w:bookmarkStart w:id="2097" w:name="cto-20260630xex10d1.htm"/>
      <w:bookmarkStart w:id="2098" w:name="kscto20260630xex10d1"/>
      <w:bookmarkEnd w:id="2097"/>
      <w:bookmarkEnd w:id="2098"/>
      <w:r>
        <w:rPr>
          <w:rFonts w:ascii="Times New Roman;Times;serif" w:hAnsi="Times New Roman;Times;serif"/>
          <w:b/>
          <w:sz w:val="24"/>
        </w:rPr>
        <w:t>Exhibit 10.1</w:t>
      </w:r>
      <w:r>
        <w:br w:type="page"/>
      </w:r>
    </w:p>
    <w:p>
      <w:pPr>
        <w:pStyle w:val="TextBody"/>
        <w:bidi w:val="0"/>
        <w:spacing w:before="120" w:after="240"/>
        <w:ind w:left="0" w:right="0" w:hanging="0"/>
        <w:jc w:val="center"/>
        <w:rPr>
          <w:rFonts w:ascii="Times New Roman;Times;serif" w:hAnsi="Times New Roman;Times;serif"/>
          <w:b/>
          <w:sz w:val="24"/>
        </w:rPr>
      </w:pPr>
      <w:r>
        <w:rPr>
          <w:rFonts w:ascii="Times New Roman;Times;serif" w:hAnsi="Times New Roman;Times;serif"/>
          <w:b/>
          <w:sz w:val="24"/>
        </w:rPr>
        <w:t>CTO REALTY GROWTH, INC.</w:t>
        <w:br/>
        <w:t>AMENDED AND RESTATED PERFORMANCE SHARE AWARD AGREEMENT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 xml:space="preserve">This AMENDED AND RESTATED </w:t>
      </w:r>
      <w:r>
        <w:rPr>
          <w:rFonts w:ascii="Times New Roman;Times;serif" w:hAnsi="Times New Roman;Times;serif"/>
          <w:caps/>
          <w:sz w:val="24"/>
        </w:rPr>
        <w:t>Performance Share Award Agreement</w:t>
      </w:r>
      <w:r>
        <w:rPr>
          <w:rFonts w:ascii="Times New Roman;Times;serif" w:hAnsi="Times New Roman;Times;serif"/>
          <w:sz w:val="24"/>
        </w:rPr>
        <w:t xml:space="preserve"> (this “Agreement”) is made as of the 24</w:t>
      </w:r>
      <w:r>
        <w:rPr>
          <w:rFonts w:ascii="Times New Roman;Times;serif" w:hAnsi="Times New Roman;Times;serif"/>
          <w:sz w:val="18"/>
        </w:rPr>
        <w:t>th</w:t>
      </w:r>
      <w:r>
        <w:rPr>
          <w:rFonts w:ascii="Times New Roman;Times;serif" w:hAnsi="Times New Roman;Times;serif"/>
          <w:sz w:val="24"/>
        </w:rPr>
        <w:t xml:space="preserve"> day of July, 2026 (the “Effective Date”), by and between CTO REALTY GROWTH, INC., a Maryland corporation (the “Company”), and [GRANTEE NAME] (“Grantee”).</w:t>
      </w:r>
    </w:p>
    <w:p>
      <w:pPr>
        <w:pStyle w:val="TextBody"/>
        <w:bidi w:val="0"/>
        <w:spacing w:before="120" w:after="240"/>
        <w:ind w:left="0" w:right="0" w:hanging="0"/>
        <w:jc w:val="center"/>
        <w:rPr>
          <w:rFonts w:ascii="Times New Roman Bold" w:hAnsi="Times New Roman Bold"/>
          <w:b/>
          <w:caps/>
          <w:sz w:val="24"/>
        </w:rPr>
      </w:pPr>
      <w:r>
        <w:rPr>
          <w:rFonts w:ascii="Times New Roman Bold" w:hAnsi="Times New Roman Bold"/>
          <w:b/>
          <w:caps/>
          <w:sz w:val="24"/>
        </w:rPr>
        <w:t>Background</w:t>
      </w:r>
    </w:p>
    <w:p>
      <w:pPr>
        <w:pStyle w:val="TextBody"/>
        <w:bidi w:val="0"/>
        <w:spacing w:before="0" w:after="0"/>
        <w:ind w:left="0" w:right="0" w:firstLine="720"/>
        <w:jc w:val="both"/>
        <w:rPr>
          <w:rFonts w:ascii="Times New Roman;Times;serif" w:hAnsi="Times New Roman;Times;serif"/>
          <w:sz w:val="24"/>
        </w:rPr>
      </w:pPr>
      <w:bookmarkStart w:id="2099" w:name="_Hlk63258333"/>
      <w:bookmarkEnd w:id="2099"/>
      <w:r>
        <w:rPr>
          <w:rFonts w:ascii="Times New Roman;Times;serif" w:hAnsi="Times New Roman;Times;serif"/>
          <w:sz w:val="24"/>
        </w:rPr>
        <w:t>The Company has adopted the Sixth Amended and Restated CTO Realty Growth, Inc. 2010 Equity Incentive Plan (the “Plan”), which is administered by the Compensation Committee (the “Committee”) of the Company’s Board of Directors (the “Board”).  Section 8 of the Plan provides that the Committee shall have the discretion and right to grant Performance Shares, subject to the terms and conditions of the Plan and any additional terms provided by the Committee.  The Committee granted Performance Shares to Grantee as of February 11, 2026 (the “</w:t>
      </w:r>
      <w:r>
        <w:rPr>
          <w:rFonts w:ascii="Times New Roman;Times;serif" w:hAnsi="Times New Roman;Times;serif"/>
          <w:sz w:val="24"/>
          <w:u w:val="single"/>
        </w:rPr>
        <w:t>Grant Date</w:t>
      </w:r>
      <w:r>
        <w:rPr>
          <w:rFonts w:ascii="Times New Roman;Times;serif" w:hAnsi="Times New Roman;Times;serif"/>
          <w:sz w:val="24"/>
        </w:rPr>
        <w:t xml:space="preserve">”) pursuant to the terms of the Plan and the Original Agreement (as defined below).  Grantee desires to ratify Grantee’s prior acceptance of the grant of Performance Shares and agrees to be bound by the terms and conditions of the Plan and this Agreement.  Unless otherwise defined herein, capitalized terms used herein shall have the meaning ascribed to such terms in the Plan.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This Agreement is intended to amend and restate in its entirety that certain Performance Share Award Agreement between the Company and Grantee dated as of February 11, 2026 (the “Original Agreement”).  Upon full execution of this Agreement, the Original Agreement shall be deemed to be fully superseded, replaced, terminated and restated in all respects by this Agreement.</w:t>
      </w:r>
    </w:p>
    <w:p>
      <w:pPr>
        <w:pStyle w:val="TextBody"/>
        <w:bidi w:val="0"/>
        <w:spacing w:before="0" w:after="0"/>
        <w:ind w:left="0" w:right="0" w:firstLine="720"/>
        <w:jc w:val="both"/>
        <w:rPr/>
      </w:pPr>
      <w:r>
        <w:rPr/>
        <w:t>​</w:t>
      </w:r>
    </w:p>
    <w:p>
      <w:pPr>
        <w:pStyle w:val="TextBody"/>
        <w:bidi w:val="0"/>
        <w:spacing w:before="0" w:after="0"/>
        <w:ind w:left="0" w:right="0" w:hanging="0"/>
        <w:jc w:val="center"/>
        <w:rPr>
          <w:rFonts w:ascii="Times New Roman Bold" w:hAnsi="Times New Roman Bold"/>
          <w:b/>
          <w:caps/>
          <w:sz w:val="24"/>
        </w:rPr>
      </w:pPr>
      <w:r>
        <w:rPr>
          <w:rFonts w:ascii="Times New Roman Bold" w:hAnsi="Times New Roman Bold"/>
          <w:b/>
          <w:caps/>
          <w:sz w:val="24"/>
        </w:rPr>
        <w:t>Agreement</w:t>
      </w:r>
    </w:p>
    <w:p>
      <w:pPr>
        <w:pStyle w:val="TextBody"/>
        <w:bidi w:val="0"/>
        <w:spacing w:before="120" w:after="240"/>
        <w:ind w:left="0" w:right="0" w:hanging="0"/>
        <w:jc w:val="center"/>
        <w:rPr>
          <w:caps/>
        </w:rPr>
      </w:pPr>
      <w:r>
        <w:rPr>
          <w:caps/>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1.</w:t>
      </w:r>
      <w:r>
        <w:rPr>
          <w:rFonts w:ascii="Times New Roman;Times;serif" w:hAnsi="Times New Roman;Times;serif"/>
          <w:sz w:val="24"/>
          <w:u w:val="single"/>
        </w:rPr>
        <w:t>Award of Performance Shares</w:t>
      </w:r>
      <w:r>
        <w:rPr>
          <w:rFonts w:ascii="Times New Roman;Times;serif" w:hAnsi="Times New Roman;Times;serif"/>
          <w:sz w:val="24"/>
        </w:rPr>
        <w:t>.  Subject to the terms and conditions provided in this Agreement and the Plan, the Company hereby grants to Grantee ___________________________ (__________) Performance Shares (the “Performance Shares”) as of the Grant Date.  The extent to which Grantee’s rights and interest in the Performance Shares become vested and non-forfeitable shall be determined in accordance with the provisions of Section 2 of this Agreement.  The grant of the Performance Shares is made in consideration of the services to be rendered by Grantee to the Company.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2.</w:t>
      </w:r>
      <w:r>
        <w:rPr>
          <w:rFonts w:ascii="Times New Roman;Times;serif" w:hAnsi="Times New Roman;Times;serif"/>
          <w:sz w:val="24"/>
          <w:u w:val="single"/>
        </w:rPr>
        <w:t>Performance Vesting</w:t>
      </w:r>
      <w:r>
        <w:rPr>
          <w:rFonts w:ascii="Times New Roman;Times;serif" w:hAnsi="Times New Roman;Times;serif"/>
          <w:sz w:val="24"/>
        </w:rPr>
        <w:t xml:space="preserve">.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(a)The vesting of Grantee’s rights and interest in the Performance Shares shall be determined in accordance with the performance vesting criteria set forth in </w:t>
      </w:r>
      <w:r>
        <w:rPr>
          <w:rFonts w:ascii="Times New Roman;Times;serif" w:hAnsi="Times New Roman;Times;serif"/>
          <w:b/>
          <w:sz w:val="24"/>
        </w:rPr>
        <w:t>Exhibit A</w:t>
      </w:r>
      <w:r>
        <w:rPr>
          <w:rFonts w:ascii="Times New Roman;Times;serif" w:hAnsi="Times New Roman;Times;serif"/>
          <w:sz w:val="24"/>
        </w:rPr>
        <w:t xml:space="preserve"> hereto.  In addition to such vesting criteria, Grantee must remain in continuous employment with the Company or one of its Subsidiaries from the Grant Date through either (i) the date of a “Qualifying Termination” (as defined below), (ii) the date of a “Qualifying CIC Termination” (as defined below) or (iii) the end of the Performance Period, as applicable, in order to have a vested and nonforfeitable right to the Performance Shares.  Any termination of employment, other than a Qualifying Termination or a Qualifying CIC Termination, prior to the end of the Performance Period shall result in the forfeiture of the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Performance Shares.  The Performance Shares shall be settled in shares of the Company’s Common Stock, par value $0.01 per share, within sixty (60) days following either the end of the Performance Period or the date of the Qualifying Termination or the Qualifying CIC Termination, as applicable.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Cause</w:t>
      </w:r>
      <w:r>
        <w:rPr>
          <w:rFonts w:ascii="Times New Roman;Times;serif" w:hAnsi="Times New Roman;Times;serif"/>
          <w:sz w:val="24"/>
        </w:rPr>
        <w:t xml:space="preserve">” shall have the meaning ascribed to such term in Grantee’s employment or similar agreement with the Company; provided, that if Grantee is not a party to such an agreement with the Company, then “Cause” shall mean (i) Grantee’s arrest or conviction for, plea of </w:t>
      </w:r>
      <w:r>
        <w:rPr>
          <w:rFonts w:ascii="Times New Roman;Times;serif" w:hAnsi="Times New Roman;Times;serif"/>
          <w:i/>
          <w:sz w:val="24"/>
        </w:rPr>
        <w:t>nolo contendere</w:t>
      </w:r>
      <w:r>
        <w:rPr>
          <w:rFonts w:ascii="Times New Roman;Times;serif" w:hAnsi="Times New Roman;Times;serif"/>
          <w:sz w:val="24"/>
        </w:rPr>
        <w:t xml:space="preserve"> to, or admission of the commission of, any act of fraud, misappropriation, or embezzlement, or a criminal felony involving dishonesty or moral turpitude; (ii) a breach by Grantee of any material provision of this Agreement or any employment or similar agreement, provided that Grantee is given reasonable notice of, and a reasonable opportunity to cure within thirty (30) days of such notice (if such breach is curable), any such breach; (iii) any act or intentional omission by Grantee involving dishonesty or moral turpitude; (iv) Grantee’s material failure to adequately perform his or her duties and responsibilities as such duties and responsibilities are, from time to time, in the Company’s discretion, determined and after reasonable notice of, and a reasonable opportunity to cure within thirty (30) days of such notice (if such breach is curable), any such breach; or (iv) any intentional independent act by Grantee that would cause the Company significant reputational injury.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Change in Control</w:t>
      </w:r>
      <w:r>
        <w:rPr>
          <w:rFonts w:ascii="Times New Roman;Times;serif" w:hAnsi="Times New Roman;Times;serif"/>
          <w:sz w:val="24"/>
        </w:rPr>
        <w:t>” means any of the following events: (i) any person (as such term is used in Section 13(d) of the Securities Exchange Act of 1934 (the “Exchange Act”)) or group (as such term is defined in Sections 3(a)(9) and 13(d)(3) of the Exchange Act), other than a subsidiary of the Company or any employee benefit plan (or any related trust) of the Company or a subsidiary, becomes the beneficial owner of 50% or more of the Company’s outstanding voting shares and other outstanding voting securities that are entitled to vote generally in the election of directors (“Voting Securities”); (ii) approval by the shareholders of the Company and consummation of either of the following: (A) a merger, reorganization, consolidation or similar transaction (any of the foregoing, a “Merger”) as a result of which the persons who were the respective beneficial owners of the outstanding Common Stock and/or the Voting Securities immediately before such Merger are not expected to beneficially own, immediately after such Merger, directly or indirectly, more than 50% of, respectively, the outstanding voting shares and the combined voting power of the voting securities resulting from such merger in substantially the same proportions as immediately before such Merger; or (B) a plan of liquidation of the Company or a plan or agreement for the sale or other disposition of all or substantially all of the assets of the Company; or (iii) a change in the composition of the Board such that, during any 12-month period, the individuals who, as of the beginning of such period, constitute the Board (the “Existing Board”) cease for any reason to constitute more than 50% of the Board; provided, however, that any individual becoming a member of the Board subsequent to the beginning of such period whose election, or nomination for election by the Company’s stockholders, was approved by a vote of at least two-thirds of the directors immediately prior to the date of such appointment or election will be considered as though such individual were a member of the Existing Board.</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Good Reason</w:t>
      </w:r>
      <w:r>
        <w:rPr>
          <w:rFonts w:ascii="Times New Roman;Times;serif" w:hAnsi="Times New Roman;Times;serif"/>
          <w:sz w:val="24"/>
        </w:rPr>
        <w:t>” shall have the meaning ascribed to such term in Grantee’s employment or similar agreement with the Company; provided, that if Grantee is not a party to such an agreement with the Company, then “Good Reason” shall mean a material reduction in Grantee’s compensation or employment related benefits, or a material change in Grantee’s status, working conditions or management responsibilities. Unless provided otherwise in Grantee’s employment or similar agreement, Grantee’s termination of employment shall not constitute a termination for Good Reason unless Grantee first provides written notice to the Company of the existence of the Good Reason within sixty (60) days following the effective date of the occurrence of the Good Reason, and the Good Reason remains uncorrected by the Company for more than thirty (30) days following such written notice of the Good Reason from Grantee to the Company, and the effective date of Grantee’s termination of employment is within one (1) year following the effective date of the occurrence of the Good Reason.</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Qualifying Termination</w:t>
      </w:r>
      <w:r>
        <w:rPr>
          <w:rFonts w:ascii="Times New Roman;Times;serif" w:hAnsi="Times New Roman;Times;serif"/>
          <w:sz w:val="24"/>
        </w:rPr>
        <w:t xml:space="preserve">” means, during the Performance Period, (i) the termination of Grantee’s employment by the Company or one of its Subsidiaries without “Cause” (as defined above) or (ii) Grantee </w:t>
      </w:r>
      <w:bookmarkStart w:id="2100" w:name="_Hlk106783269"/>
      <w:bookmarkEnd w:id="2100"/>
      <w:r>
        <w:rPr>
          <w:rFonts w:ascii="Times New Roman;Times;serif" w:hAnsi="Times New Roman;Times;serif"/>
          <w:sz w:val="24"/>
        </w:rPr>
        <w:t>voluntarily terminates employment for “Good Reason” (as defined above). The date of a Qualifying Termination will be the date that a “separation from service” occurs as such term is defined in Treasury Regulation 1.409A-1(h).</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(f)“</w:t>
      </w:r>
      <w:r>
        <w:rPr>
          <w:rFonts w:ascii="Times New Roman;Times;serif" w:hAnsi="Times New Roman;Times;serif"/>
          <w:sz w:val="24"/>
          <w:u w:val="single"/>
        </w:rPr>
        <w:t>Qualifying CIC Termination</w:t>
      </w:r>
      <w:r>
        <w:rPr>
          <w:rFonts w:ascii="Times New Roman;Times;serif" w:hAnsi="Times New Roman;Times;serif"/>
          <w:sz w:val="24"/>
        </w:rPr>
        <w:t>” means, during the Performance Period, (i) the termination of Grantee’s employment by the Company or one of its Subsidiaries without “Cause” (as defined above) or (ii) Grantee voluntarily terminates employment for “Good Reason” (as defined above), in each case, at any time during the 24-month period following a Change in Control (as defined above).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3.</w:t>
      </w:r>
      <w:r>
        <w:rPr>
          <w:rFonts w:ascii="Times New Roman;Times;serif" w:hAnsi="Times New Roman;Times;serif"/>
          <w:sz w:val="24"/>
          <w:u w:val="single"/>
        </w:rPr>
        <w:t>Shareholder Rights; Restrictions on Transfer</w:t>
      </w:r>
      <w:r>
        <w:rPr>
          <w:rFonts w:ascii="Times New Roman;Times;serif" w:hAnsi="Times New Roman;Times;serif"/>
          <w:sz w:val="24"/>
        </w:rPr>
        <w:t xml:space="preserve">.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(a)Grantee shall not have any right to vote any Performance Shares and shall not receive any dividends with respect to any unvested Performance Shares.  Notwithstanding the foregoing, if the Company declares and pays dividends on its outstanding Shares during the Performance Period, Grantee will be entitled to have dividend equivalents accrued with respect to the Performance Shares.  Such dividend equivalents shall vest or be forfeited in the same manner and to the same extent as the Performance Shares to which they relate, and shall, to the extent they become vested, be paid to Grantee in cash no later than sixty (60) days after the conclusion of the Performance Period.</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(b)Except as otherwise provided for in Section 12 of the Plan, the Performance Shares may not be sold, assigned, transferred, pledged or otherwise disposed of by Grantee.  Any attempt to transfer the Performance Shares in violation of this Section 3(b) shall render the Performance Shares null and void.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w:t>
      </w:r>
      <w:r>
        <w:rPr>
          <w:rFonts w:ascii="Times New Roman;Times;serif" w:hAnsi="Times New Roman;Times;serif"/>
          <w:sz w:val="24"/>
          <w:u w:val="single"/>
        </w:rPr>
        <w:t>Taxes</w:t>
      </w:r>
      <w:r>
        <w:rPr>
          <w:rFonts w:ascii="Times New Roman;Times;serif" w:hAnsi="Times New Roman;Times;serif"/>
          <w:sz w:val="24"/>
        </w:rPr>
        <w:t xml:space="preserve">.  Grantee shall pay to the Company all applicable federal, state and local income and employment taxes (including taxes of any foreign jurisdiction) which the Company is required to withhold at any time with respect to the Performance Shares.  Such payment shall be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made in full, at Grantee’s election, in cash or check, by withholding from Grantee’s next normal payroll, or by the tender of Shares of the Company’s common stock (including the withholding of Shares otherwise issuable upon vesting of the Performance Shares, provided that the number of Shares so withheld does not exceed the amount necessary to satisfy the maximum statutory tax rates in Grantee’s applicable jurisdictions).  Shares tendered or withheld as payment of required withholding shall be valued at the closing price per share of the Company’s common stock on the date such withholding obligation arises.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5.</w:t>
      </w:r>
      <w:r>
        <w:rPr>
          <w:rFonts w:ascii="Times New Roman;Times;serif" w:hAnsi="Times New Roman;Times;serif"/>
          <w:sz w:val="24"/>
          <w:u w:val="single"/>
        </w:rPr>
        <w:t>No Effect on Employment or Rights under Plan</w:t>
      </w:r>
      <w:r>
        <w:rPr>
          <w:rFonts w:ascii="Times New Roman;Times;serif" w:hAnsi="Times New Roman;Times;serif"/>
          <w:sz w:val="24"/>
        </w:rPr>
        <w:t>.  Nothing in the Plan or this Agreement shall confer upon Grantee the right to continue in the employment of the Company or affect any right which the Company may have to terminate the employment of Grantee regardless of the effect of such termination of employment on the rights of Grantee under the Plan or this Agreement.  If Grantee’s employment is terminated for any reason whatsoever (and whether lawful or otherwise), Grantee will not be entitled to claim any compensation for or in respect of any consequent diminution or extinction of Grantee’s rights or benefits (actual or prospective) under this Agreement or any Award (including any unvested portion of any Performance Shares) or otherwise in connection with the Plan.  The rights and obligations of Grantee under the terms of Grantee’s employment with the Company or any Subsidiary will not be affected by Grantee’s participation in the Plan or this Agreement, and neither the Plan nor this Agreement form part of any contract of employment between Grantee and the Company or any Subsidiary.  The granting of Awards (including the Performance Shares) under the Plan is entirely at the discretion of the Committee, and Grantee shall not in any circumstances have any right to be granted any other award concurrently or in the future.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6.</w:t>
      </w:r>
      <w:r>
        <w:rPr>
          <w:rFonts w:ascii="Times New Roman;Times;serif" w:hAnsi="Times New Roman;Times;serif"/>
          <w:sz w:val="24"/>
          <w:u w:val="single"/>
        </w:rPr>
        <w:t>Governing Law; Compliance with Law</w:t>
      </w:r>
      <w:r>
        <w:rPr>
          <w:rFonts w:ascii="Times New Roman;Times;serif" w:hAnsi="Times New Roman;Times;serif"/>
          <w:sz w:val="24"/>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(a)This Agreement shall be construed and enforced in accordance with the laws of the State of Florida without regard to conflict of law principles.</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(b)The issuance and transfer of Performance Shares shall be subject to compliance by the Company and Grantee with all applicable requirements of federal and state securities laws and with all applicable requirements of any stock exchange on which the Company’s securities may be listed.  No Performance Shares, or any share of common stock underlying such Performance Shares, shall be issued or transferred unless and until any then applicable requirements of state and federal laws and regulatory agencies have been fully complied with to the satisfaction of the Company and its counsel.</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(c)A legend may be placed on any certificate(s) or other document(s) delivered to Grantee indicating restrictions on transferability of the Performance Shares pursuant to this Agreement or any other restrictions that the Committee may deem advisable under the rules, regulations and other requirements of any applicable federal or state securities laws or any stock exchange on which the Company’s securities may be listed.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w:t>
      </w:r>
      <w:r>
        <w:rPr>
          <w:rFonts w:ascii="Times New Roman;Times;serif" w:hAnsi="Times New Roman;Times;serif"/>
          <w:sz w:val="24"/>
          <w:u w:val="single"/>
        </w:rPr>
        <w:t>Successors</w:t>
      </w:r>
      <w:r>
        <w:rPr>
          <w:rFonts w:ascii="Times New Roman;Times;serif" w:hAnsi="Times New Roman;Times;serif"/>
          <w:sz w:val="24"/>
        </w:rPr>
        <w:t>.  This Agreement shall inure to the benefit of, and be binding upon, the Company and Grantee and their heirs, legal representatives, successors and permitted assigns.</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8.</w:t>
      </w:r>
      <w:r>
        <w:rPr>
          <w:rFonts w:ascii="Times New Roman;Times;serif" w:hAnsi="Times New Roman;Times;serif"/>
          <w:sz w:val="24"/>
          <w:u w:val="single"/>
        </w:rPr>
        <w:t>Severability</w:t>
      </w:r>
      <w:r>
        <w:rPr>
          <w:rFonts w:ascii="Times New Roman;Times;serif" w:hAnsi="Times New Roman;Times;serif"/>
          <w:sz w:val="24"/>
        </w:rPr>
        <w:t>.  In the event that any one or more of the provisions or portion thereof contained in this Agreement shall for any reason be held to be invalid, illegal or unenforceable in any respect, the same shall not invalidate or otherwise affect any other provisions of this Agreement, and this Agreement shall be construed as if the invalid, illegal or unenforceable provision or portion thereof had never been contained herein.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9.</w:t>
      </w:r>
      <w:r>
        <w:rPr>
          <w:rFonts w:ascii="Times New Roman;Times;serif" w:hAnsi="Times New Roman;Times;serif"/>
          <w:sz w:val="24"/>
          <w:u w:val="single"/>
        </w:rPr>
        <w:t>Entire Agreement</w:t>
      </w:r>
      <w:r>
        <w:rPr>
          <w:rFonts w:ascii="Times New Roman;Times;serif" w:hAnsi="Times New Roman;Times;serif"/>
          <w:sz w:val="24"/>
        </w:rPr>
        <w:t xml:space="preserve">.  Subject to the terms and conditions of the Plan, which are incorporated herein by reference, this Agreement expresses the entire understanding and agreement of the parties hereto with respect to such terms, restrictions and limitations.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10.</w:t>
      </w:r>
      <w:r>
        <w:rPr>
          <w:rFonts w:ascii="Times New Roman;Times;serif" w:hAnsi="Times New Roman;Times;serif"/>
          <w:sz w:val="24"/>
          <w:u w:val="single"/>
        </w:rPr>
        <w:t>Headings</w:t>
      </w:r>
      <w:r>
        <w:rPr>
          <w:rFonts w:ascii="Times New Roman;Times;serif" w:hAnsi="Times New Roman;Times;serif"/>
          <w:sz w:val="24"/>
        </w:rPr>
        <w:t>.  Section headings used herein are for convenience of reference only and shall not be considered in construing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11.</w:t>
      </w:r>
      <w:r>
        <w:rPr>
          <w:rFonts w:ascii="Times New Roman;Times;serif" w:hAnsi="Times New Roman;Times;serif"/>
          <w:sz w:val="24"/>
          <w:u w:val="single"/>
        </w:rPr>
        <w:t>Counterparts</w:t>
      </w:r>
      <w:r>
        <w:rPr>
          <w:rFonts w:ascii="Times New Roman;Times;serif" w:hAnsi="Times New Roman;Times;serif"/>
          <w:sz w:val="24"/>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w:t>
      </w:r>
      <w:r>
        <w:rPr>
          <w:rFonts w:ascii="Times New Roman;Times;serif" w:hAnsi="Times New Roman;Times;serif"/>
          <w:sz w:val="24"/>
          <w:u w:val="single"/>
        </w:rPr>
        <w:t>No Impact on Other Benefits</w:t>
      </w:r>
      <w:r>
        <w:rPr>
          <w:rFonts w:ascii="Times New Roman;Times;serif" w:hAnsi="Times New Roman;Times;serif"/>
          <w:sz w:val="24"/>
        </w:rPr>
        <w:t>.  The value of the Performance Shares is not part of Grantee’s normal or expected compensation for purposes of calculating any severance, retirement, welfare, insurance or similar employee benefit.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13.</w:t>
      </w:r>
      <w:r>
        <w:rPr>
          <w:rFonts w:ascii="Times New Roman;Times;serif" w:hAnsi="Times New Roman;Times;serif"/>
          <w:sz w:val="24"/>
          <w:u w:val="single"/>
        </w:rPr>
        <w:t>Additional Acknowledgements</w:t>
      </w:r>
      <w:r>
        <w:rPr>
          <w:rFonts w:ascii="Times New Roman;Times;serif" w:hAnsi="Times New Roman;Times;serif"/>
          <w:sz w:val="24"/>
        </w:rPr>
        <w:t>.  By their signatures below, Grantee and the Company agree that the Performance Shares are granted under and governed by the terms and conditions of the Plan and this Agreement.  Grantee has reviewed in their entirety the prospectus that summarizes the terms of the Plan and this Agreement, has had an opportunity to request a copy of the Plan in accordance with the procedure described in the prospectus, has had an opportunity to obtain the advice of counsel prior to executing this Agreement and fully understands all provisions of the Plan and this Agreement.  Grantee hereby agrees to accept as binding, conclusive and final all decisions or interpretations of the Committee upon any questions relating to the Plan and this Agreement.</w:t>
      </w:r>
    </w:p>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sz w:val="24"/>
        </w:rPr>
      </w:pPr>
      <w:r>
        <w:rPr>
          <w:rFonts w:ascii="Times New Roman;Times;serif" w:hAnsi="Times New Roman;Times;serif"/>
          <w:sz w:val="24"/>
        </w:rPr>
        <w:t>[The balance of this page is intentionally blank.]</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pBdr>
          <w:bottom w:val="double" w:sz="2" w:space="0" w:color="808080"/>
        </w:pBdr>
        <w:bidi w:val="0"/>
        <w:spacing w:before="0" w:after="283"/>
        <w:jc w:val="left"/>
        <w:rPr/>
      </w:pPr>
      <w:r>
        <w:rPr/>
      </w:r>
    </w:p>
    <w:p>
      <w:pPr>
        <w:pStyle w:val="TextBody"/>
        <w:bidi w:val="0"/>
        <w:spacing w:before="0" w:after="480"/>
        <w:ind w:left="0" w:right="0" w:firstLine="720"/>
        <w:jc w:val="left"/>
        <w:rPr>
          <w:rFonts w:ascii="Times New Roman;Times;serif" w:hAnsi="Times New Roman;Times;serif"/>
          <w:sz w:val="24"/>
        </w:rPr>
      </w:pPr>
      <w:r>
        <w:rPr>
          <w:rFonts w:ascii="Times New Roman;Times;serif" w:hAnsi="Times New Roman;Times;serif"/>
          <w:sz w:val="24"/>
        </w:rPr>
        <w:t>IN WITNESS WHEREOF, the Company and Grantee have executed this Agreement as of the Effective Date set forth above.</w:t>
      </w:r>
    </w:p>
    <w:p>
      <w:pPr>
        <w:pStyle w:val="TextBody"/>
        <w:bidi w:val="0"/>
        <w:spacing w:before="0" w:after="0"/>
        <w:ind w:left="3600" w:right="0" w:hanging="0"/>
        <w:jc w:val="left"/>
        <w:rPr>
          <w:rFonts w:ascii="Times New Roman;Times;serif" w:hAnsi="Times New Roman;Times;serif"/>
          <w:sz w:val="24"/>
        </w:rPr>
      </w:pPr>
      <w:r>
        <w:rPr>
          <w:rFonts w:ascii="Times New Roman;Times;serif" w:hAnsi="Times New Roman;Times;serif"/>
          <w:sz w:val="24"/>
        </w:rPr>
        <w:t>CTO REALTY GROWTH, INC.</w:t>
      </w:r>
    </w:p>
    <w:p>
      <w:pPr>
        <w:pStyle w:val="TextBody"/>
        <w:bidi w:val="0"/>
        <w:spacing w:before="0" w:after="240"/>
        <w:ind w:left="3600" w:right="0" w:hanging="0"/>
        <w:jc w:val="left"/>
        <w:rPr/>
      </w:pPr>
      <w:r>
        <w:rPr/>
        <w:t>​</w:t>
      </w:r>
    </w:p>
    <w:p>
      <w:pPr>
        <w:pStyle w:val="TextBody"/>
        <w:bidi w:val="0"/>
        <w:spacing w:before="0" w:after="240"/>
        <w:ind w:left="3600" w:right="0" w:hanging="0"/>
        <w:jc w:val="left"/>
        <w:rPr/>
      </w:pPr>
      <w:r>
        <w:rPr/>
        <w:t>​</w:t>
      </w:r>
    </w:p>
    <w:p>
      <w:pPr>
        <w:pStyle w:val="TextBody"/>
        <w:bidi w:val="0"/>
        <w:spacing w:before="0" w:after="240"/>
        <w:ind w:left="360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BY:________________________________</w:t>
      </w:r>
    </w:p>
    <w:p>
      <w:pPr>
        <w:pStyle w:val="TextBody"/>
        <w:bidi w:val="0"/>
        <w:spacing w:before="0" w:after="0"/>
        <w:ind w:left="4507" w:right="0" w:hanging="0"/>
        <w:jc w:val="left"/>
        <w:rPr>
          <w:rFonts w:ascii="Times New Roman;Times;serif" w:hAnsi="Times New Roman;Times;serif"/>
          <w:sz w:val="24"/>
        </w:rPr>
      </w:pPr>
      <w:r>
        <w:rPr>
          <w:rFonts w:ascii="Times New Roman;Times;serif" w:hAnsi="Times New Roman;Times;serif"/>
          <w:sz w:val="24"/>
        </w:rPr>
        <w:t>Name:</w:t>
      </w:r>
    </w:p>
    <w:p>
      <w:pPr>
        <w:pStyle w:val="TextBody"/>
        <w:bidi w:val="0"/>
        <w:spacing w:before="0" w:after="0"/>
        <w:ind w:left="4507" w:right="0" w:hanging="0"/>
        <w:jc w:val="left"/>
        <w:rPr>
          <w:rFonts w:ascii="Times New Roman;Times;serif" w:hAnsi="Times New Roman;Times;serif"/>
          <w:sz w:val="24"/>
        </w:rPr>
      </w:pPr>
      <w:r>
        <w:rPr>
          <w:rFonts w:ascii="Times New Roman;Times;serif" w:hAnsi="Times New Roman;Times;serif"/>
          <w:sz w:val="24"/>
        </w:rPr>
        <w:t>Title:</w:t>
      </w:r>
    </w:p>
    <w:p>
      <w:pPr>
        <w:pStyle w:val="TextBody"/>
        <w:bidi w:val="0"/>
        <w:spacing w:before="0" w:after="240"/>
        <w:ind w:left="4507" w:right="0" w:hanging="0"/>
        <w:jc w:val="left"/>
        <w:rPr/>
      </w:pPr>
      <w:r>
        <w:rPr/>
        <w:t>​</w:t>
      </w:r>
    </w:p>
    <w:p>
      <w:pPr>
        <w:pStyle w:val="TextBody"/>
        <w:bidi w:val="0"/>
        <w:spacing w:before="0" w:after="240"/>
        <w:ind w:left="4507" w:right="0" w:firstLine="540"/>
        <w:jc w:val="left"/>
        <w:rPr/>
      </w:pPr>
      <w:r>
        <w:rPr/>
        <w:t>​</w:t>
      </w:r>
    </w:p>
    <w:p>
      <w:pPr>
        <w:pStyle w:val="TextBody"/>
        <w:bidi w:val="0"/>
        <w:spacing w:before="0" w:after="240"/>
        <w:ind w:left="4507" w:right="0" w:firstLine="540"/>
        <w:jc w:val="left"/>
        <w:rPr/>
      </w:pPr>
      <w:r>
        <w:rPr/>
        <w:t>​</w:t>
      </w:r>
    </w:p>
    <w:p>
      <w:pPr>
        <w:pStyle w:val="TextBody"/>
        <w:bidi w:val="0"/>
        <w:spacing w:before="0" w:after="480"/>
        <w:ind w:left="0" w:right="0" w:firstLine="720"/>
        <w:jc w:val="both"/>
        <w:rPr>
          <w:rFonts w:ascii="Times New Roman;Times;serif" w:hAnsi="Times New Roman;Times;serif"/>
          <w:sz w:val="24"/>
        </w:rPr>
      </w:pPr>
      <w:r>
        <w:rPr>
          <w:rFonts w:ascii="Times New Roman;Times;serif" w:hAnsi="Times New Roman;Times;serif"/>
          <w:sz w:val="24"/>
        </w:rPr>
        <w:t>I have read the Sixth Amended and Restated CTO Realty Growth, Inc. 2010 Equity Incentive Plan originally adopted by the Company’s stockholders on April 28, 2010, last amended, amended June 17, 2026, and by my signature I agree to be bound by the terms and conditions of said Plan and this Agreement.  I have also read the CTO Realty Growth, Inc. Clawback Policy adopted by the Committee on October 24, 2023 (the “Clawback Policy”), and by my signature I agree that all of my Incentive-Based Compensation (as defined in the Clawback Policy) is subject to the Clawback Policy.</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sz w:val="24"/>
          <w:shd w:fill="FFFFFF" w:val="clear"/>
        </w:rPr>
      </w:pPr>
      <w:r>
        <w:rPr>
          <w:rFonts w:ascii="Times New Roman;Times;serif" w:hAnsi="Times New Roman;Times;serif"/>
          <w:b w:val="false"/>
          <w:i w:val="false"/>
          <w:caps w:val="false"/>
          <w:smallCaps w:val="false"/>
          <w:sz w:val="24"/>
          <w:shd w:fill="FFFFFF" w:val="clear"/>
        </w:rPr>
        <w:t>Date:</w:t>
      </w:r>
      <w:r>
        <w:rPr>
          <w:rFonts w:ascii="Times New Roman;Times;serif" w:hAnsi="Times New Roman;Times;serif"/>
          <w:sz w:val="24"/>
          <w:shd w:fill="FFFFFF" w:val="clear"/>
        </w:rPr>
        <w:tab/>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480175" cy="175895"/>
                <wp:effectExtent l="0" t="0" r="0" b="0"/>
                <wp:wrapNone/>
                <wp:docPr id="526" name="Frame52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8.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5130" w:right="0" w:hanging="0"/>
        <w:jc w:val="left"/>
        <w:rPr>
          <w:rFonts w:ascii="Times New Roman;Times;serif" w:hAnsi="Times New Roman;Times;serif"/>
          <w:sz w:val="24"/>
        </w:rPr>
      </w:pPr>
      <w:r>
        <w:rPr>
          <w:rFonts w:ascii="Times New Roman;Times;serif" w:hAnsi="Times New Roman;Times;serif"/>
          <w:sz w:val="24"/>
        </w:rPr>
        <w:t>[GRANTEE NAME]</w:t>
      </w:r>
    </w:p>
    <w:p>
      <w:pPr>
        <w:pStyle w:val="TextBody"/>
        <w:bidi w:val="0"/>
        <w:spacing w:before="0" w:after="240"/>
        <w:ind w:left="5130" w:right="0" w:hanging="0"/>
        <w:jc w:val="left"/>
        <w:rPr/>
      </w:pPr>
      <w:r>
        <w:rPr/>
        <w:t>​</w:t>
      </w:r>
    </w:p>
    <w:p>
      <w:pPr>
        <w:pStyle w:val="TextBody"/>
        <w:bidi w:val="0"/>
        <w:spacing w:before="0" w:after="240"/>
        <w:ind w:left="513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pBdr>
          <w:bottom w:val="double" w:sz="2" w:space="0" w:color="808080"/>
        </w:pBdr>
        <w:bidi w:val="0"/>
        <w:spacing w:before="0" w:after="283"/>
        <w:jc w:val="left"/>
        <w:rPr/>
      </w:pPr>
      <w:r>
        <w:rPr/>
      </w:r>
    </w:p>
    <w:p>
      <w:pPr>
        <w:pStyle w:val="TextBody"/>
        <w:bidi w:val="0"/>
        <w:spacing w:before="120" w:after="240"/>
        <w:ind w:left="0" w:right="0" w:hanging="0"/>
        <w:jc w:val="center"/>
        <w:rPr>
          <w:rFonts w:ascii="Times New Roman;Times;serif" w:hAnsi="Times New Roman;Times;serif"/>
          <w:b/>
          <w:sz w:val="24"/>
        </w:rPr>
      </w:pPr>
      <w:r>
        <w:rPr>
          <w:rFonts w:ascii="Times New Roman;Times;serif" w:hAnsi="Times New Roman;Times;serif"/>
          <w:b/>
          <w:sz w:val="24"/>
        </w:rPr>
        <w:t>EXHIBIT A</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VESTING OF PERFORMANCE SHARES (3-YEAR PERFORMANCE)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color w:val="010000"/>
          <w:sz w:val="24"/>
        </w:rPr>
        <w:t>1.</w:t>
      </w:r>
      <w:r>
        <w:rPr>
          <w:rFonts w:ascii="Times New Roman;Times;serif" w:hAnsi="Times New Roman;Times;serif"/>
          <w:sz w:val="24"/>
          <w:u w:val="single"/>
        </w:rPr>
        <w:t>Vesting of Performance Shares</w:t>
      </w:r>
      <w:r>
        <w:rPr>
          <w:rFonts w:ascii="Times New Roman;Times;serif" w:hAnsi="Times New Roman;Times;serif"/>
          <w:sz w:val="24"/>
        </w:rPr>
        <w:t>:</w:t>
      </w:r>
    </w:p>
    <w:p>
      <w:pPr>
        <w:pStyle w:val="TextBody"/>
        <w:bidi w:val="0"/>
        <w:spacing w:before="0" w:after="240"/>
        <w:ind w:left="0" w:right="0" w:firstLine="810"/>
        <w:jc w:val="left"/>
        <w:rPr>
          <w:rFonts w:ascii="Times New Roman;Times;serif" w:hAnsi="Times New Roman;Times;serif"/>
          <w:sz w:val="24"/>
        </w:rPr>
      </w:pPr>
      <w:r>
        <w:rPr>
          <w:rFonts w:ascii="Times New Roman;Times;serif" w:hAnsi="Times New Roman;Times;serif"/>
          <w:sz w:val="24"/>
        </w:rPr>
        <w:t xml:space="preserve">Except in the event of a Qualifying Termination or a Qualifying CIC Termination (each as defined in the Agreement), the number of Performance Shares that shall vest under this Agreement shall be based upon the following performance goal: The Company’s Total Shareholder Return as compared to the Total Shareholder Return of the Comparison Group during the Performance Period, as further described below.  Upon (a) the expiration of the Performance Period, and (b) the Committee’s determination and certification of the extent to which the performance goal has been achieved, the Participant shall become vested in the number of Performance Shares that corresponds to the level of achievement of the performance goal set forth below that is certified by the Committee. </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 xml:space="preserve">Notwithstanding the foregoing, (a) in the case of a Qualifying Termination prior to the expiration of the Performance Period, the percentage of Performance Shares that vest pursuant to the Agreement shall be the greater of (i) the percentage of Performance Shares that would vest based on the Total Shareholder Return achieved by the Company as if the Performance Period had ended on the date of the Qualifying Termination, as determined and certified by the Committee, </w:t>
      </w:r>
      <w:r>
        <w:rPr>
          <w:rFonts w:ascii="Times New Roman;Times;serif" w:hAnsi="Times New Roman;Times;serif"/>
          <w:i/>
          <w:sz w:val="24"/>
        </w:rPr>
        <w:t>multiplied by</w:t>
      </w:r>
      <w:r>
        <w:rPr>
          <w:rFonts w:ascii="Times New Roman;Times;serif" w:hAnsi="Times New Roman;Times;serif"/>
          <w:sz w:val="24"/>
        </w:rPr>
        <w:t xml:space="preserve"> a fraction, the denominator of which is the total number of days in the original Performance Period and the numerator of which is the number of days from the beginning of the Performance Period to the date of the Qualifying Termination or (ii) the vesting percentage corresponding to the Company’s “Target” percentile rank; and (b) in the case of a Qualifying CIC Termination prior to the expiration of the Performance Period, the number of Performance Shares that vest pursuant to the Agreement shall be at the vesting percentage corresponding to the Company’s “Outperform” percentile rank.</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2.</w:t>
      </w:r>
      <w:r>
        <w:rPr>
          <w:rFonts w:ascii="Times New Roman;Times;serif" w:hAnsi="Times New Roman;Times;serif"/>
          <w:sz w:val="24"/>
          <w:u w:val="single"/>
        </w:rPr>
        <w:t>Determination of Comparison Group</w:t>
      </w:r>
      <w:r>
        <w:rPr>
          <w:rFonts w:ascii="Times New Roman;Times;serif" w:hAnsi="Times New Roman;Times;serif"/>
          <w:sz w:val="24"/>
        </w:rPr>
        <w:t xml:space="preserve">: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w:t>
      </w:r>
      <w:r>
        <w:rPr>
          <w:rFonts w:ascii="Times New Roman;Times;serif" w:hAnsi="Times New Roman;Times;serif"/>
          <w:sz w:val="24"/>
          <w:u w:val="single"/>
        </w:rPr>
        <w:t>Comparison Group</w:t>
      </w:r>
      <w:r>
        <w:rPr>
          <w:rFonts w:ascii="Times New Roman;Times;serif" w:hAnsi="Times New Roman;Times;serif"/>
          <w:sz w:val="24"/>
        </w:rPr>
        <w:t xml:space="preserve">” used for purposes of this </w:t>
      </w:r>
      <w:r>
        <w:rPr>
          <w:rFonts w:ascii="Times New Roman;Times;serif" w:hAnsi="Times New Roman;Times;serif"/>
          <w:b/>
          <w:sz w:val="24"/>
        </w:rPr>
        <w:t>Exhibit A</w:t>
      </w:r>
      <w:r>
        <w:rPr>
          <w:rFonts w:ascii="Times New Roman;Times;serif" w:hAnsi="Times New Roman;Times;serif"/>
          <w:sz w:val="24"/>
        </w:rPr>
        <w:t xml:space="preserve"> shall consist of the companies comprising the MSCI US REIT Index as of the date of this Agreement, which companies are listed on the attached </w:t>
      </w:r>
      <w:r>
        <w:rPr>
          <w:rFonts w:ascii="Times New Roman;Times;serif" w:hAnsi="Times New Roman;Times;serif"/>
          <w:b/>
          <w:sz w:val="24"/>
        </w:rPr>
        <w:t>Schedule A-1</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If a company in the Comparison Group experiences a bankruptcy event during the Performance Period, the company will remain in the Comparison Group and its stock price will continue to be tracked for purposes of the Total Shareholder Return calculation.  If the company is subsequently acquired or goes private, the provisions below will apply.  If the company liquidates, the company will remain in the Comparison Group and its Ending Stock Price will be reduced to zero.</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If a company in the Comparison Group is acquired by another company in the Comparison Group, the acquired company will be removed from the Comparison Group and the surviving company will remain in the Comparison Group.</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A-1</w:t>
      </w:r>
    </w:p>
    <w:p>
      <w:pPr>
        <w:pStyle w:val="TextBody"/>
        <w:bidi w:val="0"/>
        <w:spacing w:before="0" w:after="0"/>
        <w:ind w:left="0" w:right="0" w:hanging="0"/>
        <w:jc w:val="righ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If a company in the Comparison Group is acquired by a company not in the Comparison Group, the acquired company will remain in the Comparison Group, and its Ending Stock Price will be equal to the value per share of the consideration paid to the shareholders of the acquired company in the transaction.  The surviving company in such transaction will not be added to the Comparison Group.</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If a company in the Comparison Group ceases to be a public company due to a going private transaction, the company will remain in the Comparison Group, and its Ending Stock Price shall be equal to the value per share of the consideration paid to the shareholders of the target company in the transaction.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color w:val="010000"/>
          <w:sz w:val="24"/>
        </w:rPr>
        <w:t>3.</w:t>
      </w:r>
      <w:r>
        <w:rPr>
          <w:rFonts w:ascii="Times New Roman;Times;serif" w:hAnsi="Times New Roman;Times;serif"/>
          <w:sz w:val="24"/>
          <w:u w:val="single"/>
        </w:rPr>
        <w:t>Calculation of Total Shareholder Return</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rPr>
        <w:t>Total Shareholder Return” for the Company and each company in the Comparison Group shall include dividends paid and shall be determined as follows:</w:t>
      </w:r>
    </w:p>
    <w:tbl>
      <w:tblPr>
        <w:tblW w:w="9083" w:type="dxa"/>
        <w:jc w:val="left"/>
        <w:tblInd w:w="0" w:type="dxa"/>
        <w:tblLayout w:type="fixed"/>
        <w:tblCellMar>
          <w:top w:w="0" w:type="dxa"/>
          <w:left w:w="0" w:type="dxa"/>
          <w:bottom w:w="0" w:type="dxa"/>
          <w:right w:w="0" w:type="dxa"/>
        </w:tblCellMar>
      </w:tblPr>
      <w:tblGrid>
        <w:gridCol w:w="2521"/>
        <w:gridCol w:w="241"/>
        <w:gridCol w:w="3931"/>
        <w:gridCol w:w="109"/>
        <w:gridCol w:w="2281"/>
      </w:tblGrid>
      <w:tr>
        <w:trPr/>
        <w:tc>
          <w:tcPr>
            <w:tcW w:w="2521" w:type="dxa"/>
            <w:vMerge w:val="restart"/>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4"/>
              </w:rPr>
            </w:pPr>
            <w:r>
              <w:rPr>
                <w:rFonts w:ascii="Times New Roman;Times;serif" w:hAnsi="Times New Roman;Times;serif"/>
                <w:b w:val="false"/>
                <w:i w:val="false"/>
                <w:caps w:val="false"/>
                <w:smallCaps w:val="false"/>
                <w:color w:val="000000"/>
                <w:sz w:val="24"/>
              </w:rPr>
              <w:t>Total Shareholder Return</w:t>
            </w:r>
          </w:p>
        </w:tc>
        <w:tc>
          <w:tcPr>
            <w:tcW w:w="241" w:type="dxa"/>
            <w:vMerge w:val="restart"/>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4"/>
              </w:rPr>
            </w:pPr>
            <w:r>
              <w:rPr>
                <w:rFonts w:ascii="Times New Roman;Times;serif" w:hAnsi="Times New Roman;Times;serif"/>
                <w:b w:val="false"/>
                <w:i w:val="false"/>
                <w:caps w:val="false"/>
                <w:smallCaps w:val="false"/>
                <w:color w:val="000000"/>
                <w:sz w:val="24"/>
              </w:rPr>
              <w:t>=</w:t>
            </w:r>
          </w:p>
        </w:tc>
        <w:tc>
          <w:tcPr>
            <w:tcW w:w="3931" w:type="dxa"/>
            <w:tcBorders>
              <w:bottom w:val="single" w:sz="2" w:space="0" w:color="000000"/>
            </w:tcBorders>
            <w:tcMar>
              <w:bottom w:w="28" w:type="dxa"/>
            </w:tcMar>
            <w:vAlign w:val="center"/>
          </w:tcPr>
          <w:p>
            <w:pPr>
              <w:pStyle w:val="TableContents"/>
              <w:bidi w:val="0"/>
              <w:spacing w:before="120" w:after="120"/>
              <w:ind w:left="0" w:right="0" w:hanging="0"/>
              <w:jc w:val="center"/>
              <w:rPr>
                <w:rFonts w:ascii="Times New Roman;Times;serif" w:hAnsi="Times New Roman;Times;serif"/>
                <w:sz w:val="24"/>
              </w:rPr>
            </w:pPr>
            <w:r>
              <w:rPr>
                <w:rFonts w:ascii="Times New Roman;Times;serif" w:hAnsi="Times New Roman;Times;serif"/>
                <w:sz w:val="24"/>
              </w:rPr>
              <w:t>Change in Stock Price + Dividends Paid</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228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521" w:type="dxa"/>
            <w:vMerge w:val="continue"/>
            <w:tcBorders/>
            <w:vAlign w:val="center"/>
          </w:tcPr>
          <w:p>
            <w:pPr>
              <w:pStyle w:val="Normal"/>
              <w:bidi w:val="0"/>
              <w:jc w:val="left"/>
              <w:rPr/>
            </w:pPr>
            <w:r>
              <w:rPr/>
            </w:r>
          </w:p>
        </w:tc>
        <w:tc>
          <w:tcPr>
            <w:tcW w:w="241" w:type="dxa"/>
            <w:vMerge w:val="continue"/>
            <w:tcBorders/>
            <w:vAlign w:val="center"/>
          </w:tcPr>
          <w:p>
            <w:pPr>
              <w:pStyle w:val="Normal"/>
              <w:bidi w:val="0"/>
              <w:jc w:val="left"/>
              <w:rPr/>
            </w:pPr>
            <w:r>
              <w:rPr/>
            </w:r>
          </w:p>
        </w:tc>
        <w:tc>
          <w:tcPr>
            <w:tcW w:w="393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281" w:type="dxa"/>
            <w:tcBorders>
              <w:top w:val="single" w:sz="2" w:space="0" w:color="000000"/>
            </w:tcBorders>
            <w:tcMar>
              <w:top w:w="28" w:type="dxa"/>
            </w:tcMar>
            <w:vAlign w:val="center"/>
          </w:tcPr>
          <w:p>
            <w:pPr>
              <w:pStyle w:val="TableContents"/>
              <w:bidi w:val="0"/>
              <w:spacing w:before="120" w:after="120"/>
              <w:ind w:left="0" w:right="0" w:hanging="0"/>
              <w:jc w:val="center"/>
              <w:rPr>
                <w:rFonts w:ascii="Times New Roman;Times;serif" w:hAnsi="Times New Roman;Times;serif"/>
                <w:sz w:val="24"/>
              </w:rPr>
            </w:pPr>
            <w:r>
              <w:rPr>
                <w:rFonts w:ascii="Times New Roman;Times;serif" w:hAnsi="Times New Roman;Times;serif"/>
                <w:sz w:val="24"/>
              </w:rPr>
              <w:t>Beginning Stock Price</w:t>
            </w:r>
          </w:p>
        </w:tc>
      </w:tr>
    </w:tbl>
    <w:p>
      <w:pPr>
        <w:pStyle w:val="TextBody"/>
        <w:bidi w:val="0"/>
        <w:spacing w:before="240" w:after="240"/>
        <w:ind w:left="0" w:right="0" w:firstLine="720"/>
        <w:jc w:val="both"/>
        <w:rPr/>
      </w:pPr>
      <w:r>
        <w:rPr/>
        <w:t>“</w:t>
      </w:r>
      <w:r>
        <w:rPr>
          <w:rFonts w:ascii="Times New Roman;Times;serif" w:hAnsi="Times New Roman;Times;serif"/>
          <w:sz w:val="24"/>
        </w:rPr>
        <w:t>Beginning Stock Price” shall mean the average closing sale price of one (1) share of common stock for the twenty (20) trading days immediately prior to the first day of the Performance Period, as reported by the New York Stock Exchange, such other national securities exchange on which the stock is traded or, if the stock is traded over-the-counter, the OTC Bulletin Board, Pink OTC Markets Inc. or other applicable reporting organization.  The Beginning Stock Price shall be appropriately adjusted to reflect any stock splits, reverse stock splits or stock dividends during the Performance Period.</w:t>
      </w:r>
    </w:p>
    <w:p>
      <w:pPr>
        <w:pStyle w:val="TextBody"/>
        <w:bidi w:val="0"/>
        <w:spacing w:before="0" w:after="240"/>
        <w:ind w:left="0" w:right="0" w:firstLine="720"/>
        <w:jc w:val="both"/>
        <w:rPr/>
      </w:pPr>
      <w:r>
        <w:rPr/>
        <w:t>“</w:t>
      </w:r>
      <w:r>
        <w:rPr>
          <w:rFonts w:ascii="Times New Roman;Times;serif" w:hAnsi="Times New Roman;Times;serif"/>
          <w:sz w:val="24"/>
        </w:rPr>
        <w:t>Change in Stock Price” shall mean the difference between the Ending Stock Price and the Beginning Stock Price.</w:t>
      </w:r>
    </w:p>
    <w:p>
      <w:pPr>
        <w:pStyle w:val="TextBody"/>
        <w:bidi w:val="0"/>
        <w:spacing w:before="0" w:after="240"/>
        <w:ind w:left="0" w:right="0" w:firstLine="720"/>
        <w:jc w:val="both"/>
        <w:rPr/>
      </w:pPr>
      <w:r>
        <w:rPr/>
        <w:t>“</w:t>
      </w:r>
      <w:r>
        <w:rPr>
          <w:rFonts w:ascii="Times New Roman;Times;serif" w:hAnsi="Times New Roman;Times;serif"/>
          <w:sz w:val="24"/>
        </w:rPr>
        <w:t xml:space="preserve">Dividends Paid” shall mean the total of all cash and in-kind dividends paid on (1) share of stock during the Performance Period. </w:t>
      </w:r>
    </w:p>
    <w:p>
      <w:pPr>
        <w:pStyle w:val="TextBody"/>
        <w:bidi w:val="0"/>
        <w:spacing w:before="0" w:after="240"/>
        <w:ind w:left="0" w:right="0" w:firstLine="720"/>
        <w:jc w:val="both"/>
        <w:rPr/>
      </w:pPr>
      <w:r>
        <w:rPr/>
        <w:t>“</w:t>
      </w:r>
      <w:r>
        <w:rPr>
          <w:rFonts w:ascii="Times New Roman;Times;serif" w:hAnsi="Times New Roman;Times;serif"/>
          <w:sz w:val="24"/>
        </w:rPr>
        <w:t>Ending Stock Price” shall mean the average closing sale price of one (1) share of common stock for the twenty (20) trading days immediately prior to the last day of the Performance Period, except as otherwise provided under “Determination of Comparison Group” above.  Such closing sale prices shall be as reported by the New York Stock Exchange, such other national securities exchange on which the stock is traded or, if the stock is traded over-the-counter, the OTC Bulletin Board, Pink OTC Markets Inc. or other applicable reporting organization.</w:t>
      </w:r>
    </w:p>
    <w:p>
      <w:pPr>
        <w:pStyle w:val="TextBody"/>
        <w:bidi w:val="0"/>
        <w:spacing w:before="0" w:after="240"/>
        <w:ind w:left="0" w:right="0" w:firstLine="720"/>
        <w:jc w:val="both"/>
        <w:rPr/>
      </w:pPr>
      <w:r>
        <w:rPr/>
        <w:t>“</w:t>
      </w:r>
      <w:r>
        <w:rPr>
          <w:rFonts w:ascii="Times New Roman;Times;serif" w:hAnsi="Times New Roman;Times;serif"/>
          <w:sz w:val="24"/>
        </w:rPr>
        <w:t>Performance Period” shall mean the period commencing on January 1, 2026 and ending on December 31, 2028.</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color w:val="010000"/>
          <w:sz w:val="24"/>
        </w:rPr>
        <w:t>4.</w:t>
      </w:r>
      <w:r>
        <w:rPr>
          <w:rFonts w:ascii="Times New Roman;Times;serif" w:hAnsi="Times New Roman;Times;serif"/>
          <w:sz w:val="24"/>
          <w:u w:val="single"/>
        </w:rPr>
        <w:t>Calculation of Percentile Rank</w:t>
      </w:r>
      <w:r>
        <w:rPr>
          <w:rFonts w:ascii="Times New Roman;Times;serif" w:hAnsi="Times New Roman;Times;serif"/>
          <w:sz w:val="24"/>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A-2</w:t>
      </w:r>
    </w:p>
    <w:p>
      <w:pPr>
        <w:pStyle w:val="TextBody"/>
        <w:bidi w:val="0"/>
        <w:spacing w:before="0" w:after="0"/>
        <w:ind w:left="0" w:right="0" w:hanging="0"/>
        <w:jc w:val="righ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Following the Total Shareholder Return determination for the Company and the companies in the Comparison Group, the “Company Rank” within the Comparison Group shall be determined by listing each company in the Comparison Group (including the Company) from the highest Total Shareholder Return to lowest Total Shareholder Return and counting up to the Company from the company with the lowest Total Shareholder Return.</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The Company’s “Percentile Rank” shall then be determined as follows:</w:t>
      </w:r>
    </w:p>
    <w:tbl>
      <w:tblPr>
        <w:tblW w:w="10205" w:type="dxa"/>
        <w:jc w:val="left"/>
        <w:tblInd w:w="0" w:type="dxa"/>
        <w:tblLayout w:type="fixed"/>
        <w:tblCellMar>
          <w:top w:w="0" w:type="dxa"/>
          <w:left w:w="0" w:type="dxa"/>
          <w:bottom w:w="0" w:type="dxa"/>
          <w:right w:w="0" w:type="dxa"/>
        </w:tblCellMar>
      </w:tblPr>
      <w:tblGrid>
        <w:gridCol w:w="2632"/>
        <w:gridCol w:w="241"/>
        <w:gridCol w:w="2569"/>
        <w:gridCol w:w="109"/>
        <w:gridCol w:w="4654"/>
      </w:tblGrid>
      <w:tr>
        <w:trPr/>
        <w:tc>
          <w:tcPr>
            <w:tcW w:w="2632" w:type="dxa"/>
            <w:vMerge w:val="restart"/>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4"/>
              </w:rPr>
            </w:pPr>
            <w:r>
              <w:rPr>
                <w:rFonts w:ascii="Times New Roman;Times;serif" w:hAnsi="Times New Roman;Times;serif"/>
                <w:b w:val="false"/>
                <w:i w:val="false"/>
                <w:caps w:val="false"/>
                <w:smallCaps w:val="false"/>
                <w:color w:val="000000"/>
                <w:sz w:val="24"/>
              </w:rPr>
              <w:t>Percentile Rank for Comparison Group</w:t>
            </w:r>
          </w:p>
          <w:p>
            <w:pPr>
              <w:pStyle w:val="TableContents"/>
              <w:bidi w:val="0"/>
              <w:spacing w:before="0" w:after="0"/>
              <w:ind w:left="0" w:right="0" w:hanging="0"/>
              <w:jc w:val="center"/>
              <w:rPr>
                <w:caps w:val="false"/>
                <w:smallCaps w:val="false"/>
                <w:color w:val="000000"/>
              </w:rPr>
            </w:pPr>
            <w:r>
              <w:rPr>
                <w:caps w:val="false"/>
                <w:smallCaps w:val="false"/>
                <w:color w:val="000000"/>
              </w:rPr>
              <w:t>​</w:t>
            </w:r>
          </w:p>
          <w:p>
            <w:pPr>
              <w:pStyle w:val="TableContents"/>
              <w:bidi w:val="0"/>
              <w:spacing w:before="0" w:after="0"/>
              <w:ind w:left="0" w:right="0" w:hanging="0"/>
              <w:jc w:val="center"/>
              <w:rPr>
                <w:caps w:val="false"/>
                <w:smallCaps w:val="false"/>
                <w:color w:val="000000"/>
              </w:rPr>
            </w:pPr>
            <w:r>
              <w:rPr>
                <w:caps w:val="false"/>
                <w:smallCaps w:val="false"/>
                <w:color w:val="000000"/>
              </w:rPr>
              <w:t>​</w:t>
            </w:r>
          </w:p>
        </w:tc>
        <w:tc>
          <w:tcPr>
            <w:tcW w:w="241" w:type="dxa"/>
            <w:vMerge w:val="restart"/>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4"/>
              </w:rPr>
            </w:pPr>
            <w:r>
              <w:rPr>
                <w:rFonts w:ascii="Times New Roman;Times;serif" w:hAnsi="Times New Roman;Times;serif"/>
                <w:b w:val="false"/>
                <w:i w:val="false"/>
                <w:caps w:val="false"/>
                <w:smallCaps w:val="false"/>
                <w:color w:val="000000"/>
                <w:sz w:val="24"/>
              </w:rPr>
              <w:t>=</w:t>
            </w:r>
          </w:p>
          <w:p>
            <w:pPr>
              <w:pStyle w:val="TableContents"/>
              <w:bidi w:val="0"/>
              <w:spacing w:before="0" w:after="0"/>
              <w:ind w:left="0" w:right="0" w:hanging="0"/>
              <w:jc w:val="center"/>
              <w:rPr>
                <w:caps w:val="false"/>
                <w:smallCaps w:val="false"/>
                <w:color w:val="000000"/>
              </w:rPr>
            </w:pPr>
            <w:r>
              <w:rPr>
                <w:caps w:val="false"/>
                <w:smallCaps w:val="false"/>
                <w:color w:val="000000"/>
              </w:rPr>
              <w:t>​</w:t>
            </w:r>
          </w:p>
          <w:p>
            <w:pPr>
              <w:pStyle w:val="TableContents"/>
              <w:bidi w:val="0"/>
              <w:spacing w:before="0" w:after="0"/>
              <w:ind w:left="0" w:right="0" w:hanging="0"/>
              <w:jc w:val="center"/>
              <w:rPr>
                <w:caps w:val="false"/>
                <w:smallCaps w:val="false"/>
                <w:color w:val="000000"/>
              </w:rPr>
            </w:pPr>
            <w:r>
              <w:rPr>
                <w:caps w:val="false"/>
                <w:smallCaps w:val="false"/>
                <w:color w:val="000000"/>
              </w:rPr>
              <w:t>​</w:t>
            </w:r>
          </w:p>
        </w:tc>
        <w:tc>
          <w:tcPr>
            <w:tcW w:w="2569" w:type="dxa"/>
            <w:tcBorders>
              <w:bottom w:val="single" w:sz="2" w:space="0" w:color="000000"/>
            </w:tcBorders>
            <w:tcMar>
              <w:bottom w:w="28" w:type="dxa"/>
            </w:tcMar>
            <w:vAlign w:val="center"/>
          </w:tcPr>
          <w:p>
            <w:pPr>
              <w:pStyle w:val="TableContents"/>
              <w:bidi w:val="0"/>
              <w:spacing w:before="120" w:after="120"/>
              <w:ind w:left="0" w:right="0" w:hanging="0"/>
              <w:jc w:val="center"/>
              <w:rPr>
                <w:rFonts w:ascii="Times New Roman;Times;serif" w:hAnsi="Times New Roman;Times;serif"/>
                <w:sz w:val="24"/>
              </w:rPr>
            </w:pPr>
            <w:r>
              <w:rPr>
                <w:rFonts w:ascii="Times New Roman;Times;serif" w:hAnsi="Times New Roman;Times;serif"/>
                <w:sz w:val="24"/>
              </w:rPr>
              <w:t>Company Rank in Comparison Group</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46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632" w:type="dxa"/>
            <w:vMerge w:val="continue"/>
            <w:tcBorders/>
            <w:vAlign w:val="center"/>
          </w:tcPr>
          <w:p>
            <w:pPr>
              <w:pStyle w:val="Normal"/>
              <w:bidi w:val="0"/>
              <w:jc w:val="left"/>
              <w:rPr/>
            </w:pPr>
            <w:r>
              <w:rPr/>
            </w:r>
          </w:p>
        </w:tc>
        <w:tc>
          <w:tcPr>
            <w:tcW w:w="241" w:type="dxa"/>
            <w:vMerge w:val="continue"/>
            <w:tcBorders/>
            <w:vAlign w:val="center"/>
          </w:tcPr>
          <w:p>
            <w:pPr>
              <w:pStyle w:val="Normal"/>
              <w:bidi w:val="0"/>
              <w:jc w:val="left"/>
              <w:rPr/>
            </w:pPr>
            <w:r>
              <w:rPr/>
            </w:r>
          </w:p>
        </w:tc>
        <w:tc>
          <w:tcPr>
            <w:tcW w:w="256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654" w:type="dxa"/>
            <w:tcBorders>
              <w:top w:val="single" w:sz="2" w:space="0" w:color="000000"/>
            </w:tcBorders>
            <w:tcMar>
              <w:top w:w="28" w:type="dxa"/>
            </w:tcMar>
            <w:vAlign w:val="center"/>
          </w:tcPr>
          <w:p>
            <w:pPr>
              <w:pStyle w:val="TableContents"/>
              <w:bidi w:val="0"/>
              <w:spacing w:before="120" w:after="120"/>
              <w:ind w:left="0" w:right="0" w:hanging="0"/>
              <w:jc w:val="center"/>
              <w:rPr>
                <w:rFonts w:ascii="Times New Roman;Times;serif" w:hAnsi="Times New Roman;Times;serif"/>
                <w:sz w:val="24"/>
              </w:rPr>
            </w:pPr>
            <w:r>
              <w:rPr>
                <w:rFonts w:ascii="Times New Roman;Times;serif" w:hAnsi="Times New Roman;Times;serif"/>
                <w:sz w:val="24"/>
              </w:rPr>
              <w:t>Total Number of Companies in the Comparison Group Including the Company</w:t>
            </w:r>
          </w:p>
          <w:p>
            <w:pPr>
              <w:pStyle w:val="TableContents"/>
              <w:bidi w:val="0"/>
              <w:spacing w:before="0" w:after="0"/>
              <w:ind w:left="0" w:right="0" w:hanging="0"/>
              <w:jc w:val="center"/>
              <w:rPr/>
            </w:pPr>
            <w:r>
              <w:rPr/>
              <w:t>​</w:t>
            </w:r>
          </w:p>
        </w:tc>
      </w:tr>
    </w:tbl>
    <w:p>
      <w:pPr>
        <w:pStyle w:val="TextBody"/>
        <w:bidi w:val="0"/>
        <w:spacing w:before="0" w:after="0"/>
        <w:ind w:left="0" w:right="0" w:firstLine="720"/>
        <w:jc w:val="both"/>
        <w:rPr>
          <w:rFonts w:ascii="Times New Roman;Times;serif" w:hAnsi="Times New Roman;Times;serif"/>
          <w:sz w:val="24"/>
        </w:rPr>
      </w:pPr>
      <w:bookmarkStart w:id="2101" w:name="_Hlk29569813"/>
      <w:bookmarkEnd w:id="2101"/>
      <w:r>
        <w:rPr>
          <w:rFonts w:ascii="Times New Roman;Times;serif" w:hAnsi="Times New Roman;Times;serif"/>
          <w:sz w:val="24"/>
        </w:rPr>
        <w:t>In the event that the Company’s Total Shareholder Return for the Performance Period is equal to the Total Shareholder Return(s) of one or more other companies in the Comparison Group for that same period, the Company’s Total Shareholder Return Percentile Rank will be determined by ranking the Company’s Total Shareholder Return for that period as being greater than such other companies in the Comparison Group.</w:t>
      </w:r>
    </w:p>
    <w:p>
      <w:pPr>
        <w:pStyle w:val="TextBody"/>
        <w:bidi w:val="0"/>
        <w:spacing w:before="0" w:after="0"/>
        <w:ind w:left="0" w:right="0" w:firstLine="720"/>
        <w:jc w:val="left"/>
        <w:rPr/>
      </w:pPr>
      <w:r>
        <w:rPr/>
        <w:t>​</w:t>
      </w:r>
    </w:p>
    <w:p>
      <w:pPr>
        <w:pStyle w:val="TextBody"/>
        <w:bidi w:val="0"/>
        <w:spacing w:before="0" w:after="240"/>
        <w:ind w:left="630" w:right="0" w:hanging="0"/>
        <w:jc w:val="left"/>
        <w:rPr>
          <w:rFonts w:ascii="Times New Roman;Times;serif" w:hAnsi="Times New Roman;Times;serif"/>
          <w:sz w:val="24"/>
        </w:rPr>
      </w:pPr>
      <w:r>
        <w:rPr>
          <w:rFonts w:ascii="Times New Roman;Times;serif" w:hAnsi="Times New Roman;Times;serif"/>
          <w:color w:val="010000"/>
          <w:sz w:val="24"/>
        </w:rPr>
        <w:t>5.</w:t>
      </w:r>
      <w:r>
        <w:rPr>
          <w:rFonts w:ascii="Times New Roman;Times;serif" w:hAnsi="Times New Roman;Times;serif"/>
          <w:sz w:val="24"/>
          <w:u w:val="single"/>
        </w:rPr>
        <w:t>Calculation of Number of Vested Performance Shares</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percent of Performance Shares that vest shall then be determined based on the following chart:</w:t>
      </w:r>
    </w:p>
    <w:tbl>
      <w:tblPr>
        <w:tblW w:w="6966" w:type="dxa"/>
        <w:jc w:val="left"/>
        <w:tblInd w:w="0" w:type="dxa"/>
        <w:tblLayout w:type="fixed"/>
        <w:tblCellMar>
          <w:top w:w="0" w:type="dxa"/>
          <w:left w:w="0" w:type="dxa"/>
          <w:bottom w:w="28" w:type="dxa"/>
          <w:right w:w="0" w:type="dxa"/>
        </w:tblCellMar>
      </w:tblPr>
      <w:tblGrid>
        <w:gridCol w:w="3061"/>
        <w:gridCol w:w="109"/>
        <w:gridCol w:w="3796"/>
      </w:tblGrid>
      <w:tr>
        <w:trPr/>
        <w:tc>
          <w:tcPr>
            <w:tcW w:w="3061" w:type="dxa"/>
            <w:tcBorders>
              <w:bottom w:val="single" w:sz="2" w:space="0" w:color="000000"/>
            </w:tcBorders>
            <w:vAlign w:val="center"/>
          </w:tcPr>
          <w:p>
            <w:pPr>
              <w:pStyle w:val="TableContents"/>
              <w:bidi w:val="0"/>
              <w:spacing w:before="120" w:after="120"/>
              <w:ind w:left="0" w:right="0" w:hanging="0"/>
              <w:jc w:val="center"/>
              <w:rPr>
                <w:rFonts w:ascii="Times New Roman;Times;serif" w:hAnsi="Times New Roman;Times;serif"/>
                <w:sz w:val="24"/>
              </w:rPr>
            </w:pPr>
            <w:r>
              <w:rPr>
                <w:rFonts w:ascii="Times New Roman;Times;serif" w:hAnsi="Times New Roman;Times;serif"/>
                <w:sz w:val="24"/>
              </w:rPr>
              <w:t>Company’s Percentile Rank</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3796" w:type="dxa"/>
            <w:tcBorders>
              <w:bottom w:val="single" w:sz="2" w:space="0" w:color="000000"/>
            </w:tcBorders>
            <w:vAlign w:val="center"/>
          </w:tcPr>
          <w:p>
            <w:pPr>
              <w:pStyle w:val="TableContents"/>
              <w:bidi w:val="0"/>
              <w:spacing w:before="120" w:after="120"/>
              <w:ind w:left="0" w:right="0" w:hanging="0"/>
              <w:jc w:val="center"/>
              <w:rPr>
                <w:rFonts w:ascii="Times New Roman;Times;serif" w:hAnsi="Times New Roman;Times;serif"/>
                <w:sz w:val="24"/>
              </w:rPr>
            </w:pPr>
            <w:r>
              <w:rPr>
                <w:rFonts w:ascii="Times New Roman;Times;serif" w:hAnsi="Times New Roman;Times;serif"/>
                <w:sz w:val="24"/>
              </w:rPr>
              <w:t>Percent of Performance Shares to Vest</w:t>
            </w:r>
          </w:p>
        </w:tc>
      </w:tr>
      <w:tr>
        <w:trPr/>
        <w:tc>
          <w:tcPr>
            <w:tcW w:w="3061" w:type="dxa"/>
            <w:tcBorders>
              <w:top w:val="single" w:sz="2" w:space="0" w:color="000000"/>
            </w:tcBorders>
            <w:tcMar>
              <w:top w:w="28" w:type="dxa"/>
              <w:bottom w:w="0" w:type="dxa"/>
            </w:tcMar>
            <w:vAlign w:val="center"/>
          </w:tcPr>
          <w:p>
            <w:pPr>
              <w:pStyle w:val="TableContents"/>
              <w:bidi w:val="0"/>
              <w:spacing w:before="40" w:after="40"/>
              <w:ind w:left="0" w:right="0" w:hanging="0"/>
              <w:jc w:val="center"/>
              <w:rPr>
                <w:rFonts w:ascii="Times New Roman;Times;serif" w:hAnsi="Times New Roman;Times;serif"/>
                <w:sz w:val="24"/>
              </w:rPr>
            </w:pPr>
            <w:r>
              <w:rPr>
                <w:rFonts w:ascii="Times New Roman;Times;serif" w:hAnsi="Times New Roman;Times;serif"/>
                <w:sz w:val="24"/>
              </w:rPr>
              <w:t>75</w:t>
            </w:r>
            <w:r>
              <w:rPr>
                <w:rFonts w:ascii="Times New Roman;Times;serif" w:hAnsi="Times New Roman;Times;serif"/>
                <w:sz w:val="18"/>
              </w:rPr>
              <w:t>th</w:t>
            </w:r>
            <w:r>
              <w:rPr>
                <w:rFonts w:ascii="Times New Roman;Times;serif" w:hAnsi="Times New Roman;Times;serif"/>
                <w:sz w:val="24"/>
              </w:rPr>
              <w:t xml:space="preserve"> and above (“Outperform”)</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3796" w:type="dxa"/>
            <w:tcBorders>
              <w:top w:val="single" w:sz="2" w:space="0" w:color="000000"/>
            </w:tcBorders>
            <w:tcMar>
              <w:top w:w="28" w:type="dxa"/>
              <w:bottom w:w="0" w:type="dxa"/>
            </w:tcMar>
            <w:vAlign w:val="center"/>
          </w:tcPr>
          <w:p>
            <w:pPr>
              <w:pStyle w:val="TableContents"/>
              <w:bidi w:val="0"/>
              <w:spacing w:before="40" w:after="40"/>
              <w:ind w:left="0" w:right="0" w:hanging="0"/>
              <w:jc w:val="center"/>
              <w:rPr>
                <w:rFonts w:ascii="Times New Roman;Times;serif" w:hAnsi="Times New Roman;Times;serif"/>
                <w:sz w:val="24"/>
              </w:rPr>
            </w:pPr>
            <w:r>
              <w:rPr>
                <w:rFonts w:ascii="Times New Roman;Times;serif" w:hAnsi="Times New Roman;Times;serif"/>
                <w:sz w:val="24"/>
              </w:rPr>
              <w:t>200%</w:t>
            </w:r>
          </w:p>
        </w:tc>
      </w:tr>
      <w:tr>
        <w:trPr/>
        <w:tc>
          <w:tcPr>
            <w:tcW w:w="3061" w:type="dxa"/>
            <w:tcBorders/>
            <w:tcMar>
              <w:bottom w:w="0" w:type="dxa"/>
            </w:tcMar>
            <w:vAlign w:val="center"/>
          </w:tcPr>
          <w:p>
            <w:pPr>
              <w:pStyle w:val="TableContents"/>
              <w:bidi w:val="0"/>
              <w:spacing w:before="40" w:after="40"/>
              <w:ind w:left="0" w:right="0" w:hanging="0"/>
              <w:jc w:val="center"/>
              <w:rPr>
                <w:rFonts w:ascii="Times New Roman;Times;serif" w:hAnsi="Times New Roman;Times;serif"/>
                <w:sz w:val="24"/>
              </w:rPr>
            </w:pPr>
            <w:r>
              <w:rPr>
                <w:rFonts w:ascii="Times New Roman;Times;serif" w:hAnsi="Times New Roman;Times;serif"/>
                <w:sz w:val="24"/>
              </w:rPr>
              <w:t>51</w:t>
            </w:r>
            <w:r>
              <w:rPr>
                <w:rFonts w:ascii="Times New Roman;Times;serif" w:hAnsi="Times New Roman;Times;serif"/>
                <w:sz w:val="18"/>
              </w:rPr>
              <w:t>st</w:t>
            </w:r>
            <w:r>
              <w:rPr>
                <w:rFonts w:ascii="Times New Roman;Times;serif" w:hAnsi="Times New Roman;Times;serif"/>
                <w:sz w:val="24"/>
              </w:rPr>
              <w:t xml:space="preserve"> (“Target”)</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3796" w:type="dxa"/>
            <w:tcBorders/>
            <w:tcMar>
              <w:bottom w:w="0" w:type="dxa"/>
            </w:tcMar>
            <w:vAlign w:val="center"/>
          </w:tcPr>
          <w:p>
            <w:pPr>
              <w:pStyle w:val="TableContents"/>
              <w:bidi w:val="0"/>
              <w:spacing w:before="40" w:after="40"/>
              <w:ind w:left="0" w:right="0" w:hanging="0"/>
              <w:jc w:val="center"/>
              <w:rPr>
                <w:rFonts w:ascii="Times New Roman;Times;serif" w:hAnsi="Times New Roman;Times;serif"/>
                <w:sz w:val="24"/>
              </w:rPr>
            </w:pPr>
            <w:r>
              <w:rPr>
                <w:rFonts w:ascii="Times New Roman;Times;serif" w:hAnsi="Times New Roman;Times;serif"/>
                <w:sz w:val="24"/>
              </w:rPr>
              <w:t>100%</w:t>
            </w:r>
          </w:p>
        </w:tc>
      </w:tr>
      <w:tr>
        <w:trPr/>
        <w:tc>
          <w:tcPr>
            <w:tcW w:w="3061" w:type="dxa"/>
            <w:tcBorders/>
            <w:tcMar>
              <w:bottom w:w="0" w:type="dxa"/>
            </w:tcMar>
            <w:vAlign w:val="center"/>
          </w:tcPr>
          <w:p>
            <w:pPr>
              <w:pStyle w:val="TableContents"/>
              <w:bidi w:val="0"/>
              <w:spacing w:before="40" w:after="40"/>
              <w:ind w:left="0" w:right="0" w:hanging="0"/>
              <w:jc w:val="center"/>
              <w:rPr>
                <w:rFonts w:ascii="Times New Roman;Times;serif" w:hAnsi="Times New Roman;Times;serif"/>
                <w:sz w:val="24"/>
              </w:rPr>
            </w:pPr>
            <w:r>
              <w:rPr>
                <w:rFonts w:ascii="Times New Roman;Times;serif" w:hAnsi="Times New Roman;Times;serif"/>
                <w:sz w:val="24"/>
              </w:rPr>
              <w:t>34</w:t>
            </w:r>
            <w:r>
              <w:rPr>
                <w:rFonts w:ascii="Times New Roman;Times;serif" w:hAnsi="Times New Roman;Times;serif"/>
                <w:sz w:val="18"/>
              </w:rPr>
              <w:t>th</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3796" w:type="dxa"/>
            <w:tcBorders/>
            <w:tcMar>
              <w:bottom w:w="0" w:type="dxa"/>
            </w:tcMar>
            <w:vAlign w:val="center"/>
          </w:tcPr>
          <w:p>
            <w:pPr>
              <w:pStyle w:val="TableContents"/>
              <w:bidi w:val="0"/>
              <w:spacing w:before="40" w:after="40"/>
              <w:ind w:left="0" w:right="0" w:hanging="0"/>
              <w:jc w:val="center"/>
              <w:rPr>
                <w:rFonts w:ascii="Times New Roman;Times;serif" w:hAnsi="Times New Roman;Times;serif"/>
                <w:sz w:val="24"/>
              </w:rPr>
            </w:pPr>
            <w:r>
              <w:rPr>
                <w:rFonts w:ascii="Times New Roman;Times;serif" w:hAnsi="Times New Roman;Times;serif"/>
                <w:sz w:val="24"/>
              </w:rPr>
              <w:t>50%</w:t>
            </w:r>
          </w:p>
        </w:tc>
      </w:tr>
      <w:tr>
        <w:trPr/>
        <w:tc>
          <w:tcPr>
            <w:tcW w:w="3061" w:type="dxa"/>
            <w:tcBorders/>
            <w:tcMar>
              <w:bottom w:w="0" w:type="dxa"/>
            </w:tcMar>
            <w:vAlign w:val="center"/>
          </w:tcPr>
          <w:p>
            <w:pPr>
              <w:pStyle w:val="TableContents"/>
              <w:bidi w:val="0"/>
              <w:spacing w:before="40" w:after="40"/>
              <w:ind w:left="0" w:right="0" w:hanging="0"/>
              <w:jc w:val="center"/>
              <w:rPr>
                <w:rFonts w:ascii="Times New Roman;Times;serif" w:hAnsi="Times New Roman;Times;serif"/>
                <w:sz w:val="24"/>
              </w:rPr>
            </w:pPr>
            <w:r>
              <w:rPr>
                <w:rFonts w:ascii="Times New Roman;Times;serif" w:hAnsi="Times New Roman;Times;serif"/>
                <w:sz w:val="24"/>
              </w:rPr>
              <w:t>Below 34</w:t>
            </w:r>
            <w:r>
              <w:rPr>
                <w:rFonts w:ascii="Times New Roman;Times;serif" w:hAnsi="Times New Roman;Times;serif"/>
                <w:sz w:val="18"/>
              </w:rPr>
              <w:t>th</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3796" w:type="dxa"/>
            <w:tcBorders/>
            <w:tcMar>
              <w:bottom w:w="0" w:type="dxa"/>
            </w:tcMar>
            <w:vAlign w:val="center"/>
          </w:tcPr>
          <w:p>
            <w:pPr>
              <w:pStyle w:val="TableContents"/>
              <w:bidi w:val="0"/>
              <w:spacing w:before="40" w:after="40"/>
              <w:ind w:left="0" w:right="0" w:hanging="0"/>
              <w:jc w:val="center"/>
              <w:rPr>
                <w:rFonts w:ascii="Times New Roman;Times;serif" w:hAnsi="Times New Roman;Times;serif"/>
                <w:sz w:val="24"/>
              </w:rPr>
            </w:pPr>
            <w:r>
              <w:rPr>
                <w:rFonts w:ascii="Times New Roman;Times;serif" w:hAnsi="Times New Roman;Times;serif"/>
                <w:sz w:val="24"/>
              </w:rPr>
              <w:t>0%</w:t>
            </w:r>
          </w:p>
        </w:tc>
      </w:tr>
    </w:tbl>
    <w:p>
      <w:pPr>
        <w:pStyle w:val="TextBody"/>
        <w:bidi w:val="0"/>
        <w:spacing w:before="240" w:after="240"/>
        <w:ind w:left="0" w:right="0" w:firstLine="720"/>
        <w:jc w:val="both"/>
        <w:rPr>
          <w:rFonts w:ascii="Times New Roman;Times;serif" w:hAnsi="Times New Roman;Times;serif"/>
          <w:sz w:val="24"/>
        </w:rPr>
      </w:pPr>
      <w:r>
        <w:rPr>
          <w:rFonts w:ascii="Times New Roman;Times;serif" w:hAnsi="Times New Roman;Times;serif"/>
          <w:sz w:val="24"/>
        </w:rPr>
        <w:t xml:space="preserve">Interpolation shall be used to determine the percent of Performance Shares that vest in the event the Company’s Percentile Rank does not fall directly on one of the ranks listed in the above chart.  Once the percent of Performance Shares to vest has been determined, the percent shall be multiplied by the number of Performance Shares awarded to determine the actual number of Performance Shares that vest, rounded to the next highest whole share.  All Performance Shares that do not vest in accordance with this </w:t>
      </w:r>
      <w:r>
        <w:rPr>
          <w:rFonts w:ascii="Times New Roman;Times;serif" w:hAnsi="Times New Roman;Times;serif"/>
          <w:b/>
          <w:sz w:val="24"/>
        </w:rPr>
        <w:t>Exhibit A</w:t>
      </w:r>
      <w:r>
        <w:rPr>
          <w:rFonts w:ascii="Times New Roman;Times;serif" w:hAnsi="Times New Roman;Times;serif"/>
          <w:sz w:val="24"/>
        </w:rPr>
        <w:t xml:space="preserve"> shall be automatically forfeited and canceled.</w:t>
      </w:r>
    </w:p>
    <w:p>
      <w:pPr>
        <w:pStyle w:val="TextBody"/>
        <w:bidi w:val="0"/>
        <w:spacing w:before="240" w:after="240"/>
        <w:ind w:left="0" w:right="0" w:hanging="0"/>
        <w:jc w:val="left"/>
        <w:rPr>
          <w:rFonts w:ascii="Times New Roman;Times;serif" w:hAnsi="Times New Roman;Times;serif"/>
          <w:sz w:val="24"/>
        </w:rPr>
      </w:pPr>
      <w:r>
        <w:rPr>
          <w:rFonts w:ascii="Times New Roman;Times;serif" w:hAnsi="Times New Roman;Times;serif"/>
          <w:sz w:val="24"/>
        </w:rPr>
        <w:t>6.</w:t>
      </w:r>
      <w:r>
        <w:rPr>
          <w:rFonts w:ascii="Times New Roman;Times;serif" w:hAnsi="Times New Roman;Times;serif"/>
          <w:sz w:val="24"/>
          <w:u w:val="single"/>
        </w:rPr>
        <w:t>Absolute TSR Governor</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Notwithstanding anything set forth in Section 5 above, and regardless of the Company’s Percentile Rank, if the Company’s Total Shareholder Return for the Performance Period does not exceed 3% per annum, then the number of Performance Shares that vest pursuant to Section 5 shall not exceed the vesting percentage corresponding to the Company’s “Target” percentile rank.</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A-3</w:t>
      </w:r>
    </w:p>
    <w:p>
      <w:pPr>
        <w:pStyle w:val="TextBody"/>
        <w:bidi w:val="0"/>
        <w:spacing w:before="0" w:after="0"/>
        <w:ind w:left="0" w:right="0" w:hanging="0"/>
        <w:jc w:val="righ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i/>
          <w:sz w:val="24"/>
        </w:rPr>
      </w:pPr>
      <w:r>
        <w:rPr>
          <w:rFonts w:ascii="Times New Roman;Times;serif" w:hAnsi="Times New Roman;Times;serif"/>
          <w:b/>
          <w:i/>
          <w:sz w:val="24"/>
        </w:rPr>
        <w:t>UPDATED AS OF 2/2/2026</w:t>
      </w:r>
    </w:p>
    <w:p>
      <w:pPr>
        <w:pStyle w:val="TextBody"/>
        <w:bidi w:val="0"/>
        <w:spacing w:before="120" w:after="240"/>
        <w:ind w:left="0" w:right="0" w:hanging="0"/>
        <w:jc w:val="center"/>
        <w:rPr>
          <w:rFonts w:ascii="Times New Roman;Times;serif" w:hAnsi="Times New Roman;Times;serif"/>
          <w:b/>
          <w:sz w:val="24"/>
        </w:rPr>
      </w:pPr>
      <w:r>
        <w:rPr>
          <w:rFonts w:ascii="Times New Roman;Times;serif" w:hAnsi="Times New Roman;Times;serif"/>
          <w:b/>
          <w:sz w:val="24"/>
        </w:rPr>
        <w:t>SCHEDULE A-1</w:t>
      </w:r>
    </w:p>
    <w:p>
      <w:pPr>
        <w:pStyle w:val="TextBody"/>
        <w:bidi w:val="0"/>
        <w:spacing w:before="0" w:after="0"/>
        <w:ind w:left="1800" w:right="0" w:hanging="0"/>
        <w:jc w:val="left"/>
        <w:rPr>
          <w:rFonts w:ascii="Times New Roman;Times;serif" w:hAnsi="Times New Roman;Times;serif"/>
          <w:b/>
          <w:sz w:val="24"/>
        </w:rPr>
      </w:pPr>
      <w:r>
        <w:rPr>
          <w:rFonts w:ascii="Times New Roman;Times;serif" w:hAnsi="Times New Roman;Times;serif"/>
          <w:b/>
          <w:sz w:val="24"/>
        </w:rPr>
        <w:t>Company NameTicker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Acadia Realty TrustAKR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Agree Realty CorpADC</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Alexander &amp; Baldwin IncALEX</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Alexander's IncALX</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Alexandria Real Estate Equities, Inc.ARE</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American Assets Trust IncAAT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American Healthcare REIT IncAHR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American Homes 4 RentAMH</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Americold Realty Trust IncCOLD</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Apartment Investment &amp; Management CoAIV</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Apple Hospitality REIT IncAPLE</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Armada Hoffler Properties IncAHH</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AvalonBay Communities IncAVB</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Boston Properties IncBXP</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Brandywine Realty TrustBDN</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Brixmor Property Group IncBRX</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Broadstone Net Lease IncBNL</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Camden Property TrustCPT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CareTrust REIT IncCTRE</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CBL &amp; Associates Properties IncCBL</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CenterspaceCSR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COPT Defense PropertiesCDP</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Cousins Properties IncCUZ</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CubeSmartCUBE</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Curbline Properties CorpCURB</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DiamondRock Hospitality CoDRH</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Digital Realty Trust IncDLR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Diversified Healthcare TrustDHC</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Douglas Emmett IncDEI</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Easterly Government Properties IncDEA</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EastGroup Properties IncEGP</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Empire State Realty Trust IncESRT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EPR PropertiesEPR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Equinix IncEQIX</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Equity Lifestyle Properties IncELS</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Equity ResidentialEQR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Essential Properties Realty Trust IncEPRT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Essex Property Trust IncESS</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Extra Space Storage IncEXR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Federal Realty Investment TrustFRT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First Industrial Realty Trust IncFR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Four Corners Property Trust IncFCPT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Schedule A-1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Page 1</w:t>
      </w:r>
      <w:r>
        <w:rPr>
          <w:rFonts w:ascii="Times New Roman;Times;serif" w:hAnsi="Times New Roman;Times;serif"/>
          <w:sz w:val="20"/>
        </w:rPr>
        <w:t xml:space="preserve"> </w:t>
      </w:r>
      <w:r>
        <w:rPr>
          <w:rFonts w:ascii="Times New Roman;Times;serif" w:hAnsi="Times New Roman;Times;serif"/>
          <w:i/>
          <w:sz w:val="20"/>
        </w:rPr>
        <w:t>of 3</w:t>
      </w:r>
    </w:p>
    <w:p>
      <w:pPr>
        <w:pStyle w:val="HorizontalLine"/>
        <w:pBdr>
          <w:bottom w:val="double" w:sz="2" w:space="0" w:color="808080"/>
        </w:pBdr>
        <w:bidi w:val="0"/>
        <w:spacing w:before="0" w:after="283"/>
        <w:jc w:val="left"/>
        <w:rPr/>
      </w:pPr>
      <w:r>
        <w:rPr/>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Gaming &amp; Leisure Properties IncGLPI</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Getty Realty CorpGTY</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Gladstone Commercial CorpGOOD</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Global Net Lease IncGNL</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Healthcare Realty Trust IncHR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Healthpeak Properties IncDOC</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Highwoods Properties IncHIW</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Host Hotels &amp; ResortsHST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Hudson Pacific Properties IncHPP</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Independence Realty Trust IncIRT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Innovative Industrial Properties IncIIPR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InvenTrust Properties CorpIVT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Invitation Homes IncINVH</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Iron Mountain IncIRM</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JBG Smith PropertiesJBGS</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Kilroy Realty CorpKRC</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Kimco Realty CorpKIM</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Kite Realty Group TrustKRG</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Lineage, Inc.LINE</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LTC Properties IncLTC</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LXP Industrial TrustLXP</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Macerich Co, TheMAC</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Medical Properties Trust IncMPW</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Mid-America Apartment Communities IncMAA</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Millrose Properties Inc.MRP</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National Health Investors IncNHI</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National Storage Affiliates TrustNSA</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NETSTREIT CorpNTST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NexPoint Residential Trust IncNXRT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NNN REIT IncNNN</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Omega Healthcare Investors IncOHI</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Park Hotels &amp; Resorts IncPK</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Pebblebrook Hotel TrustPEB</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Phillips Edison &amp; Co IncPECO</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Piedmont Office Realty TrustPDM</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Prologis IncPLD</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Public StoragePSA</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Realty Income CorpO</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Regency Centers CorpREG</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Rexford Industrial Realty IncREXR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RLJ Lodging TrustRLJ</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Ryman Hospitality PropertiesRHP</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Sabra Health Care REIT IncSBRA</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Safehold IncSAFE</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Saul Centers IncBFS</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Sila Realty Trust Inc.SILA</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Schedule A-1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Page 2</w:t>
      </w:r>
      <w:r>
        <w:rPr>
          <w:rFonts w:ascii="Times New Roman;Times;serif" w:hAnsi="Times New Roman;Times;serif"/>
          <w:sz w:val="20"/>
        </w:rPr>
        <w:t xml:space="preserve"> </w:t>
      </w:r>
      <w:r>
        <w:rPr>
          <w:rFonts w:ascii="Times New Roman;Times;serif" w:hAnsi="Times New Roman;Times;serif"/>
          <w:i/>
          <w:sz w:val="20"/>
        </w:rPr>
        <w:t>of 3</w:t>
      </w:r>
    </w:p>
    <w:p>
      <w:pPr>
        <w:pStyle w:val="HorizontalLine"/>
        <w:pBdr>
          <w:bottom w:val="double" w:sz="2" w:space="0" w:color="808080"/>
        </w:pBdr>
        <w:bidi w:val="0"/>
        <w:spacing w:before="0" w:after="283"/>
        <w:jc w:val="left"/>
        <w:rPr/>
      </w:pPr>
      <w:r>
        <w:rPr/>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Simon Property Group IncSPG</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SL Green Realty CorpSLG</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Smartshop Self Storage REIT, Inc.SMA</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STAG Industrial IncSTAG</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Summit Hotel Properties IncINN</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Sun Communities IncSUI</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Sunstone Hotel Investors IncSHO</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Tanger IncSKT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Terreno Realty CorpTRNO</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UDR IncUDR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UMH Properties IncUMH</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Urban Edge PropertiesUE</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Ventas IncVTR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Veris Residential IncVRE</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VICI Properties IncVICI</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Vornado Realty TrustVNO</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W.P. Carey IncWPC</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Welltower IncWELL</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Whitestone REITWSR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Xenia Hotels &amp; Resorts IncXHR</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Schedule A-1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Page 3</w:t>
      </w:r>
      <w:r>
        <w:rPr>
          <w:rFonts w:ascii="Times New Roman;Times;serif" w:hAnsi="Times New Roman;Times;serif"/>
          <w:sz w:val="20"/>
        </w:rPr>
        <w:t xml:space="preserve"> </w:t>
      </w:r>
      <w:r>
        <w:rPr>
          <w:rFonts w:ascii="Times New Roman;Times;serif" w:hAnsi="Times New Roman;Times;serif"/>
          <w:i/>
          <w:sz w:val="20"/>
        </w:rPr>
        <w:t>of 3</w:t>
      </w:r>
    </w:p>
    <w:p>
      <w:pPr>
        <w:pStyle w:val="HorizontalLine"/>
        <w:pBdr>
          <w:bottom w:val="double" w:sz="2" w:space="0" w:color="808080"/>
        </w:pBdr>
        <w:bidi w:val="0"/>
        <w:spacing w:before="0" w:after="283"/>
        <w:jc w:val="left"/>
        <w:rPr/>
      </w:pPr>
      <w:r>
        <w:rPr/>
      </w:r>
    </w:p>
    <w:p>
      <w:pPr>
        <w:pStyle w:val="TextBody"/>
        <w:bidi w:val="0"/>
        <w:spacing w:lineRule="atLeast" w:line="142" w:before="0" w:after="0"/>
        <w:ind w:left="0" w:right="0" w:hanging="0"/>
        <w:jc w:val="left"/>
        <w:rPr/>
      </w:pPr>
      <w:bookmarkStart w:id="2102" w:name="cto-20260630xex31d1.htm"/>
      <w:bookmarkStart w:id="2103" w:name="kscto20260630xex31d1"/>
      <w:bookmarkEnd w:id="2102"/>
      <w:bookmarkEnd w:id="2103"/>
      <w:r>
        <w:rPr/>
        <w:t>​</w:t>
      </w:r>
      <w:r>
        <w:br w:type="page"/>
      </w:r>
    </w:p>
    <w:p>
      <w:pPr>
        <w:pStyle w:val="TextBody"/>
        <w:bidi w:val="0"/>
        <w:spacing w:before="0" w:after="200"/>
        <w:ind w:left="0" w:right="0" w:hanging="0"/>
        <w:jc w:val="right"/>
        <w:rPr>
          <w:rFonts w:ascii="Times New Roman;Times;serif" w:hAnsi="Times New Roman;Times;serif"/>
          <w:b/>
          <w:sz w:val="20"/>
        </w:rPr>
      </w:pPr>
      <w:r>
        <w:rPr>
          <w:rFonts w:ascii="Times New Roman;Times;serif" w:hAnsi="Times New Roman;Times;serif"/>
          <w:b/>
          <w:sz w:val="20"/>
        </w:rPr>
        <w:t>Exhibit 31.1</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John P. Albright, certify that:</w:t>
      </w:r>
    </w:p>
    <w:tbl>
      <w:tblPr>
        <w:tblW w:w="6715" w:type="dxa"/>
        <w:jc w:val="left"/>
        <w:tblInd w:w="0" w:type="dxa"/>
        <w:tblLayout w:type="fixed"/>
        <w:tblCellMar>
          <w:top w:w="0" w:type="dxa"/>
          <w:left w:w="0" w:type="dxa"/>
          <w:bottom w:w="0" w:type="dxa"/>
          <w:right w:w="0" w:type="dxa"/>
        </w:tblCellMar>
      </w:tblPr>
      <w:tblGrid>
        <w:gridCol w:w="170"/>
        <w:gridCol w:w="654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CTO Realty Growth,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Date: July 28, 2026</w:t>
      </w:r>
    </w:p>
    <w:tbl>
      <w:tblPr>
        <w:tblW w:w="3886" w:type="dxa"/>
        <w:jc w:val="left"/>
        <w:tblInd w:w="0" w:type="dxa"/>
        <w:tblLayout w:type="fixed"/>
        <w:tblCellMar>
          <w:top w:w="0" w:type="dxa"/>
          <w:left w:w="0" w:type="dxa"/>
          <w:bottom w:w="0" w:type="dxa"/>
          <w:right w:w="0" w:type="dxa"/>
        </w:tblCellMar>
      </w:tblPr>
      <w:tblGrid>
        <w:gridCol w:w="421"/>
        <w:gridCol w:w="146"/>
        <w:gridCol w:w="2614"/>
        <w:gridCol w:w="551"/>
        <w:gridCol w:w="154"/>
      </w:tblGrid>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92710" cy="175260"/>
                      <wp:effectExtent l="0" t="0" r="0" b="0"/>
                      <wp:wrapNone/>
                      <wp:docPr id="527" name="Frame52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4" w:type="dxa"/>
            <w:tcBorders/>
            <w:vAlign w:val="center"/>
          </w:tcPr>
          <w:p>
            <w:pPr>
              <w:pStyle w:val="TableContents"/>
              <w:bidi w:val="0"/>
              <w:spacing w:before="0" w:after="0"/>
              <w:ind w:left="0" w:right="0" w:hanging="0"/>
              <w:jc w:val="left"/>
              <w:rPr/>
            </w:pPr>
            <w:r>
              <w:rPr/>
              <w:t>​</w:t>
            </w:r>
          </w:p>
        </w:tc>
        <w:tc>
          <w:tcPr>
            <w:tcW w:w="705" w:type="dxa"/>
            <w:gridSpan w:val="2"/>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P. Albright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P. Albright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2104" w:name="cto-20260630xex31d2.htm"/>
      <w:bookmarkStart w:id="2105" w:name="kscto20260630xex31d2"/>
      <w:bookmarkEnd w:id="2104"/>
      <w:bookmarkEnd w:id="2105"/>
      <w:r>
        <w:rPr>
          <w:rFonts w:ascii="Times New Roman;Times;serif" w:hAnsi="Times New Roman;Times;serif"/>
          <w:b/>
          <w:sz w:val="20"/>
        </w:rPr>
        <w:t>Exhibit 31.2</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Philip R. Mays, certify that:</w:t>
      </w:r>
    </w:p>
    <w:tbl>
      <w:tblPr>
        <w:tblW w:w="6715" w:type="dxa"/>
        <w:jc w:val="left"/>
        <w:tblInd w:w="0" w:type="dxa"/>
        <w:tblLayout w:type="fixed"/>
        <w:tblCellMar>
          <w:top w:w="0" w:type="dxa"/>
          <w:left w:w="0" w:type="dxa"/>
          <w:bottom w:w="0" w:type="dxa"/>
          <w:right w:w="0" w:type="dxa"/>
        </w:tblCellMar>
      </w:tblPr>
      <w:tblGrid>
        <w:gridCol w:w="170"/>
        <w:gridCol w:w="654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CTO Realty Growth,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Date: July 28, 2026</w:t>
      </w:r>
    </w:p>
    <w:tbl>
      <w:tblPr>
        <w:tblW w:w="6961" w:type="dxa"/>
        <w:jc w:val="left"/>
        <w:tblInd w:w="0" w:type="dxa"/>
        <w:tblLayout w:type="fixed"/>
        <w:tblCellMar>
          <w:top w:w="0" w:type="dxa"/>
          <w:left w:w="0" w:type="dxa"/>
          <w:bottom w:w="0" w:type="dxa"/>
          <w:right w:w="0" w:type="dxa"/>
        </w:tblCellMar>
      </w:tblPr>
      <w:tblGrid>
        <w:gridCol w:w="421"/>
        <w:gridCol w:w="146"/>
        <w:gridCol w:w="5152"/>
        <w:gridCol w:w="1088"/>
        <w:gridCol w:w="154"/>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67335" cy="175260"/>
                      <wp:effectExtent l="0" t="0" r="0" b="0"/>
                      <wp:wrapNone/>
                      <wp:docPr id="528" name="Frame52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92710" cy="175260"/>
                      <wp:effectExtent l="0" t="0" r="0" b="0"/>
                      <wp:wrapNone/>
                      <wp:docPr id="529" name="Frame52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3271520" cy="175260"/>
                      <wp:effectExtent l="0" t="0" r="0" b="0"/>
                      <wp:wrapNone/>
                      <wp:docPr id="530" name="Frame530"/>
                      <a:graphic xmlns:a="http://schemas.openxmlformats.org/drawingml/2006/main">
                        <a:graphicData uri="http://schemas.microsoft.com/office/word/2010/wordprocessingShape">
                          <wps:wsp>
                            <wps:cNvSpPr txBox="1"/>
                            <wps:spPr>
                              <a:xfrm>
                                <a:off x="0" y="0"/>
                                <a:ext cx="3271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2"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788670" cy="175260"/>
                      <wp:effectExtent l="0" t="0" r="0" b="0"/>
                      <wp:wrapNone/>
                      <wp:docPr id="531" name="Frame531"/>
                      <a:graphic xmlns:a="http://schemas.openxmlformats.org/drawingml/2006/main">
                        <a:graphicData uri="http://schemas.microsoft.com/office/word/2010/wordprocessingShape">
                          <wps:wsp>
                            <wps:cNvSpPr txBox="1"/>
                            <wps:spPr>
                              <a:xfrm>
                                <a:off x="0" y="0"/>
                                <a:ext cx="788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624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R. Mays</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624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Philip R. Mays, Senior Vice President, Chief Financial Officer and Treasurer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106" w:name="cto-20260630xex32d1.htm"/>
      <w:bookmarkStart w:id="2107" w:name="kscto20260630xex32d1"/>
      <w:bookmarkEnd w:id="2106"/>
      <w:bookmarkEnd w:id="2107"/>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CTO Realty Growth, Inc. (the “Company”) on Form 10-Q for the period ended June 30, 2026, as filed with the Securities and Exchange Commission on the date hereof (the “Report”), I, John P. Albright, President and Chief Executive Officer of the Company, certify, pursuant to 18 U.S.C. Section 1350, as adopted pursuant to Section 906 of the Sarbanes-Oxley Act of 2002, that: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July 28, 2026</w:t>
      </w:r>
    </w:p>
    <w:tbl>
      <w:tblPr>
        <w:tblW w:w="3886" w:type="dxa"/>
        <w:jc w:val="center"/>
        <w:tblInd w:w="0" w:type="dxa"/>
        <w:tblLayout w:type="fixed"/>
        <w:tblCellMar>
          <w:top w:w="0" w:type="dxa"/>
          <w:left w:w="0" w:type="dxa"/>
          <w:bottom w:w="0" w:type="dxa"/>
          <w:right w:w="0" w:type="dxa"/>
        </w:tblCellMar>
      </w:tblPr>
      <w:tblGrid>
        <w:gridCol w:w="421"/>
        <w:gridCol w:w="146"/>
        <w:gridCol w:w="2614"/>
        <w:gridCol w:w="551"/>
        <w:gridCol w:w="154"/>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67335" cy="175260"/>
                      <wp:effectExtent l="0" t="0" r="0" b="0"/>
                      <wp:wrapNone/>
                      <wp:docPr id="532" name="Frame53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92710" cy="175260"/>
                      <wp:effectExtent l="0" t="0" r="0" b="0"/>
                      <wp:wrapNone/>
                      <wp:docPr id="533" name="Frame53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1659890" cy="175260"/>
                      <wp:effectExtent l="0" t="0" r="0" b="0"/>
                      <wp:wrapNone/>
                      <wp:docPr id="534" name="Frame534"/>
                      <a:graphic xmlns:a="http://schemas.openxmlformats.org/drawingml/2006/main">
                        <a:graphicData uri="http://schemas.microsoft.com/office/word/2010/wordprocessingShape">
                          <wps:wsp>
                            <wps:cNvSpPr txBox="1"/>
                            <wps:spPr>
                              <a:xfrm>
                                <a:off x="0" y="0"/>
                                <a:ext cx="1659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5"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448310" cy="175260"/>
                      <wp:effectExtent l="0" t="0" r="0" b="0"/>
                      <wp:wrapNone/>
                      <wp:docPr id="535" name="Frame535"/>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P. Albright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P. Albright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108" w:name="cto-20260630xex32d2.htm"/>
      <w:bookmarkStart w:id="2109" w:name="kscto20260630xex32d2"/>
      <w:bookmarkEnd w:id="2108"/>
      <w:bookmarkEnd w:id="2109"/>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CTO Realty Growth, Inc. (the “Company”) on Form 10-Q for the period ended June 30, 2026, as filed with the Securities and Exchange Commission on the date hereof (the “Report”), I, Philip R. Mays, Senior Vice President, Chief Financial Officer and Treasurer of the Company, certify, pursuant to 18 U.S.C. Section 1350, as adopted pursuant to Section 906 of the Sarbanes-Oxley Act of 2002, that: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July 28, 2026</w:t>
      </w:r>
    </w:p>
    <w:tbl>
      <w:tblPr>
        <w:tblW w:w="6961" w:type="dxa"/>
        <w:jc w:val="left"/>
        <w:tblInd w:w="0" w:type="dxa"/>
        <w:tblLayout w:type="fixed"/>
        <w:tblCellMar>
          <w:top w:w="0" w:type="dxa"/>
          <w:left w:w="0" w:type="dxa"/>
          <w:bottom w:w="0" w:type="dxa"/>
          <w:right w:w="0" w:type="dxa"/>
        </w:tblCellMar>
      </w:tblPr>
      <w:tblGrid>
        <w:gridCol w:w="421"/>
        <w:gridCol w:w="146"/>
        <w:gridCol w:w="5152"/>
        <w:gridCol w:w="1088"/>
        <w:gridCol w:w="154"/>
      </w:tblGrid>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92710" cy="175260"/>
                      <wp:effectExtent l="0" t="0" r="0" b="0"/>
                      <wp:wrapNone/>
                      <wp:docPr id="536" name="Frame53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52" w:type="dxa"/>
            <w:tcBorders/>
            <w:vAlign w:val="center"/>
          </w:tcPr>
          <w:p>
            <w:pPr>
              <w:pStyle w:val="TableContents"/>
              <w:bidi w:val="0"/>
              <w:spacing w:before="0" w:after="0"/>
              <w:ind w:left="0" w:right="0" w:hanging="0"/>
              <w:jc w:val="left"/>
              <w:rPr/>
            </w:pPr>
            <w:r>
              <w:rPr/>
              <w:t>​</w:t>
            </w:r>
          </w:p>
        </w:tc>
        <w:tc>
          <w:tcPr>
            <w:tcW w:w="1242" w:type="dxa"/>
            <w:gridSpan w:val="2"/>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624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R. Mays</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624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Philip R. Mays, Senior Vice President, Chief Financial Officer and Treasurer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PSMT">
    <w:charset w:val="01"/>
    <w:family w:val="auto"/>
    <w:pitch w:val="default"/>
  </w:font>
  <w:font w:name="Times New Roman Bol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0023795/000119312521023648/d113606dex31.htm" TargetMode="External"/><Relationship Id="rId3" Type="http://schemas.openxmlformats.org/officeDocument/2006/relationships/hyperlink" Target="https://www.sec.gov/Archives/edgar/data/23795/000119312521206336/d124719dex32.htm" TargetMode="External"/><Relationship Id="rId4" Type="http://schemas.openxmlformats.org/officeDocument/2006/relationships/hyperlink" Target="https://www.sec.gov/Archives/edgar/data/23795/000110465924043097/tm2410761d1_ex3-1.htm" TargetMode="External"/><Relationship Id="rId5" Type="http://schemas.openxmlformats.org/officeDocument/2006/relationships/hyperlink" Target="https://www.sec.gov/Archives/edgar/data/23795/000155837023001536/cto-20230216xex3d1.htm" TargetMode="External"/><Relationship Id="rId6" Type="http://schemas.openxmlformats.org/officeDocument/2006/relationships/hyperlink" Target="https://www.sec.gov/Archives/edgar/data/0000023795/000119312521023648/d113606dex4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31610</Words>
  <Characters>172634</Characters>
  <CharactersWithSpaces>206761</CharactersWithSpaces>
  <Paragraphs>8795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