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1522095</wp:posOffset>
            </wp:positionH>
            <wp:positionV relativeFrom="page">
              <wp:posOffset>2317115</wp:posOffset>
            </wp:positionV>
            <wp:extent cx="4752975" cy="3418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752975" cy="34188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228600</wp:posOffset>
                </wp:positionH>
                <wp:positionV relativeFrom="page">
                  <wp:posOffset>254000</wp:posOffset>
                </wp:positionV>
                <wp:extent cx="70866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50800">
                          <a:solidFill>
                            <a:srgbClr val="3B3B3B"/>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8pt,20pt" to="576pt,20pt" o:allowincell="f" strokecolor="#3B3B3B" strokeweight="4pt">
                <w10:wrap anchorx="page" anchory="page"/>
              </v:line>
            </w:pict>
          </mc:Fallback>
        </mc:AlternateConten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6"/>
          <w:szCs w:val="46"/>
          <w:b w:val="1"/>
          <w:bCs w:val="1"/>
          <w:color w:val="3B3B3B"/>
        </w:rPr>
        <w:t>2025 ANNUAL REPORT</w:t>
      </w:r>
    </w:p>
    <w:p>
      <w:pPr>
        <w:sectPr>
          <w:pgSz w:w="11880" w:h="15480" w:orient="portrait"/>
          <w:cols w:equalWidth="0" w:num="1">
            <w:col w:w="9000"/>
          </w:cols>
          <w:pgMar w:left="1440" w:top="1440" w:right="1440" w:bottom="57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5"/>
          <w:szCs w:val="45"/>
          <w:b w:val="1"/>
          <w:bCs w:val="1"/>
          <w:color w:val="3B3B3B"/>
        </w:rPr>
        <w:t>NYSE: CTO</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471170</wp:posOffset>
                </wp:positionV>
                <wp:extent cx="7086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50800">
                          <a:solidFill>
                            <a:srgbClr val="3B3B3B"/>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37.1pt" to="504pt,37.1pt" o:allowincell="f" strokecolor="#3B3B3B" strokeweight="4pt"/>
            </w:pict>
          </mc:Fallback>
        </mc:AlternateContent>
      </w:r>
    </w:p>
    <w:p>
      <w:pPr>
        <w:sectPr>
          <w:pgSz w:w="11880" w:h="15480" w:orient="portrait"/>
          <w:cols w:equalWidth="0" w:num="1">
            <w:col w:w="9000"/>
          </w:cols>
          <w:pgMar w:left="1440" w:top="1440" w:right="1440" w:bottom="577"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Dear Fellow CTO Shareholders,</w:t>
      </w:r>
    </w:p>
    <w:p>
      <w:pPr>
        <w:spacing w:after="0" w:line="263" w:lineRule="exact"/>
        <w:rPr>
          <w:sz w:val="20"/>
          <w:szCs w:val="20"/>
          <w:color w:val="auto"/>
        </w:rPr>
      </w:pPr>
    </w:p>
    <w:p>
      <w:pPr>
        <w:ind w:right="140"/>
        <w:spacing w:after="0" w:line="257" w:lineRule="auto"/>
        <w:rPr>
          <w:sz w:val="20"/>
          <w:szCs w:val="20"/>
          <w:color w:val="auto"/>
        </w:rPr>
      </w:pPr>
      <w:r>
        <w:rPr>
          <w:rFonts w:ascii="Arial" w:cs="Arial" w:eastAsia="Arial" w:hAnsi="Arial"/>
          <w:sz w:val="21"/>
          <w:szCs w:val="21"/>
          <w:color w:val="auto"/>
        </w:rPr>
        <w:t>In 2025, our performance was essentially in line with the RMZ. While perhaps not a standout year for either CTO or the broader sector from a stock performance perspective, CTO had a very good year from a leasing and investment activity perspective, which should ultimately further drive earnings and net asset value (NAV) growth in 2026 and beyond. We are also encouraged by the market recognition of the fundamental strength of the retail sector that we have certainly seen thus far in early 2026.</w:t>
      </w:r>
    </w:p>
    <w:p>
      <w:pPr>
        <w:spacing w:after="0" w:line="219" w:lineRule="exact"/>
        <w:rPr>
          <w:sz w:val="20"/>
          <w:szCs w:val="20"/>
          <w:color w:val="auto"/>
        </w:rPr>
      </w:pPr>
    </w:p>
    <w:p>
      <w:pPr>
        <w:ind w:right="160"/>
        <w:spacing w:after="0" w:line="255" w:lineRule="auto"/>
        <w:rPr>
          <w:sz w:val="20"/>
          <w:szCs w:val="20"/>
          <w:color w:val="auto"/>
        </w:rPr>
      </w:pPr>
      <w:r>
        <w:rPr>
          <w:rFonts w:ascii="Arial" w:cs="Arial" w:eastAsia="Arial" w:hAnsi="Arial"/>
          <w:sz w:val="21"/>
          <w:szCs w:val="21"/>
          <w:color w:val="auto"/>
        </w:rPr>
        <w:t>Notably, we believe we are well-positioned for meaningful earnings growth, which is reflected in our guidance for 2026. This growth is on the back of a busy 2025 during which we successfully leased over 671,000 square feet, and executed two property acquisitions for approximately $145 million. Importantly, as of year-end, approximately 85% of our portfolio is concentrated in high-growth states of Georgia, Florida, Texas, and North Carolina. These markets continue to benefit from strong population and job growth, making them increasingly attractive to retail tenants in contrast to slower-growing regions.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21"/>
          <w:szCs w:val="21"/>
          <w:color w:val="auto"/>
        </w:rPr>
        <w:t>In addition to the successful leasing efforts across our retail portfolio, we were also able to lease up our final remaining office asset to full occupancy. The Fidelity building in New Mexico became approximately 50% vacant when Fidelity exercised is right to partially terminate its lease at the end of November 2025. The same quarter, we leased all of the vacated space to the State of New Mexico, with rent commencement scheduled for the latter half of 2026. This lease is expected to contribute meaningfully to cash flow growth in 2027. With our portfolio approximately 96% leased as of year-end, we are focused on recycling capital out of fully stabilized, slower-growth assets and into higher-growth opportunities.</w:t>
      </w:r>
    </w:p>
    <w:p>
      <w:pPr>
        <w:spacing w:after="0" w:line="227"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Further, over the past 12 months, we have executed leases with a strong roster of tenants, including Dick’s Sporting Goods, Warby Parker, The Cheesecake Factory, Slick City, Bob’s Furniture, Williams-Sonoma, Pottery Barn, Foxtail Coffee, and Gap. Despite this operational momentum, we don’t believe our stock reflected this progress. As a result, we took advantage of the opportunity to repurchase shares at a meaningful discount to NAV, enhancing both earnings per share and NAV.</w:t>
      </w:r>
    </w:p>
    <w:p>
      <w:pPr>
        <w:spacing w:after="0" w:line="219" w:lineRule="exact"/>
        <w:rPr>
          <w:sz w:val="20"/>
          <w:szCs w:val="20"/>
          <w:color w:val="auto"/>
        </w:rPr>
      </w:pPr>
    </w:p>
    <w:p>
      <w:pPr>
        <w:ind w:right="100"/>
        <w:spacing w:after="0" w:line="269" w:lineRule="auto"/>
        <w:rPr>
          <w:sz w:val="20"/>
          <w:szCs w:val="20"/>
          <w:color w:val="auto"/>
        </w:rPr>
      </w:pPr>
      <w:r>
        <w:rPr>
          <w:rFonts w:ascii="Arial" w:cs="Arial" w:eastAsia="Arial" w:hAnsi="Arial"/>
          <w:sz w:val="20"/>
          <w:szCs w:val="20"/>
          <w:color w:val="auto"/>
        </w:rPr>
        <w:t>Early last year CTO, along with other shopping center REITs, was presented with sector-wide challenges, particularly due to tenant bankruptcies and store closures in late 2024 and 2025, including Big Lots, Joann, and Conn’s, which impacted our portfolio. While these vacancies were disruptive in the near term, they also created an opportunity to replace under-performing tenants whose leases were well below market rents. We have now re-leased nearly all of these spaces with an expected 60% blended increase in rent to more compelling tenants and stronger concepts, which we expect will drive increased traffic and improved asset quality. Income from these new leases will begin to materialize in 2026 as rent commences, with a more significant contribution expected in 2027.</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In 2025, we invested a total of over $165 million at an average yield of approximately 9% which, coupled with our successful leasing efforts, support our expectation of strong Core FFO growth in 2026. We also completed the sale of our Shops at Legacy property in Dallas for $78 million, achieving a low cap rate and strong price per square foot—which gave us capital to recycle into more favorable yielding assets at well below replacement cost. Proceeds from this sale were partially redeployed into the $65 million acquisition of the 509,000-square-foot Pompano Citi Centre in Fort Lauderdale. This investment aligns with our strategy, offering a high initial yield and attractive basis in a high-growth market. Additionally, the property presents an opportunity to lease roughly 100,000 square feet of vacant space (including unfinished shell space), providing meaningful potential embedded growth.</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continue to identify compelling acquisition opportunities below replacement cost, with embedded rent upside and accretive yields in strong markets—an ideal combination to create further value to CTO. A great example is our most recent acquisition in February 2026 of Palms Crossing, a 399,075-square-foot power center in McAllen, Texas for approximately $82 million. This region benefits from strong cross-border shopping demand, driving robust retail performance.</w:t>
      </w:r>
    </w:p>
    <w:p>
      <w:pPr>
        <w:sectPr>
          <w:pgSz w:w="11880" w:h="15480" w:orient="portrait"/>
          <w:cols w:equalWidth="0" w:num="1">
            <w:col w:w="10440"/>
          </w:cols>
          <w:pgMar w:left="720" w:top="1057" w:right="720" w:bottom="973" w:gutter="0" w:footer="0" w:header="0"/>
        </w:sectPr>
      </w:pPr>
    </w:p>
    <w:bookmarkStart w:id="2" w:name="page3"/>
    <w:bookmarkEnd w:id="2"/>
    <w:p>
      <w:pPr>
        <w:ind w:right="20"/>
        <w:spacing w:after="0" w:line="259" w:lineRule="auto"/>
        <w:rPr>
          <w:sz w:val="20"/>
          <w:szCs w:val="20"/>
          <w:color w:val="auto"/>
        </w:rPr>
      </w:pPr>
      <w:r>
        <w:rPr>
          <w:rFonts w:ascii="Arial" w:cs="Arial" w:eastAsia="Arial" w:hAnsi="Arial"/>
          <w:sz w:val="21"/>
          <w:szCs w:val="21"/>
          <w:color w:val="auto"/>
        </w:rPr>
        <w:t>While we remain active in pursuing acquisitions to grow our open-air retail portfolio, increased investor interest in the sector has made the acquisition environment more competitive. In response, we will continue to selectively dispose of lower-yielding, fully stabilized assets and redeploy capital into higher-yielding opportunities with stronger growth potential.</w:t>
      </w:r>
    </w:p>
    <w:p>
      <w:pPr>
        <w:spacing w:after="0" w:line="218" w:lineRule="exact"/>
        <w:rPr>
          <w:sz w:val="20"/>
          <w:szCs w:val="20"/>
          <w:color w:val="auto"/>
        </w:rPr>
      </w:pPr>
    </w:p>
    <w:p>
      <w:pPr>
        <w:ind w:right="80"/>
        <w:spacing w:after="0" w:line="259" w:lineRule="auto"/>
        <w:rPr>
          <w:sz w:val="20"/>
          <w:szCs w:val="20"/>
          <w:color w:val="auto"/>
        </w:rPr>
      </w:pPr>
      <w:r>
        <w:rPr>
          <w:rFonts w:ascii="Arial" w:cs="Arial" w:eastAsia="Arial" w:hAnsi="Arial"/>
          <w:sz w:val="21"/>
          <w:szCs w:val="21"/>
          <w:color w:val="auto"/>
        </w:rPr>
        <w:t>Beyond our wholly owned portfolio, we also benefited from growth in our approximately 15% ownership stake in Alpine Income Property Trust (NYSE: PINE). As Alpine resumes its growth trajectory with sector-leading FFO growth, CTO stands to benefit from increased management fees and increase dividend income. We also took advantage of market opportunities in 2025 to increase our investment in Alpine at attractive valuations.</w:t>
      </w:r>
    </w:p>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color w:val="auto"/>
        </w:rPr>
        <w:t>Finally, in our latest investor presentation, we highlighted additional sources of earnings growth from outparcel land within and adjacent to our existing shopping centers, where we are actively negotiating leases for tenant- driven developments. These investments are expected to contribute to earnings in 2027 and more meaningfully in 2028, providing a runway of long-term growth.</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We are proud of our team of 40 professionals, whose disciplined execution continues to drive results for CTO shareholders while also delivering value to our partners and fellow shareholders at Alpine. I also want to thank our Board of Directors for their wise counsel and support as we continue to be very active in unlocking and creating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172085</wp:posOffset>
            </wp:positionV>
            <wp:extent cx="980440" cy="791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980440" cy="791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22"/>
          <w:szCs w:val="22"/>
          <w:color w:val="auto"/>
        </w:rPr>
        <w:t>John P. Albright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606060"/>
        </w:rPr>
        <w:t>PERFORMANCE SCORECARD:</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24"/>
          <w:szCs w:val="24"/>
          <w:i w:val="1"/>
          <w:iCs w:val="1"/>
          <w:color w:val="auto"/>
        </w:rPr>
        <w:t>Total Return with Dividends Reinvested</w:t>
      </w:r>
    </w:p>
    <w:p>
      <w:pPr>
        <w:spacing w:after="0" w:line="217" w:lineRule="exact"/>
        <w:rPr>
          <w:sz w:val="20"/>
          <w:szCs w:val="20"/>
          <w:color w:val="auto"/>
        </w:rPr>
      </w:pPr>
    </w:p>
    <w:tbl>
      <w:tblPr>
        <w:tblLayout w:type="fixed"/>
        <w:tblInd w:w="1340" w:type="dxa"/>
        <w:tblCellMar>
          <w:top w:w="0" w:type="dxa"/>
          <w:left w:w="0" w:type="dxa"/>
          <w:bottom w:w="0" w:type="dxa"/>
          <w:right w:w="0" w:type="dxa"/>
        </w:tblCellMar>
      </w:tblPr>
      <w:tr>
        <w:trPr>
          <w:trHeight w:val="243"/>
        </w:trPr>
        <w:tc>
          <w:tcPr>
            <w:tcW w:w="2540" w:type="dxa"/>
            <w:vAlign w:val="bottom"/>
          </w:tcPr>
          <w:p>
            <w:pPr>
              <w:spacing w:after="0"/>
              <w:rPr>
                <w:sz w:val="21"/>
                <w:szCs w:val="21"/>
                <w:color w:val="auto"/>
              </w:rPr>
            </w:pPr>
          </w:p>
        </w:tc>
        <w:tc>
          <w:tcPr>
            <w:tcW w:w="1620" w:type="dxa"/>
            <w:vAlign w:val="bottom"/>
          </w:tcPr>
          <w:p>
            <w:pPr>
              <w:ind w:left="520"/>
              <w:spacing w:after="0"/>
              <w:rPr>
                <w:sz w:val="20"/>
                <w:szCs w:val="20"/>
                <w:color w:val="auto"/>
              </w:rPr>
            </w:pPr>
            <w:r>
              <w:rPr>
                <w:rFonts w:ascii="Arial" w:cs="Arial" w:eastAsia="Arial" w:hAnsi="Arial"/>
                <w:sz w:val="20"/>
                <w:szCs w:val="20"/>
                <w:b w:val="1"/>
                <w:bCs w:val="1"/>
                <w:color w:val="auto"/>
              </w:rPr>
              <w:t>CTO</w:t>
            </w:r>
          </w:p>
        </w:tc>
        <w:tc>
          <w:tcPr>
            <w:tcW w:w="1980" w:type="dxa"/>
            <w:vAlign w:val="bottom"/>
          </w:tcPr>
          <w:p>
            <w:pPr>
              <w:ind w:left="580"/>
              <w:spacing w:after="0"/>
              <w:rPr>
                <w:sz w:val="20"/>
                <w:szCs w:val="20"/>
                <w:color w:val="auto"/>
              </w:rPr>
            </w:pPr>
            <w:r>
              <w:rPr>
                <w:rFonts w:ascii="Arial" w:cs="Arial" w:eastAsia="Arial" w:hAnsi="Arial"/>
                <w:sz w:val="20"/>
                <w:szCs w:val="20"/>
                <w:b w:val="1"/>
                <w:bCs w:val="1"/>
                <w:color w:val="auto"/>
              </w:rPr>
              <w:t>Dividend</w:t>
            </w:r>
          </w:p>
        </w:tc>
        <w:tc>
          <w:tcPr>
            <w:tcW w:w="1800" w:type="dxa"/>
            <w:vAlign w:val="bottom"/>
            <w:gridSpan w:val="2"/>
          </w:tcPr>
          <w:p>
            <w:pPr>
              <w:ind w:left="640"/>
              <w:spacing w:after="0"/>
              <w:rPr>
                <w:sz w:val="20"/>
                <w:szCs w:val="20"/>
                <w:color w:val="auto"/>
              </w:rPr>
            </w:pPr>
            <w:r>
              <w:rPr>
                <w:rFonts w:ascii="Arial" w:cs="Arial" w:eastAsia="Arial" w:hAnsi="Arial"/>
                <w:sz w:val="20"/>
                <w:szCs w:val="20"/>
                <w:b w:val="1"/>
                <w:bCs w:val="1"/>
                <w:color w:val="auto"/>
              </w:rPr>
              <w:t>RMZ</w:t>
            </w:r>
          </w:p>
        </w:tc>
      </w:tr>
      <w:tr>
        <w:trPr>
          <w:trHeight w:val="23"/>
        </w:trPr>
        <w:tc>
          <w:tcPr>
            <w:tcW w:w="2540" w:type="dxa"/>
            <w:vAlign w:val="bottom"/>
            <w:tcBorders>
              <w:bottom w:val="single" w:sz="8" w:color="EBEBEB"/>
            </w:tcBorders>
          </w:tcPr>
          <w:p>
            <w:pPr>
              <w:spacing w:after="0"/>
              <w:rPr>
                <w:sz w:val="2"/>
                <w:szCs w:val="2"/>
                <w:color w:val="auto"/>
              </w:rPr>
            </w:pPr>
          </w:p>
        </w:tc>
        <w:tc>
          <w:tcPr>
            <w:tcW w:w="1620" w:type="dxa"/>
            <w:vAlign w:val="bottom"/>
            <w:tcBorders>
              <w:bottom w:val="single" w:sz="8" w:color="EBEBEB"/>
            </w:tcBorders>
          </w:tcPr>
          <w:p>
            <w:pPr>
              <w:spacing w:after="0"/>
              <w:rPr>
                <w:sz w:val="2"/>
                <w:szCs w:val="2"/>
                <w:color w:val="auto"/>
              </w:rPr>
            </w:pPr>
          </w:p>
        </w:tc>
        <w:tc>
          <w:tcPr>
            <w:tcW w:w="1980" w:type="dxa"/>
            <w:vAlign w:val="bottom"/>
            <w:tcBorders>
              <w:bottom w:val="single" w:sz="8" w:color="EBEBEB"/>
            </w:tcBorders>
          </w:tcPr>
          <w:p>
            <w:pPr>
              <w:spacing w:after="0"/>
              <w:rPr>
                <w:sz w:val="2"/>
                <w:szCs w:val="2"/>
                <w:color w:val="auto"/>
              </w:rPr>
            </w:pPr>
          </w:p>
        </w:tc>
        <w:tc>
          <w:tcPr>
            <w:tcW w:w="1620" w:type="dxa"/>
            <w:vAlign w:val="bottom"/>
            <w:tcBorders>
              <w:bottom w:val="single" w:sz="8" w:color="EBEBEB"/>
            </w:tcBorders>
          </w:tcPr>
          <w:p>
            <w:pPr>
              <w:spacing w:after="0"/>
              <w:rPr>
                <w:sz w:val="2"/>
                <w:szCs w:val="2"/>
                <w:color w:val="auto"/>
              </w:rPr>
            </w:pPr>
          </w:p>
        </w:tc>
        <w:tc>
          <w:tcPr>
            <w:tcW w:w="180" w:type="dxa"/>
            <w:vAlign w:val="bottom"/>
            <w:tcBorders>
              <w:bottom w:val="single" w:sz="8" w:color="EBEBEB"/>
            </w:tcBorders>
          </w:tcPr>
          <w:p>
            <w:pPr>
              <w:spacing w:after="0"/>
              <w:rPr>
                <w:sz w:val="2"/>
                <w:szCs w:val="2"/>
                <w:color w:val="auto"/>
              </w:rPr>
            </w:pPr>
          </w:p>
        </w:tc>
      </w:tr>
      <w:tr>
        <w:trPr>
          <w:trHeight w:val="282"/>
        </w:trPr>
        <w:tc>
          <w:tcPr>
            <w:tcW w:w="2540" w:type="dxa"/>
            <w:vAlign w:val="bottom"/>
            <w:tcBorders>
              <w:bottom w:val="single" w:sz="8" w:color="EBEBEB"/>
            </w:tcBorders>
          </w:tcPr>
          <w:p>
            <w:pPr>
              <w:jc w:val="right"/>
              <w:ind w:right="1080"/>
              <w:spacing w:after="0"/>
              <w:rPr>
                <w:sz w:val="20"/>
                <w:szCs w:val="20"/>
                <w:color w:val="auto"/>
              </w:rPr>
            </w:pPr>
            <w:r>
              <w:rPr>
                <w:rFonts w:ascii="Arial" w:cs="Arial" w:eastAsia="Arial" w:hAnsi="Arial"/>
                <w:sz w:val="20"/>
                <w:szCs w:val="20"/>
                <w:color w:val="auto"/>
              </w:rPr>
              <w:t>2025</w:t>
            </w:r>
          </w:p>
        </w:tc>
        <w:tc>
          <w:tcPr>
            <w:tcW w:w="162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6"/>
              </w:rPr>
              <w:t>1.7%</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7"/>
              </w:rPr>
              <w:t>1.52</w:t>
            </w:r>
          </w:p>
        </w:tc>
        <w:tc>
          <w:tcPr>
            <w:tcW w:w="1620" w:type="dxa"/>
            <w:vAlign w:val="bottom"/>
            <w:tcBorders>
              <w:bottom w:val="single" w:sz="8" w:color="EBEBEB"/>
            </w:tcBorders>
          </w:tcPr>
          <w:p>
            <w:pPr>
              <w:jc w:val="center"/>
              <w:ind w:left="80"/>
              <w:spacing w:after="0"/>
              <w:rPr>
                <w:sz w:val="20"/>
                <w:szCs w:val="20"/>
                <w:color w:val="auto"/>
              </w:rPr>
            </w:pPr>
            <w:r>
              <w:rPr>
                <w:rFonts w:ascii="Arial" w:cs="Arial" w:eastAsia="Arial" w:hAnsi="Arial"/>
                <w:sz w:val="20"/>
                <w:szCs w:val="20"/>
                <w:color w:val="auto"/>
                <w:w w:val="96"/>
              </w:rPr>
              <w:t>2.9%</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80"/>
              <w:spacing w:after="0"/>
              <w:rPr>
                <w:sz w:val="20"/>
                <w:szCs w:val="20"/>
                <w:color w:val="auto"/>
              </w:rPr>
            </w:pPr>
            <w:r>
              <w:rPr>
                <w:rFonts w:ascii="Arial" w:cs="Arial" w:eastAsia="Arial" w:hAnsi="Arial"/>
                <w:sz w:val="20"/>
                <w:szCs w:val="20"/>
                <w:color w:val="auto"/>
              </w:rPr>
              <w:t>2024</w:t>
            </w:r>
          </w:p>
        </w:tc>
        <w:tc>
          <w:tcPr>
            <w:tcW w:w="162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8"/>
              </w:rPr>
              <w:t>23.5%</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7"/>
              </w:rPr>
              <w:t>1.52</w:t>
            </w:r>
          </w:p>
        </w:tc>
        <w:tc>
          <w:tcPr>
            <w:tcW w:w="1620" w:type="dxa"/>
            <w:vAlign w:val="bottom"/>
            <w:tcBorders>
              <w:bottom w:val="single" w:sz="8" w:color="EBEBEB"/>
            </w:tcBorders>
          </w:tcPr>
          <w:p>
            <w:pPr>
              <w:jc w:val="center"/>
              <w:ind w:left="80"/>
              <w:spacing w:after="0"/>
              <w:rPr>
                <w:sz w:val="20"/>
                <w:szCs w:val="20"/>
                <w:color w:val="auto"/>
              </w:rPr>
            </w:pPr>
            <w:r>
              <w:rPr>
                <w:rFonts w:ascii="Arial" w:cs="Arial" w:eastAsia="Arial" w:hAnsi="Arial"/>
                <w:sz w:val="20"/>
                <w:szCs w:val="20"/>
                <w:color w:val="auto"/>
                <w:w w:val="96"/>
              </w:rPr>
              <w:t>8.8%</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2023</w:t>
            </w:r>
          </w:p>
        </w:tc>
        <w:tc>
          <w:tcPr>
            <w:tcW w:w="162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6"/>
              </w:rPr>
              <w:t>3.6%</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7"/>
              </w:rPr>
              <w:t>1.52</w:t>
            </w:r>
          </w:p>
        </w:tc>
        <w:tc>
          <w:tcPr>
            <w:tcW w:w="1620" w:type="dxa"/>
            <w:vAlign w:val="bottom"/>
            <w:tcBorders>
              <w:bottom w:val="single" w:sz="8" w:color="EBEBEB"/>
            </w:tcBorders>
          </w:tcPr>
          <w:p>
            <w:pPr>
              <w:jc w:val="center"/>
              <w:ind w:left="80"/>
              <w:spacing w:after="0"/>
              <w:rPr>
                <w:sz w:val="20"/>
                <w:szCs w:val="20"/>
                <w:color w:val="auto"/>
              </w:rPr>
            </w:pPr>
            <w:r>
              <w:rPr>
                <w:rFonts w:ascii="Arial" w:cs="Arial" w:eastAsia="Arial" w:hAnsi="Arial"/>
                <w:sz w:val="20"/>
                <w:szCs w:val="20"/>
                <w:color w:val="auto"/>
                <w:w w:val="98"/>
              </w:rPr>
              <w:t>13.7%</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2022</w:t>
            </w:r>
          </w:p>
        </w:tc>
        <w:tc>
          <w:tcPr>
            <w:tcW w:w="1620" w:type="dxa"/>
            <w:vAlign w:val="bottom"/>
            <w:tcBorders>
              <w:bottom w:val="single" w:sz="8" w:color="EBEBEB"/>
            </w:tcBorders>
          </w:tcPr>
          <w:p>
            <w:pPr>
              <w:jc w:val="center"/>
              <w:ind w:right="60"/>
              <w:spacing w:after="0"/>
              <w:rPr>
                <w:sz w:val="20"/>
                <w:szCs w:val="20"/>
                <w:color w:val="auto"/>
              </w:rPr>
            </w:pPr>
            <w:r>
              <w:rPr>
                <w:rFonts w:ascii="Arial" w:cs="Arial" w:eastAsia="Arial" w:hAnsi="Arial"/>
                <w:sz w:val="20"/>
                <w:szCs w:val="20"/>
                <w:color w:val="auto"/>
                <w:w w:val="91"/>
              </w:rPr>
              <w:t>(4.0%)</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7"/>
              </w:rPr>
              <w:t>1.49</w:t>
            </w:r>
          </w:p>
        </w:tc>
        <w:tc>
          <w:tcPr>
            <w:tcW w:w="1620" w:type="dxa"/>
            <w:vAlign w:val="bottom"/>
            <w:tcBorders>
              <w:bottom w:val="single" w:sz="8" w:color="EBEBEB"/>
            </w:tcBorders>
          </w:tcPr>
          <w:p>
            <w:pPr>
              <w:jc w:val="center"/>
              <w:ind w:left="20"/>
              <w:spacing w:after="0"/>
              <w:rPr>
                <w:sz w:val="20"/>
                <w:szCs w:val="20"/>
                <w:color w:val="auto"/>
              </w:rPr>
            </w:pPr>
            <w:r>
              <w:rPr>
                <w:rFonts w:ascii="Arial" w:cs="Arial" w:eastAsia="Arial" w:hAnsi="Arial"/>
                <w:sz w:val="20"/>
                <w:szCs w:val="20"/>
                <w:color w:val="auto"/>
                <w:w w:val="94"/>
              </w:rPr>
              <w:t>(24.5%)</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2021</w:t>
            </w:r>
          </w:p>
        </w:tc>
        <w:tc>
          <w:tcPr>
            <w:tcW w:w="162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8"/>
              </w:rPr>
              <w:t>56.9%</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7"/>
              </w:rPr>
              <w:t>1.33</w:t>
            </w:r>
          </w:p>
        </w:tc>
        <w:tc>
          <w:tcPr>
            <w:tcW w:w="1620" w:type="dxa"/>
            <w:vAlign w:val="bottom"/>
            <w:tcBorders>
              <w:bottom w:val="single" w:sz="8" w:color="EBEBEB"/>
            </w:tcBorders>
          </w:tcPr>
          <w:p>
            <w:pPr>
              <w:jc w:val="center"/>
              <w:ind w:left="80"/>
              <w:spacing w:after="0"/>
              <w:rPr>
                <w:sz w:val="20"/>
                <w:szCs w:val="20"/>
                <w:color w:val="auto"/>
              </w:rPr>
            </w:pPr>
            <w:r>
              <w:rPr>
                <w:rFonts w:ascii="Arial" w:cs="Arial" w:eastAsia="Arial" w:hAnsi="Arial"/>
                <w:sz w:val="20"/>
                <w:szCs w:val="20"/>
                <w:color w:val="auto"/>
                <w:w w:val="98"/>
              </w:rPr>
              <w:t>43.1%</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2020</w:t>
            </w:r>
          </w:p>
        </w:tc>
        <w:tc>
          <w:tcPr>
            <w:tcW w:w="1620" w:type="dxa"/>
            <w:vAlign w:val="bottom"/>
            <w:tcBorders>
              <w:bottom w:val="single" w:sz="8" w:color="EBEBEB"/>
            </w:tcBorders>
          </w:tcPr>
          <w:p>
            <w:pPr>
              <w:jc w:val="center"/>
              <w:ind w:right="60"/>
              <w:spacing w:after="0"/>
              <w:rPr>
                <w:sz w:val="20"/>
                <w:szCs w:val="20"/>
                <w:color w:val="auto"/>
              </w:rPr>
            </w:pPr>
            <w:r>
              <w:rPr>
                <w:rFonts w:ascii="Arial" w:cs="Arial" w:eastAsia="Arial" w:hAnsi="Arial"/>
                <w:sz w:val="20"/>
                <w:szCs w:val="20"/>
                <w:color w:val="auto"/>
                <w:w w:val="91"/>
              </w:rPr>
              <w:t>(6.8%)</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rPr>
              <w:t>.91</w:t>
            </w:r>
          </w:p>
        </w:tc>
        <w:tc>
          <w:tcPr>
            <w:tcW w:w="1620" w:type="dxa"/>
            <w:vAlign w:val="bottom"/>
            <w:tcBorders>
              <w:bottom w:val="single" w:sz="8" w:color="EBEBEB"/>
            </w:tcBorders>
          </w:tcPr>
          <w:p>
            <w:pPr>
              <w:jc w:val="center"/>
              <w:ind w:left="20"/>
              <w:spacing w:after="0"/>
              <w:rPr>
                <w:sz w:val="20"/>
                <w:szCs w:val="20"/>
                <w:color w:val="auto"/>
              </w:rPr>
            </w:pPr>
            <w:r>
              <w:rPr>
                <w:rFonts w:ascii="Arial" w:cs="Arial" w:eastAsia="Arial" w:hAnsi="Arial"/>
                <w:sz w:val="20"/>
                <w:szCs w:val="20"/>
                <w:color w:val="auto"/>
                <w:w w:val="91"/>
              </w:rPr>
              <w:t>(7.5%)</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2019</w:t>
            </w:r>
          </w:p>
        </w:tc>
        <w:tc>
          <w:tcPr>
            <w:tcW w:w="162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8"/>
              </w:rPr>
              <w:t>15.7%</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rPr>
              <w:t>.12</w:t>
            </w:r>
          </w:p>
        </w:tc>
        <w:tc>
          <w:tcPr>
            <w:tcW w:w="1620" w:type="dxa"/>
            <w:vAlign w:val="bottom"/>
            <w:tcBorders>
              <w:bottom w:val="single" w:sz="8" w:color="EBEBEB"/>
            </w:tcBorders>
          </w:tcPr>
          <w:p>
            <w:pPr>
              <w:jc w:val="center"/>
              <w:ind w:left="80"/>
              <w:spacing w:after="0"/>
              <w:rPr>
                <w:sz w:val="20"/>
                <w:szCs w:val="20"/>
                <w:color w:val="auto"/>
              </w:rPr>
            </w:pPr>
            <w:r>
              <w:rPr>
                <w:rFonts w:ascii="Arial" w:cs="Arial" w:eastAsia="Arial" w:hAnsi="Arial"/>
                <w:sz w:val="20"/>
                <w:szCs w:val="20"/>
                <w:color w:val="auto"/>
                <w:w w:val="98"/>
              </w:rPr>
              <w:t>25.9%</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2018</w:t>
            </w:r>
          </w:p>
        </w:tc>
        <w:tc>
          <w:tcPr>
            <w:tcW w:w="1620" w:type="dxa"/>
            <w:vAlign w:val="bottom"/>
            <w:tcBorders>
              <w:bottom w:val="single" w:sz="8" w:color="EBEBEB"/>
            </w:tcBorders>
          </w:tcPr>
          <w:p>
            <w:pPr>
              <w:jc w:val="center"/>
              <w:ind w:right="60"/>
              <w:spacing w:after="0"/>
              <w:rPr>
                <w:sz w:val="20"/>
                <w:szCs w:val="20"/>
                <w:color w:val="auto"/>
              </w:rPr>
            </w:pPr>
            <w:r>
              <w:rPr>
                <w:rFonts w:ascii="Arial" w:cs="Arial" w:eastAsia="Arial" w:hAnsi="Arial"/>
                <w:sz w:val="20"/>
                <w:szCs w:val="20"/>
                <w:color w:val="auto"/>
                <w:w w:val="94"/>
              </w:rPr>
              <w:t>(17.0%)</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rPr>
              <w:t>.07</w:t>
            </w:r>
          </w:p>
        </w:tc>
        <w:tc>
          <w:tcPr>
            <w:tcW w:w="1620" w:type="dxa"/>
            <w:vAlign w:val="bottom"/>
            <w:tcBorders>
              <w:bottom w:val="single" w:sz="8" w:color="EBEBEB"/>
            </w:tcBorders>
          </w:tcPr>
          <w:p>
            <w:pPr>
              <w:jc w:val="center"/>
              <w:ind w:left="20"/>
              <w:spacing w:after="0"/>
              <w:rPr>
                <w:sz w:val="20"/>
                <w:szCs w:val="20"/>
                <w:color w:val="auto"/>
              </w:rPr>
            </w:pPr>
            <w:r>
              <w:rPr>
                <w:rFonts w:ascii="Arial" w:cs="Arial" w:eastAsia="Arial" w:hAnsi="Arial"/>
                <w:sz w:val="20"/>
                <w:szCs w:val="20"/>
                <w:color w:val="auto"/>
                <w:w w:val="91"/>
              </w:rPr>
              <w:t>(4.5%)</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2017</w:t>
            </w:r>
          </w:p>
        </w:tc>
        <w:tc>
          <w:tcPr>
            <w:tcW w:w="162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8"/>
              </w:rPr>
              <w:t>19.3%</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rPr>
              <w:t>.05</w:t>
            </w:r>
          </w:p>
        </w:tc>
        <w:tc>
          <w:tcPr>
            <w:tcW w:w="1620" w:type="dxa"/>
            <w:vAlign w:val="bottom"/>
            <w:tcBorders>
              <w:bottom w:val="single" w:sz="8" w:color="EBEBEB"/>
            </w:tcBorders>
          </w:tcPr>
          <w:p>
            <w:pPr>
              <w:jc w:val="center"/>
              <w:ind w:left="80"/>
              <w:spacing w:after="0"/>
              <w:rPr>
                <w:sz w:val="20"/>
                <w:szCs w:val="20"/>
                <w:color w:val="auto"/>
              </w:rPr>
            </w:pPr>
            <w:r>
              <w:rPr>
                <w:rFonts w:ascii="Arial" w:cs="Arial" w:eastAsia="Arial" w:hAnsi="Arial"/>
                <w:sz w:val="20"/>
                <w:szCs w:val="20"/>
                <w:color w:val="auto"/>
                <w:w w:val="96"/>
              </w:rPr>
              <w:t>5.1%</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2016</w:t>
            </w:r>
          </w:p>
        </w:tc>
        <w:tc>
          <w:tcPr>
            <w:tcW w:w="162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6"/>
              </w:rPr>
              <w:t>1.6%</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rPr>
              <w:t>.03</w:t>
            </w:r>
          </w:p>
        </w:tc>
        <w:tc>
          <w:tcPr>
            <w:tcW w:w="1620" w:type="dxa"/>
            <w:vAlign w:val="bottom"/>
            <w:tcBorders>
              <w:bottom w:val="single" w:sz="8" w:color="EBEBEB"/>
            </w:tcBorders>
          </w:tcPr>
          <w:p>
            <w:pPr>
              <w:jc w:val="center"/>
              <w:ind w:left="80"/>
              <w:spacing w:after="0"/>
              <w:rPr>
                <w:sz w:val="20"/>
                <w:szCs w:val="20"/>
                <w:color w:val="auto"/>
              </w:rPr>
            </w:pPr>
            <w:r>
              <w:rPr>
                <w:rFonts w:ascii="Arial" w:cs="Arial" w:eastAsia="Arial" w:hAnsi="Arial"/>
                <w:sz w:val="20"/>
                <w:szCs w:val="20"/>
                <w:color w:val="auto"/>
                <w:w w:val="96"/>
              </w:rPr>
              <w:t>8.6%</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2015</w:t>
            </w:r>
          </w:p>
        </w:tc>
        <w:tc>
          <w:tcPr>
            <w:tcW w:w="1620" w:type="dxa"/>
            <w:vAlign w:val="bottom"/>
            <w:tcBorders>
              <w:bottom w:val="single" w:sz="8" w:color="EBEBEB"/>
            </w:tcBorders>
          </w:tcPr>
          <w:p>
            <w:pPr>
              <w:jc w:val="center"/>
              <w:ind w:right="60"/>
              <w:spacing w:after="0"/>
              <w:rPr>
                <w:sz w:val="20"/>
                <w:szCs w:val="20"/>
                <w:color w:val="auto"/>
              </w:rPr>
            </w:pPr>
            <w:r>
              <w:rPr>
                <w:rFonts w:ascii="Arial" w:cs="Arial" w:eastAsia="Arial" w:hAnsi="Arial"/>
                <w:sz w:val="20"/>
                <w:szCs w:val="20"/>
                <w:color w:val="auto"/>
                <w:w w:val="91"/>
              </w:rPr>
              <w:t>(5.4%)</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rPr>
              <w:t>.02</w:t>
            </w:r>
          </w:p>
        </w:tc>
        <w:tc>
          <w:tcPr>
            <w:tcW w:w="1620" w:type="dxa"/>
            <w:vAlign w:val="bottom"/>
            <w:tcBorders>
              <w:bottom w:val="single" w:sz="8" w:color="EBEBEB"/>
            </w:tcBorders>
          </w:tcPr>
          <w:p>
            <w:pPr>
              <w:jc w:val="center"/>
              <w:ind w:left="80"/>
              <w:spacing w:after="0"/>
              <w:rPr>
                <w:sz w:val="20"/>
                <w:szCs w:val="20"/>
                <w:color w:val="auto"/>
              </w:rPr>
            </w:pPr>
            <w:r>
              <w:rPr>
                <w:rFonts w:ascii="Arial" w:cs="Arial" w:eastAsia="Arial" w:hAnsi="Arial"/>
                <w:sz w:val="20"/>
                <w:szCs w:val="20"/>
                <w:color w:val="auto"/>
                <w:w w:val="96"/>
              </w:rPr>
              <w:t>2.5%</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2014</w:t>
            </w:r>
          </w:p>
        </w:tc>
        <w:tc>
          <w:tcPr>
            <w:tcW w:w="162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8"/>
              </w:rPr>
              <w:t>54.0%</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rPr>
              <w:t>.02</w:t>
            </w:r>
          </w:p>
        </w:tc>
        <w:tc>
          <w:tcPr>
            <w:tcW w:w="1620" w:type="dxa"/>
            <w:vAlign w:val="bottom"/>
            <w:tcBorders>
              <w:bottom w:val="single" w:sz="8" w:color="EBEBEB"/>
            </w:tcBorders>
          </w:tcPr>
          <w:p>
            <w:pPr>
              <w:jc w:val="center"/>
              <w:ind w:left="80"/>
              <w:spacing w:after="0"/>
              <w:rPr>
                <w:sz w:val="20"/>
                <w:szCs w:val="20"/>
                <w:color w:val="auto"/>
              </w:rPr>
            </w:pPr>
            <w:r>
              <w:rPr>
                <w:rFonts w:ascii="Arial" w:cs="Arial" w:eastAsia="Arial" w:hAnsi="Arial"/>
                <w:sz w:val="20"/>
                <w:szCs w:val="20"/>
                <w:color w:val="auto"/>
                <w:w w:val="98"/>
              </w:rPr>
              <w:t>30.4%</w:t>
            </w:r>
          </w:p>
        </w:tc>
        <w:tc>
          <w:tcPr>
            <w:tcW w:w="180" w:type="dxa"/>
            <w:vAlign w:val="bottom"/>
            <w:tcBorders>
              <w:bottom w:val="single" w:sz="8" w:color="EBEBEB"/>
            </w:tcBorders>
          </w:tcPr>
          <w:p>
            <w:pPr>
              <w:spacing w:after="0"/>
              <w:rPr>
                <w:sz w:val="24"/>
                <w:szCs w:val="24"/>
                <w:color w:val="auto"/>
              </w:rPr>
            </w:pPr>
          </w:p>
        </w:tc>
      </w:tr>
      <w:tr>
        <w:trPr>
          <w:trHeight w:val="291"/>
        </w:trPr>
        <w:tc>
          <w:tcPr>
            <w:tcW w:w="2540" w:type="dxa"/>
            <w:vAlign w:val="bottom"/>
            <w:tcBorders>
              <w:bottom w:val="single" w:sz="8" w:color="EBEBEB"/>
            </w:tcBorders>
          </w:tcPr>
          <w:p>
            <w:pPr>
              <w:jc w:val="right"/>
              <w:ind w:right="1060"/>
              <w:spacing w:after="0"/>
              <w:rPr>
                <w:sz w:val="20"/>
                <w:szCs w:val="20"/>
                <w:color w:val="auto"/>
              </w:rPr>
            </w:pPr>
            <w:r>
              <w:rPr>
                <w:rFonts w:ascii="Arial" w:cs="Arial" w:eastAsia="Arial" w:hAnsi="Arial"/>
                <w:sz w:val="20"/>
                <w:szCs w:val="20"/>
                <w:color w:val="auto"/>
              </w:rPr>
              <w:t>2013</w:t>
            </w:r>
          </w:p>
        </w:tc>
        <w:tc>
          <w:tcPr>
            <w:tcW w:w="162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w w:val="98"/>
              </w:rPr>
              <w:t>17.2%</w:t>
            </w:r>
          </w:p>
        </w:tc>
        <w:tc>
          <w:tcPr>
            <w:tcW w:w="1980" w:type="dxa"/>
            <w:vAlign w:val="bottom"/>
            <w:tcBorders>
              <w:bottom w:val="single" w:sz="8" w:color="EBEBEB"/>
            </w:tcBorders>
          </w:tcPr>
          <w:p>
            <w:pPr>
              <w:jc w:val="center"/>
              <w:spacing w:after="0"/>
              <w:rPr>
                <w:sz w:val="20"/>
                <w:szCs w:val="20"/>
                <w:color w:val="auto"/>
              </w:rPr>
            </w:pPr>
            <w:r>
              <w:rPr>
                <w:rFonts w:ascii="Arial" w:cs="Arial" w:eastAsia="Arial" w:hAnsi="Arial"/>
                <w:sz w:val="20"/>
                <w:szCs w:val="20"/>
                <w:color w:val="auto"/>
              </w:rPr>
              <w:t>.02</w:t>
            </w:r>
          </w:p>
        </w:tc>
        <w:tc>
          <w:tcPr>
            <w:tcW w:w="1620" w:type="dxa"/>
            <w:vAlign w:val="bottom"/>
            <w:tcBorders>
              <w:bottom w:val="single" w:sz="8" w:color="EBEBEB"/>
            </w:tcBorders>
          </w:tcPr>
          <w:p>
            <w:pPr>
              <w:jc w:val="center"/>
              <w:ind w:left="80"/>
              <w:spacing w:after="0"/>
              <w:rPr>
                <w:sz w:val="20"/>
                <w:szCs w:val="20"/>
                <w:color w:val="auto"/>
              </w:rPr>
            </w:pPr>
            <w:r>
              <w:rPr>
                <w:rFonts w:ascii="Arial" w:cs="Arial" w:eastAsia="Arial" w:hAnsi="Arial"/>
                <w:sz w:val="20"/>
                <w:szCs w:val="20"/>
                <w:color w:val="auto"/>
                <w:w w:val="96"/>
              </w:rPr>
              <w:t>2.5%</w:t>
            </w:r>
          </w:p>
        </w:tc>
        <w:tc>
          <w:tcPr>
            <w:tcW w:w="180" w:type="dxa"/>
            <w:vAlign w:val="bottom"/>
            <w:tcBorders>
              <w:bottom w:val="single" w:sz="8" w:color="EBEBEB"/>
            </w:tcBorders>
          </w:tcPr>
          <w:p>
            <w:pPr>
              <w:spacing w:after="0"/>
              <w:rPr>
                <w:sz w:val="24"/>
                <w:szCs w:val="24"/>
                <w:color w:val="auto"/>
              </w:rPr>
            </w:pPr>
          </w:p>
        </w:tc>
      </w:tr>
      <w:tr>
        <w:trPr>
          <w:trHeight w:val="298"/>
        </w:trPr>
        <w:tc>
          <w:tcPr>
            <w:tcW w:w="2540" w:type="dxa"/>
            <w:vAlign w:val="bottom"/>
            <w:tcBorders>
              <w:bottom w:val="single" w:sz="8" w:color="auto"/>
            </w:tcBorders>
          </w:tcPr>
          <w:p>
            <w:pPr>
              <w:jc w:val="right"/>
              <w:ind w:right="1060"/>
              <w:spacing w:after="0"/>
              <w:rPr>
                <w:sz w:val="20"/>
                <w:szCs w:val="20"/>
                <w:color w:val="auto"/>
              </w:rPr>
            </w:pPr>
            <w:r>
              <w:rPr>
                <w:rFonts w:ascii="Arial" w:cs="Arial" w:eastAsia="Arial" w:hAnsi="Arial"/>
                <w:sz w:val="20"/>
                <w:szCs w:val="20"/>
                <w:color w:val="auto"/>
              </w:rPr>
              <w:t>2012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14.7%</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.01</w:t>
            </w:r>
          </w:p>
        </w:tc>
        <w:tc>
          <w:tcPr>
            <w:tcW w:w="1620" w:type="dxa"/>
            <w:vAlign w:val="bottom"/>
            <w:tcBorders>
              <w:bottom w:val="single" w:sz="8" w:color="auto"/>
            </w:tcBorders>
          </w:tcPr>
          <w:p>
            <w:pPr>
              <w:jc w:val="center"/>
              <w:ind w:left="80"/>
              <w:spacing w:after="0"/>
              <w:rPr>
                <w:sz w:val="20"/>
                <w:szCs w:val="20"/>
                <w:color w:val="auto"/>
              </w:rPr>
            </w:pPr>
            <w:r>
              <w:rPr>
                <w:rFonts w:ascii="Arial" w:cs="Arial" w:eastAsia="Arial" w:hAnsi="Arial"/>
                <w:sz w:val="20"/>
                <w:szCs w:val="20"/>
                <w:color w:val="auto"/>
                <w:w w:val="98"/>
              </w:rPr>
              <w:t>17.9%</w:t>
            </w:r>
          </w:p>
        </w:tc>
        <w:tc>
          <w:tcPr>
            <w:tcW w:w="180" w:type="dxa"/>
            <w:vAlign w:val="bottom"/>
            <w:tcBorders>
              <w:bottom w:val="single" w:sz="8" w:color="EBEBEB"/>
            </w:tcBorders>
          </w:tcPr>
          <w:p>
            <w:pPr>
              <w:spacing w:after="0"/>
              <w:rPr>
                <w:sz w:val="24"/>
                <w:szCs w:val="24"/>
                <w:color w:val="auto"/>
              </w:rPr>
            </w:pPr>
          </w:p>
        </w:tc>
      </w:tr>
      <w:tr>
        <w:trPr>
          <w:trHeight w:val="268"/>
        </w:trPr>
        <w:tc>
          <w:tcPr>
            <w:tcW w:w="2540" w:type="dxa"/>
            <w:vAlign w:val="bottom"/>
          </w:tcPr>
          <w:p>
            <w:pPr>
              <w:ind w:left="80"/>
              <w:spacing w:after="0"/>
              <w:rPr>
                <w:sz w:val="20"/>
                <w:szCs w:val="20"/>
                <w:color w:val="auto"/>
              </w:rPr>
            </w:pPr>
            <w:r>
              <w:rPr>
                <w:rFonts w:ascii="Arial" w:cs="Arial" w:eastAsia="Arial" w:hAnsi="Arial"/>
                <w:sz w:val="20"/>
                <w:szCs w:val="20"/>
                <w:b w:val="1"/>
                <w:bCs w:val="1"/>
                <w:color w:val="auto"/>
              </w:rPr>
              <w:t>Total Return with</w:t>
            </w:r>
          </w:p>
        </w:tc>
        <w:tc>
          <w:tcPr>
            <w:tcW w:w="1620" w:type="dxa"/>
            <w:vAlign w:val="bottom"/>
          </w:tcPr>
          <w:p>
            <w:pPr>
              <w:jc w:val="center"/>
              <w:spacing w:after="0"/>
              <w:rPr>
                <w:sz w:val="20"/>
                <w:szCs w:val="20"/>
                <w:color w:val="auto"/>
              </w:rPr>
            </w:pPr>
            <w:r>
              <w:rPr>
                <w:rFonts w:ascii="Arial" w:cs="Arial" w:eastAsia="Arial" w:hAnsi="Arial"/>
                <w:sz w:val="20"/>
                <w:szCs w:val="20"/>
                <w:b w:val="1"/>
                <w:bCs w:val="1"/>
                <w:color w:val="auto"/>
              </w:rPr>
              <w:t>10.7%</w:t>
            </w:r>
          </w:p>
        </w:tc>
        <w:tc>
          <w:tcPr>
            <w:tcW w:w="1980" w:type="dxa"/>
            <w:vAlign w:val="bottom"/>
          </w:tcPr>
          <w:p>
            <w:pPr>
              <w:spacing w:after="0"/>
              <w:rPr>
                <w:sz w:val="23"/>
                <w:szCs w:val="23"/>
                <w:color w:val="auto"/>
              </w:rPr>
            </w:pPr>
          </w:p>
        </w:tc>
        <w:tc>
          <w:tcPr>
            <w:tcW w:w="1620" w:type="dxa"/>
            <w:vAlign w:val="bottom"/>
          </w:tcPr>
          <w:p>
            <w:pPr>
              <w:jc w:val="center"/>
              <w:ind w:left="80"/>
              <w:spacing w:after="0"/>
              <w:rPr>
                <w:sz w:val="20"/>
                <w:szCs w:val="20"/>
                <w:color w:val="auto"/>
              </w:rPr>
            </w:pPr>
            <w:r>
              <w:rPr>
                <w:rFonts w:ascii="Arial" w:cs="Arial" w:eastAsia="Arial" w:hAnsi="Arial"/>
                <w:sz w:val="20"/>
                <w:szCs w:val="20"/>
                <w:b w:val="1"/>
                <w:bCs w:val="1"/>
                <w:color w:val="auto"/>
              </w:rPr>
              <w:t>7.7%</w:t>
            </w:r>
          </w:p>
        </w:tc>
        <w:tc>
          <w:tcPr>
            <w:tcW w:w="180" w:type="dxa"/>
            <w:vAlign w:val="bottom"/>
          </w:tcPr>
          <w:p>
            <w:pPr>
              <w:spacing w:after="0"/>
              <w:rPr>
                <w:sz w:val="23"/>
                <w:szCs w:val="23"/>
                <w:color w:val="auto"/>
              </w:rPr>
            </w:pPr>
          </w:p>
        </w:tc>
      </w:tr>
      <w:tr>
        <w:trPr>
          <w:trHeight w:val="243"/>
        </w:trPr>
        <w:tc>
          <w:tcPr>
            <w:tcW w:w="2540" w:type="dxa"/>
            <w:vAlign w:val="bottom"/>
          </w:tcPr>
          <w:p>
            <w:pPr>
              <w:ind w:left="80"/>
              <w:spacing w:after="0"/>
              <w:rPr>
                <w:sz w:val="20"/>
                <w:szCs w:val="20"/>
                <w:color w:val="auto"/>
              </w:rPr>
            </w:pPr>
            <w:r>
              <w:rPr>
                <w:rFonts w:ascii="Arial" w:cs="Arial" w:eastAsia="Arial" w:hAnsi="Arial"/>
                <w:sz w:val="20"/>
                <w:szCs w:val="20"/>
                <w:b w:val="1"/>
                <w:bCs w:val="1"/>
                <w:color w:val="auto"/>
              </w:rPr>
              <w:t>Dividends Reinvested</w:t>
            </w:r>
          </w:p>
        </w:tc>
        <w:tc>
          <w:tcPr>
            <w:tcW w:w="16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-3110865</wp:posOffset>
            </wp:positionV>
            <wp:extent cx="5078095" cy="2594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5078095" cy="2594610"/>
                    </a:xfrm>
                    <a:prstGeom prst="rect">
                      <a:avLst/>
                    </a:prstGeom>
                    <a:noFill/>
                  </pic:spPr>
                </pic:pic>
              </a:graphicData>
            </a:graphic>
          </wp:anchor>
        </w:drawing>
      </w:r>
    </w:p>
    <w:p>
      <w:pPr>
        <w:sectPr>
          <w:pgSz w:w="11880" w:h="15480" w:orient="portrait"/>
          <w:cols w:equalWidth="0" w:num="1">
            <w:col w:w="10400"/>
          </w:cols>
          <w:pgMar w:left="720" w:top="1057" w:right="760" w:bottom="4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47"/>
          <w:szCs w:val="47"/>
          <w:b w:val="1"/>
          <w:bCs w:val="1"/>
          <w:color w:val="3B3B3B"/>
        </w:rPr>
        <w:t>FOCUSED ON SOUTHEAST &amp; SOUTHWEST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118745</wp:posOffset>
            </wp:positionV>
            <wp:extent cx="6742430" cy="4239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6742430" cy="4239260"/>
                    </a:xfrm>
                    <a:prstGeom prst="rect">
                      <a:avLst/>
                    </a:prstGeom>
                    <a:noFill/>
                  </pic:spPr>
                </pic:pic>
              </a:graphicData>
            </a:graphic>
          </wp:anchor>
        </w:drawing>
      </w:r>
    </w:p>
    <w:p>
      <w:pPr>
        <w:sectPr>
          <w:pgSz w:w="11880" w:h="15480" w:orient="portrait"/>
          <w:cols w:equalWidth="0" w:num="1">
            <w:col w:w="10760"/>
          </w:cols>
          <w:pgMar w:left="580" w:top="437" w:right="540" w:bottom="6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740"/>
        <w:spacing w:after="0"/>
        <w:rPr>
          <w:sz w:val="20"/>
          <w:szCs w:val="20"/>
          <w:color w:val="auto"/>
        </w:rPr>
      </w:pPr>
      <w:r>
        <w:rPr>
          <w:rFonts w:ascii="Arial" w:cs="Arial" w:eastAsia="Arial" w:hAnsi="Arial"/>
          <w:sz w:val="56"/>
          <w:szCs w:val="56"/>
          <w:b w:val="1"/>
          <w:bCs w:val="1"/>
          <w:color w:val="auto"/>
        </w:rPr>
        <w:t>84%</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Of Portfolio ABR from Georgia, Florida, Texas &amp; North Carolina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860"/>
        <w:spacing w:after="0"/>
        <w:rPr>
          <w:sz w:val="20"/>
          <w:szCs w:val="20"/>
          <w:color w:val="auto"/>
        </w:rPr>
      </w:pPr>
      <w:r>
        <w:rPr>
          <w:rFonts w:ascii="Arial" w:cs="Arial" w:eastAsia="Arial" w:hAnsi="Arial"/>
          <w:sz w:val="20"/>
          <w:szCs w:val="20"/>
          <w:color w:val="auto"/>
        </w:rPr>
        <w:t>9%</w:t>
      </w:r>
    </w:p>
    <w:p>
      <w:pPr>
        <w:spacing w:after="0" w:line="310" w:lineRule="exact"/>
        <w:rPr>
          <w:sz w:val="20"/>
          <w:szCs w:val="20"/>
          <w:color w:val="auto"/>
        </w:rPr>
      </w:pPr>
    </w:p>
    <w:p>
      <w:pPr>
        <w:ind w:left="8720"/>
        <w:spacing w:after="0"/>
        <w:rPr>
          <w:sz w:val="20"/>
          <w:szCs w:val="20"/>
          <w:color w:val="auto"/>
        </w:rPr>
      </w:pPr>
      <w:r>
        <w:rPr>
          <w:rFonts w:ascii="Arial" w:cs="Arial" w:eastAsia="Arial" w:hAnsi="Arial"/>
          <w:sz w:val="20"/>
          <w:szCs w:val="20"/>
          <w:color w:val="FFFFFF"/>
        </w:rPr>
        <w:t>15%</w:t>
      </w:r>
    </w:p>
    <w:p>
      <w:pPr>
        <w:spacing w:after="0" w:line="8" w:lineRule="exact"/>
        <w:rPr>
          <w:sz w:val="20"/>
          <w:szCs w:val="20"/>
          <w:color w:val="auto"/>
        </w:rPr>
      </w:pPr>
    </w:p>
    <w:p>
      <w:pPr>
        <w:ind w:left="2040"/>
        <w:spacing w:after="0"/>
        <w:tabs>
          <w:tab w:leader="none" w:pos="3220" w:val="left"/>
        </w:tabs>
        <w:rPr>
          <w:sz w:val="20"/>
          <w:szCs w:val="20"/>
          <w:color w:val="auto"/>
        </w:rPr>
      </w:pPr>
      <w:r>
        <w:rPr>
          <w:rFonts w:ascii="Arial" w:cs="Arial" w:eastAsia="Arial" w:hAnsi="Arial"/>
          <w:sz w:val="24"/>
          <w:szCs w:val="24"/>
          <w:color w:val="auto"/>
        </w:rPr>
        <w:t>4%</w:t>
      </w:r>
      <w:r>
        <w:rPr>
          <w:sz w:val="20"/>
          <w:szCs w:val="20"/>
          <w:color w:val="auto"/>
        </w:rPr>
        <w:tab/>
      </w:r>
      <w:r>
        <w:rPr>
          <w:rFonts w:ascii="Arial" w:cs="Arial" w:eastAsia="Arial" w:hAnsi="Arial"/>
          <w:sz w:val="40"/>
          <w:szCs w:val="40"/>
          <w:color w:val="auto"/>
          <w:vertAlign w:val="subscript"/>
        </w:rPr>
        <w:t>2%</w:t>
      </w:r>
    </w:p>
    <w:p>
      <w:pPr>
        <w:spacing w:after="0" w:line="173" w:lineRule="exact"/>
        <w:rPr>
          <w:sz w:val="20"/>
          <w:szCs w:val="20"/>
          <w:color w:val="auto"/>
        </w:rPr>
      </w:pPr>
    </w:p>
    <w:p>
      <w:pPr>
        <w:ind w:left="8000"/>
        <w:spacing w:after="0"/>
        <w:rPr>
          <w:sz w:val="20"/>
          <w:szCs w:val="20"/>
          <w:color w:val="auto"/>
        </w:rPr>
      </w:pPr>
      <w:r>
        <w:rPr>
          <w:rFonts w:ascii="Arial" w:cs="Arial" w:eastAsia="Arial" w:hAnsi="Arial"/>
          <w:sz w:val="20"/>
          <w:szCs w:val="20"/>
          <w:color w:val="FFFFFF"/>
        </w:rPr>
        <w:t>36%</w:t>
      </w:r>
    </w:p>
    <w:p>
      <w:pPr>
        <w:spacing w:after="0" w:line="274" w:lineRule="exact"/>
        <w:rPr>
          <w:sz w:val="20"/>
          <w:szCs w:val="20"/>
          <w:color w:val="auto"/>
        </w:rPr>
      </w:pPr>
    </w:p>
    <w:p>
      <w:pPr>
        <w:ind w:left="4720"/>
        <w:spacing w:after="0"/>
        <w:rPr>
          <w:sz w:val="20"/>
          <w:szCs w:val="20"/>
          <w:color w:val="auto"/>
        </w:rPr>
      </w:pPr>
      <w:r>
        <w:rPr>
          <w:rFonts w:ascii="Arial" w:cs="Arial" w:eastAsia="Arial" w:hAnsi="Arial"/>
          <w:sz w:val="20"/>
          <w:szCs w:val="20"/>
          <w:color w:val="FFFFFF"/>
        </w:rPr>
        <w:t>9%</w:t>
      </w:r>
    </w:p>
    <w:p>
      <w:pPr>
        <w:spacing w:after="0" w:line="266" w:lineRule="exact"/>
        <w:rPr>
          <w:sz w:val="20"/>
          <w:szCs w:val="20"/>
          <w:color w:val="auto"/>
        </w:rPr>
      </w:pPr>
    </w:p>
    <w:p>
      <w:pPr>
        <w:ind w:left="8520"/>
        <w:spacing w:after="0"/>
        <w:rPr>
          <w:sz w:val="20"/>
          <w:szCs w:val="20"/>
          <w:color w:val="auto"/>
        </w:rPr>
      </w:pPr>
      <w:r>
        <w:rPr>
          <w:rFonts w:ascii="Arial" w:cs="Arial" w:eastAsia="Arial" w:hAnsi="Arial"/>
          <w:sz w:val="20"/>
          <w:szCs w:val="20"/>
          <w:color w:val="FFFFFF"/>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Percentages listed based on cash ABR excluding the impact of straight-line rent for the Company’s portfolio as of December 31, 2025.</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Any differences a result of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380" w:type="dxa"/>
        <w:tblCellMar>
          <w:top w:w="0" w:type="dxa"/>
          <w:left w:w="0" w:type="dxa"/>
          <w:bottom w:w="0" w:type="dxa"/>
          <w:right w:w="0" w:type="dxa"/>
        </w:tblCellMar>
      </w:tblPr>
      <w:tr>
        <w:trPr>
          <w:trHeight w:val="335"/>
        </w:trPr>
        <w:tc>
          <w:tcPr>
            <w:tcW w:w="1160" w:type="dxa"/>
            <w:vAlign w:val="bottom"/>
          </w:tcPr>
          <w:p>
            <w:pPr>
              <w:jc w:val="center"/>
              <w:spacing w:after="0"/>
              <w:rPr>
                <w:sz w:val="20"/>
                <w:szCs w:val="20"/>
                <w:color w:val="auto"/>
              </w:rPr>
            </w:pPr>
            <w:r>
              <w:rPr>
                <w:rFonts w:ascii="Arial" w:cs="Arial" w:eastAsia="Arial" w:hAnsi="Arial"/>
                <w:sz w:val="28"/>
                <w:szCs w:val="28"/>
                <w:color w:val="auto"/>
                <w:w w:val="97"/>
              </w:rPr>
              <w:t>Rank</w:t>
            </w:r>
          </w:p>
        </w:tc>
        <w:tc>
          <w:tcPr>
            <w:tcW w:w="2520" w:type="dxa"/>
            <w:vAlign w:val="bottom"/>
          </w:tcPr>
          <w:p>
            <w:pPr>
              <w:ind w:left="200"/>
              <w:spacing w:after="0"/>
              <w:rPr>
                <w:sz w:val="20"/>
                <w:szCs w:val="20"/>
                <w:color w:val="auto"/>
              </w:rPr>
            </w:pPr>
            <w:r>
              <w:rPr>
                <w:rFonts w:ascii="Arial" w:cs="Arial" w:eastAsia="Arial" w:hAnsi="Arial"/>
                <w:sz w:val="28"/>
                <w:szCs w:val="28"/>
                <w:color w:val="auto"/>
              </w:rPr>
              <w:t>Market</w:t>
            </w:r>
          </w:p>
        </w:tc>
        <w:tc>
          <w:tcPr>
            <w:tcW w:w="2180" w:type="dxa"/>
            <w:vAlign w:val="bottom"/>
          </w:tcPr>
          <w:p>
            <w:pPr>
              <w:ind w:left="500"/>
              <w:spacing w:after="0"/>
              <w:rPr>
                <w:sz w:val="20"/>
                <w:szCs w:val="20"/>
                <w:color w:val="auto"/>
              </w:rPr>
            </w:pPr>
            <w:r>
              <w:rPr>
                <w:rFonts w:ascii="Arial" w:cs="Arial" w:eastAsia="Arial" w:hAnsi="Arial"/>
                <w:sz w:val="28"/>
                <w:szCs w:val="28"/>
                <w:color w:val="auto"/>
              </w:rPr>
              <w:t>Properties</w:t>
            </w:r>
          </w:p>
        </w:tc>
        <w:tc>
          <w:tcPr>
            <w:tcW w:w="2020" w:type="dxa"/>
            <w:vAlign w:val="bottom"/>
          </w:tcPr>
          <w:p>
            <w:pPr>
              <w:ind w:left="340"/>
              <w:spacing w:after="0"/>
              <w:rPr>
                <w:sz w:val="20"/>
                <w:szCs w:val="20"/>
                <w:color w:val="auto"/>
              </w:rPr>
            </w:pPr>
            <w:r>
              <w:rPr>
                <w:rFonts w:ascii="Arial" w:cs="Arial" w:eastAsia="Arial" w:hAnsi="Arial"/>
                <w:sz w:val="28"/>
                <w:szCs w:val="28"/>
                <w:color w:val="auto"/>
              </w:rPr>
              <w:t>SF (000s)</w:t>
            </w:r>
          </w:p>
        </w:tc>
        <w:tc>
          <w:tcPr>
            <w:tcW w:w="2120" w:type="dxa"/>
            <w:vAlign w:val="bottom"/>
          </w:tcPr>
          <w:p>
            <w:pPr>
              <w:ind w:left="500"/>
              <w:spacing w:after="0"/>
              <w:rPr>
                <w:sz w:val="20"/>
                <w:szCs w:val="20"/>
                <w:color w:val="auto"/>
              </w:rPr>
            </w:pPr>
            <w:r>
              <w:rPr>
                <w:rFonts w:ascii="Arial" w:cs="Arial" w:eastAsia="Arial" w:hAnsi="Arial"/>
                <w:sz w:val="28"/>
                <w:szCs w:val="28"/>
                <w:color w:val="auto"/>
              </w:rPr>
              <w:t>% ABR</w:t>
            </w:r>
          </w:p>
        </w:tc>
      </w:tr>
      <w:tr>
        <w:trPr>
          <w:trHeight w:val="570"/>
        </w:trPr>
        <w:tc>
          <w:tcPr>
            <w:tcW w:w="1160" w:type="dxa"/>
            <w:vAlign w:val="bottom"/>
          </w:tcPr>
          <w:p>
            <w:pPr>
              <w:jc w:val="center"/>
              <w:spacing w:after="0"/>
              <w:rPr>
                <w:sz w:val="20"/>
                <w:szCs w:val="20"/>
                <w:color w:val="auto"/>
              </w:rPr>
            </w:pPr>
            <w:r>
              <w:rPr>
                <w:rFonts w:ascii="Arial" w:cs="Arial" w:eastAsia="Arial" w:hAnsi="Arial"/>
                <w:sz w:val="28"/>
                <w:szCs w:val="28"/>
                <w:color w:val="auto"/>
              </w:rPr>
              <w:t>1</w:t>
            </w:r>
          </w:p>
        </w:tc>
        <w:tc>
          <w:tcPr>
            <w:tcW w:w="2520" w:type="dxa"/>
            <w:vAlign w:val="bottom"/>
          </w:tcPr>
          <w:p>
            <w:pPr>
              <w:ind w:left="200"/>
              <w:spacing w:after="0"/>
              <w:rPr>
                <w:sz w:val="20"/>
                <w:szCs w:val="20"/>
                <w:color w:val="auto"/>
              </w:rPr>
            </w:pPr>
            <w:r>
              <w:rPr>
                <w:rFonts w:ascii="Arial" w:cs="Arial" w:eastAsia="Arial" w:hAnsi="Arial"/>
                <w:sz w:val="28"/>
                <w:szCs w:val="28"/>
                <w:color w:val="auto"/>
              </w:rPr>
              <w:t>Georgia</w:t>
            </w:r>
          </w:p>
        </w:tc>
        <w:tc>
          <w:tcPr>
            <w:tcW w:w="2180" w:type="dxa"/>
            <w:vAlign w:val="bottom"/>
          </w:tcPr>
          <w:p>
            <w:pPr>
              <w:jc w:val="center"/>
              <w:ind w:left="40"/>
              <w:spacing w:after="0"/>
              <w:rPr>
                <w:sz w:val="20"/>
                <w:szCs w:val="20"/>
                <w:color w:val="auto"/>
              </w:rPr>
            </w:pPr>
            <w:r>
              <w:rPr>
                <w:rFonts w:ascii="Arial" w:cs="Arial" w:eastAsia="Arial" w:hAnsi="Arial"/>
                <w:sz w:val="28"/>
                <w:szCs w:val="28"/>
                <w:color w:val="auto"/>
              </w:rPr>
              <w:t>5</w:t>
            </w:r>
          </w:p>
        </w:tc>
        <w:tc>
          <w:tcPr>
            <w:tcW w:w="2020" w:type="dxa"/>
            <w:vAlign w:val="bottom"/>
          </w:tcPr>
          <w:p>
            <w:pPr>
              <w:jc w:val="center"/>
              <w:ind w:right="20"/>
              <w:spacing w:after="0"/>
              <w:rPr>
                <w:sz w:val="20"/>
                <w:szCs w:val="20"/>
                <w:color w:val="auto"/>
              </w:rPr>
            </w:pPr>
            <w:r>
              <w:rPr>
                <w:rFonts w:ascii="Arial" w:cs="Arial" w:eastAsia="Arial" w:hAnsi="Arial"/>
                <w:sz w:val="28"/>
                <w:szCs w:val="28"/>
                <w:color w:val="auto"/>
                <w:w w:val="99"/>
              </w:rPr>
              <w:t>1,657</w:t>
            </w:r>
          </w:p>
        </w:tc>
        <w:tc>
          <w:tcPr>
            <w:tcW w:w="2120" w:type="dxa"/>
            <w:vAlign w:val="bottom"/>
          </w:tcPr>
          <w:p>
            <w:pPr>
              <w:jc w:val="center"/>
              <w:ind w:right="80"/>
              <w:spacing w:after="0"/>
              <w:rPr>
                <w:sz w:val="20"/>
                <w:szCs w:val="20"/>
                <w:color w:val="auto"/>
              </w:rPr>
            </w:pPr>
            <w:r>
              <w:rPr>
                <w:rFonts w:ascii="Arial" w:cs="Arial" w:eastAsia="Arial" w:hAnsi="Arial"/>
                <w:sz w:val="28"/>
                <w:szCs w:val="28"/>
                <w:color w:val="auto"/>
                <w:w w:val="96"/>
              </w:rPr>
              <w:t>36%</w:t>
            </w:r>
          </w:p>
        </w:tc>
      </w:tr>
      <w:tr>
        <w:trPr>
          <w:trHeight w:val="572"/>
        </w:trPr>
        <w:tc>
          <w:tcPr>
            <w:tcW w:w="1160" w:type="dxa"/>
            <w:vAlign w:val="bottom"/>
          </w:tcPr>
          <w:p>
            <w:pPr>
              <w:jc w:val="center"/>
              <w:spacing w:after="0"/>
              <w:rPr>
                <w:sz w:val="20"/>
                <w:szCs w:val="20"/>
                <w:color w:val="auto"/>
              </w:rPr>
            </w:pPr>
            <w:r>
              <w:rPr>
                <w:rFonts w:ascii="Arial" w:cs="Arial" w:eastAsia="Arial" w:hAnsi="Arial"/>
                <w:sz w:val="28"/>
                <w:szCs w:val="28"/>
                <w:color w:val="auto"/>
                <w:w w:val="89"/>
              </w:rPr>
              <w:t>2</w:t>
            </w:r>
          </w:p>
        </w:tc>
        <w:tc>
          <w:tcPr>
            <w:tcW w:w="2520" w:type="dxa"/>
            <w:vAlign w:val="bottom"/>
          </w:tcPr>
          <w:p>
            <w:pPr>
              <w:ind w:left="200"/>
              <w:spacing w:after="0"/>
              <w:rPr>
                <w:sz w:val="20"/>
                <w:szCs w:val="20"/>
                <w:color w:val="auto"/>
              </w:rPr>
            </w:pPr>
            <w:r>
              <w:rPr>
                <w:rFonts w:ascii="Arial" w:cs="Arial" w:eastAsia="Arial" w:hAnsi="Arial"/>
                <w:sz w:val="28"/>
                <w:szCs w:val="28"/>
                <w:color w:val="auto"/>
              </w:rPr>
              <w:t>Florida</w:t>
            </w:r>
          </w:p>
        </w:tc>
        <w:tc>
          <w:tcPr>
            <w:tcW w:w="2180" w:type="dxa"/>
            <w:vAlign w:val="bottom"/>
          </w:tcPr>
          <w:p>
            <w:pPr>
              <w:jc w:val="center"/>
              <w:ind w:left="40"/>
              <w:spacing w:after="0"/>
              <w:rPr>
                <w:sz w:val="20"/>
                <w:szCs w:val="20"/>
                <w:color w:val="auto"/>
              </w:rPr>
            </w:pPr>
            <w:r>
              <w:rPr>
                <w:rFonts w:ascii="Arial" w:cs="Arial" w:eastAsia="Arial" w:hAnsi="Arial"/>
                <w:sz w:val="28"/>
                <w:szCs w:val="28"/>
                <w:color w:val="auto"/>
              </w:rPr>
              <w:t>9</w:t>
            </w:r>
          </w:p>
        </w:tc>
        <w:tc>
          <w:tcPr>
            <w:tcW w:w="2020" w:type="dxa"/>
            <w:vAlign w:val="bottom"/>
          </w:tcPr>
          <w:p>
            <w:pPr>
              <w:jc w:val="center"/>
              <w:ind w:right="20"/>
              <w:spacing w:after="0"/>
              <w:rPr>
                <w:sz w:val="20"/>
                <w:szCs w:val="20"/>
                <w:color w:val="auto"/>
              </w:rPr>
            </w:pPr>
            <w:r>
              <w:rPr>
                <w:rFonts w:ascii="Arial" w:cs="Arial" w:eastAsia="Arial" w:hAnsi="Arial"/>
                <w:sz w:val="28"/>
                <w:szCs w:val="28"/>
                <w:color w:val="auto"/>
                <w:w w:val="99"/>
              </w:rPr>
              <w:t>1,357</w:t>
            </w:r>
          </w:p>
        </w:tc>
        <w:tc>
          <w:tcPr>
            <w:tcW w:w="2120" w:type="dxa"/>
            <w:vAlign w:val="bottom"/>
          </w:tcPr>
          <w:p>
            <w:pPr>
              <w:jc w:val="center"/>
              <w:ind w:right="80"/>
              <w:spacing w:after="0"/>
              <w:rPr>
                <w:sz w:val="20"/>
                <w:szCs w:val="20"/>
                <w:color w:val="auto"/>
              </w:rPr>
            </w:pPr>
            <w:r>
              <w:rPr>
                <w:rFonts w:ascii="Arial" w:cs="Arial" w:eastAsia="Arial" w:hAnsi="Arial"/>
                <w:sz w:val="28"/>
                <w:szCs w:val="28"/>
                <w:color w:val="auto"/>
                <w:w w:val="96"/>
              </w:rPr>
              <w:t>25%</w:t>
            </w:r>
          </w:p>
        </w:tc>
      </w:tr>
      <w:tr>
        <w:trPr>
          <w:trHeight w:val="572"/>
        </w:trPr>
        <w:tc>
          <w:tcPr>
            <w:tcW w:w="1160" w:type="dxa"/>
            <w:vAlign w:val="bottom"/>
          </w:tcPr>
          <w:p>
            <w:pPr>
              <w:jc w:val="center"/>
              <w:spacing w:after="0"/>
              <w:rPr>
                <w:sz w:val="20"/>
                <w:szCs w:val="20"/>
                <w:color w:val="auto"/>
              </w:rPr>
            </w:pPr>
            <w:r>
              <w:rPr>
                <w:rFonts w:ascii="Arial" w:cs="Arial" w:eastAsia="Arial" w:hAnsi="Arial"/>
                <w:sz w:val="28"/>
                <w:szCs w:val="28"/>
                <w:color w:val="auto"/>
                <w:w w:val="89"/>
              </w:rPr>
              <w:t>3</w:t>
            </w:r>
          </w:p>
        </w:tc>
        <w:tc>
          <w:tcPr>
            <w:tcW w:w="2520" w:type="dxa"/>
            <w:vAlign w:val="bottom"/>
          </w:tcPr>
          <w:p>
            <w:pPr>
              <w:ind w:left="200"/>
              <w:spacing w:after="0"/>
              <w:rPr>
                <w:sz w:val="20"/>
                <w:szCs w:val="20"/>
                <w:color w:val="auto"/>
              </w:rPr>
            </w:pPr>
            <w:r>
              <w:rPr>
                <w:rFonts w:ascii="Arial" w:cs="Arial" w:eastAsia="Arial" w:hAnsi="Arial"/>
                <w:sz w:val="28"/>
                <w:szCs w:val="28"/>
                <w:color w:val="auto"/>
              </w:rPr>
              <w:t>North Carolina</w:t>
            </w:r>
          </w:p>
        </w:tc>
        <w:tc>
          <w:tcPr>
            <w:tcW w:w="2180" w:type="dxa"/>
            <w:vAlign w:val="bottom"/>
          </w:tcPr>
          <w:p>
            <w:pPr>
              <w:jc w:val="center"/>
              <w:ind w:left="20"/>
              <w:spacing w:after="0"/>
              <w:rPr>
                <w:sz w:val="20"/>
                <w:szCs w:val="20"/>
                <w:color w:val="auto"/>
              </w:rPr>
            </w:pPr>
            <w:r>
              <w:rPr>
                <w:rFonts w:ascii="Arial" w:cs="Arial" w:eastAsia="Arial" w:hAnsi="Arial"/>
                <w:sz w:val="28"/>
                <w:szCs w:val="28"/>
                <w:color w:val="auto"/>
                <w:w w:val="89"/>
              </w:rPr>
              <w:t>2</w:t>
            </w:r>
          </w:p>
        </w:tc>
        <w:tc>
          <w:tcPr>
            <w:tcW w:w="2020" w:type="dxa"/>
            <w:vAlign w:val="bottom"/>
          </w:tcPr>
          <w:p>
            <w:pPr>
              <w:jc w:val="center"/>
              <w:ind w:right="20"/>
              <w:spacing w:after="0"/>
              <w:rPr>
                <w:sz w:val="20"/>
                <w:szCs w:val="20"/>
                <w:color w:val="auto"/>
              </w:rPr>
            </w:pPr>
            <w:r>
              <w:rPr>
                <w:rFonts w:ascii="Arial" w:cs="Arial" w:eastAsia="Arial" w:hAnsi="Arial"/>
                <w:sz w:val="28"/>
                <w:szCs w:val="28"/>
                <w:color w:val="auto"/>
                <w:w w:val="99"/>
              </w:rPr>
              <w:t>1,016</w:t>
            </w:r>
          </w:p>
        </w:tc>
        <w:tc>
          <w:tcPr>
            <w:tcW w:w="2120" w:type="dxa"/>
            <w:vAlign w:val="bottom"/>
          </w:tcPr>
          <w:p>
            <w:pPr>
              <w:jc w:val="center"/>
              <w:ind w:right="80"/>
              <w:spacing w:after="0"/>
              <w:rPr>
                <w:sz w:val="20"/>
                <w:szCs w:val="20"/>
                <w:color w:val="auto"/>
              </w:rPr>
            </w:pPr>
            <w:r>
              <w:rPr>
                <w:rFonts w:ascii="Arial" w:cs="Arial" w:eastAsia="Arial" w:hAnsi="Arial"/>
                <w:sz w:val="28"/>
                <w:szCs w:val="28"/>
                <w:color w:val="auto"/>
                <w:w w:val="96"/>
              </w:rPr>
              <w:t>15%</w:t>
            </w:r>
          </w:p>
        </w:tc>
      </w:tr>
      <w:tr>
        <w:trPr>
          <w:trHeight w:val="572"/>
        </w:trPr>
        <w:tc>
          <w:tcPr>
            <w:tcW w:w="1160" w:type="dxa"/>
            <w:vAlign w:val="bottom"/>
          </w:tcPr>
          <w:p>
            <w:pPr>
              <w:jc w:val="center"/>
              <w:spacing w:after="0"/>
              <w:rPr>
                <w:sz w:val="20"/>
                <w:szCs w:val="20"/>
                <w:color w:val="auto"/>
              </w:rPr>
            </w:pPr>
            <w:r>
              <w:rPr>
                <w:rFonts w:ascii="Arial" w:cs="Arial" w:eastAsia="Arial" w:hAnsi="Arial"/>
                <w:sz w:val="28"/>
                <w:szCs w:val="28"/>
                <w:color w:val="auto"/>
                <w:w w:val="89"/>
              </w:rPr>
              <w:t>4</w:t>
            </w:r>
          </w:p>
        </w:tc>
        <w:tc>
          <w:tcPr>
            <w:tcW w:w="2520" w:type="dxa"/>
            <w:vAlign w:val="bottom"/>
          </w:tcPr>
          <w:p>
            <w:pPr>
              <w:ind w:left="200"/>
              <w:spacing w:after="0"/>
              <w:rPr>
                <w:sz w:val="20"/>
                <w:szCs w:val="20"/>
                <w:color w:val="auto"/>
              </w:rPr>
            </w:pPr>
            <w:r>
              <w:rPr>
                <w:rFonts w:ascii="Arial" w:cs="Arial" w:eastAsia="Arial" w:hAnsi="Arial"/>
                <w:sz w:val="28"/>
                <w:szCs w:val="28"/>
                <w:color w:val="auto"/>
              </w:rPr>
              <w:t>Texas</w:t>
            </w:r>
          </w:p>
        </w:tc>
        <w:tc>
          <w:tcPr>
            <w:tcW w:w="2180" w:type="dxa"/>
            <w:vAlign w:val="bottom"/>
          </w:tcPr>
          <w:p>
            <w:pPr>
              <w:jc w:val="center"/>
              <w:ind w:left="20"/>
              <w:spacing w:after="0"/>
              <w:rPr>
                <w:sz w:val="20"/>
                <w:szCs w:val="20"/>
                <w:color w:val="auto"/>
              </w:rPr>
            </w:pPr>
            <w:r>
              <w:rPr>
                <w:rFonts w:ascii="Arial" w:cs="Arial" w:eastAsia="Arial" w:hAnsi="Arial"/>
                <w:sz w:val="28"/>
                <w:szCs w:val="28"/>
                <w:color w:val="auto"/>
                <w:w w:val="89"/>
              </w:rPr>
              <w:t>2</w:t>
            </w:r>
          </w:p>
        </w:tc>
        <w:tc>
          <w:tcPr>
            <w:tcW w:w="2020" w:type="dxa"/>
            <w:vAlign w:val="bottom"/>
          </w:tcPr>
          <w:p>
            <w:pPr>
              <w:jc w:val="center"/>
              <w:ind w:right="20"/>
              <w:spacing w:after="0"/>
              <w:rPr>
                <w:sz w:val="20"/>
                <w:szCs w:val="20"/>
                <w:color w:val="auto"/>
              </w:rPr>
            </w:pPr>
            <w:r>
              <w:rPr>
                <w:rFonts w:ascii="Arial" w:cs="Arial" w:eastAsia="Arial" w:hAnsi="Arial"/>
                <w:sz w:val="28"/>
                <w:szCs w:val="28"/>
                <w:color w:val="auto"/>
                <w:w w:val="98"/>
              </w:rPr>
              <w:t>644</w:t>
            </w:r>
          </w:p>
        </w:tc>
        <w:tc>
          <w:tcPr>
            <w:tcW w:w="2120" w:type="dxa"/>
            <w:vAlign w:val="bottom"/>
          </w:tcPr>
          <w:p>
            <w:pPr>
              <w:jc w:val="center"/>
              <w:ind w:right="80"/>
              <w:spacing w:after="0"/>
              <w:rPr>
                <w:sz w:val="20"/>
                <w:szCs w:val="20"/>
                <w:color w:val="auto"/>
              </w:rPr>
            </w:pPr>
            <w:r>
              <w:rPr>
                <w:rFonts w:ascii="Arial" w:cs="Arial" w:eastAsia="Arial" w:hAnsi="Arial"/>
                <w:sz w:val="28"/>
                <w:szCs w:val="28"/>
                <w:color w:val="auto"/>
                <w:w w:val="93"/>
              </w:rPr>
              <w:t>9%</w:t>
            </w:r>
          </w:p>
        </w:tc>
      </w:tr>
      <w:tr>
        <w:trPr>
          <w:trHeight w:val="572"/>
        </w:trPr>
        <w:tc>
          <w:tcPr>
            <w:tcW w:w="1160" w:type="dxa"/>
            <w:vAlign w:val="bottom"/>
          </w:tcPr>
          <w:p>
            <w:pPr>
              <w:jc w:val="center"/>
              <w:spacing w:after="0"/>
              <w:rPr>
                <w:sz w:val="20"/>
                <w:szCs w:val="20"/>
                <w:color w:val="auto"/>
              </w:rPr>
            </w:pPr>
            <w:r>
              <w:rPr>
                <w:rFonts w:ascii="Arial" w:cs="Arial" w:eastAsia="Arial" w:hAnsi="Arial"/>
                <w:sz w:val="28"/>
                <w:szCs w:val="28"/>
                <w:color w:val="auto"/>
                <w:w w:val="89"/>
              </w:rPr>
              <w:t>5</w:t>
            </w:r>
          </w:p>
        </w:tc>
        <w:tc>
          <w:tcPr>
            <w:tcW w:w="2520" w:type="dxa"/>
            <w:vAlign w:val="bottom"/>
          </w:tcPr>
          <w:p>
            <w:pPr>
              <w:ind w:left="200"/>
              <w:spacing w:after="0"/>
              <w:rPr>
                <w:sz w:val="20"/>
                <w:szCs w:val="20"/>
                <w:color w:val="auto"/>
              </w:rPr>
            </w:pPr>
            <w:r>
              <w:rPr>
                <w:rFonts w:ascii="Arial" w:cs="Arial" w:eastAsia="Arial" w:hAnsi="Arial"/>
                <w:sz w:val="28"/>
                <w:szCs w:val="28"/>
                <w:color w:val="auto"/>
              </w:rPr>
              <w:t>Virginia</w:t>
            </w:r>
          </w:p>
        </w:tc>
        <w:tc>
          <w:tcPr>
            <w:tcW w:w="2180" w:type="dxa"/>
            <w:vAlign w:val="bottom"/>
          </w:tcPr>
          <w:p>
            <w:pPr>
              <w:jc w:val="center"/>
              <w:ind w:left="20"/>
              <w:spacing w:after="0"/>
              <w:rPr>
                <w:sz w:val="20"/>
                <w:szCs w:val="20"/>
                <w:color w:val="auto"/>
              </w:rPr>
            </w:pPr>
            <w:r>
              <w:rPr>
                <w:rFonts w:ascii="Arial" w:cs="Arial" w:eastAsia="Arial" w:hAnsi="Arial"/>
                <w:sz w:val="28"/>
                <w:szCs w:val="28"/>
                <w:color w:val="auto"/>
                <w:w w:val="89"/>
              </w:rPr>
              <w:t>1</w:t>
            </w:r>
          </w:p>
        </w:tc>
        <w:tc>
          <w:tcPr>
            <w:tcW w:w="2020" w:type="dxa"/>
            <w:vAlign w:val="bottom"/>
          </w:tcPr>
          <w:p>
            <w:pPr>
              <w:jc w:val="center"/>
              <w:ind w:right="20"/>
              <w:spacing w:after="0"/>
              <w:rPr>
                <w:sz w:val="20"/>
                <w:szCs w:val="20"/>
                <w:color w:val="auto"/>
              </w:rPr>
            </w:pPr>
            <w:r>
              <w:rPr>
                <w:rFonts w:ascii="Arial" w:cs="Arial" w:eastAsia="Arial" w:hAnsi="Arial"/>
                <w:sz w:val="28"/>
                <w:szCs w:val="28"/>
                <w:color w:val="auto"/>
                <w:w w:val="98"/>
              </w:rPr>
              <w:t>392</w:t>
            </w:r>
          </w:p>
        </w:tc>
        <w:tc>
          <w:tcPr>
            <w:tcW w:w="2120" w:type="dxa"/>
            <w:vAlign w:val="bottom"/>
          </w:tcPr>
          <w:p>
            <w:pPr>
              <w:jc w:val="center"/>
              <w:ind w:right="80"/>
              <w:spacing w:after="0"/>
              <w:rPr>
                <w:sz w:val="20"/>
                <w:szCs w:val="20"/>
                <w:color w:val="auto"/>
              </w:rPr>
            </w:pPr>
            <w:r>
              <w:rPr>
                <w:rFonts w:ascii="Arial" w:cs="Arial" w:eastAsia="Arial" w:hAnsi="Arial"/>
                <w:sz w:val="28"/>
                <w:szCs w:val="28"/>
                <w:color w:val="auto"/>
                <w:w w:val="93"/>
              </w:rPr>
              <w:t>9%</w:t>
            </w:r>
          </w:p>
        </w:tc>
      </w:tr>
      <w:tr>
        <w:trPr>
          <w:trHeight w:val="572"/>
        </w:trPr>
        <w:tc>
          <w:tcPr>
            <w:tcW w:w="1160" w:type="dxa"/>
            <w:vAlign w:val="bottom"/>
          </w:tcPr>
          <w:p>
            <w:pPr>
              <w:jc w:val="center"/>
              <w:spacing w:after="0"/>
              <w:rPr>
                <w:sz w:val="20"/>
                <w:szCs w:val="20"/>
                <w:color w:val="auto"/>
              </w:rPr>
            </w:pPr>
            <w:r>
              <w:rPr>
                <w:rFonts w:ascii="Arial" w:cs="Arial" w:eastAsia="Arial" w:hAnsi="Arial"/>
                <w:sz w:val="28"/>
                <w:szCs w:val="28"/>
                <w:color w:val="auto"/>
                <w:w w:val="89"/>
              </w:rPr>
              <w:t>6</w:t>
            </w:r>
          </w:p>
        </w:tc>
        <w:tc>
          <w:tcPr>
            <w:tcW w:w="2520" w:type="dxa"/>
            <w:vAlign w:val="bottom"/>
          </w:tcPr>
          <w:p>
            <w:pPr>
              <w:ind w:left="200"/>
              <w:spacing w:after="0"/>
              <w:rPr>
                <w:sz w:val="20"/>
                <w:szCs w:val="20"/>
                <w:color w:val="auto"/>
              </w:rPr>
            </w:pPr>
            <w:r>
              <w:rPr>
                <w:rFonts w:ascii="Arial" w:cs="Arial" w:eastAsia="Arial" w:hAnsi="Arial"/>
                <w:sz w:val="28"/>
                <w:szCs w:val="28"/>
                <w:color w:val="auto"/>
              </w:rPr>
              <w:t>Arizona</w:t>
            </w:r>
          </w:p>
        </w:tc>
        <w:tc>
          <w:tcPr>
            <w:tcW w:w="2180" w:type="dxa"/>
            <w:vAlign w:val="bottom"/>
          </w:tcPr>
          <w:p>
            <w:pPr>
              <w:jc w:val="center"/>
              <w:ind w:left="20"/>
              <w:spacing w:after="0"/>
              <w:rPr>
                <w:sz w:val="20"/>
                <w:szCs w:val="20"/>
                <w:color w:val="auto"/>
              </w:rPr>
            </w:pPr>
            <w:r>
              <w:rPr>
                <w:rFonts w:ascii="Arial" w:cs="Arial" w:eastAsia="Arial" w:hAnsi="Arial"/>
                <w:sz w:val="28"/>
                <w:szCs w:val="28"/>
                <w:color w:val="auto"/>
                <w:w w:val="89"/>
              </w:rPr>
              <w:t>1</w:t>
            </w:r>
          </w:p>
        </w:tc>
        <w:tc>
          <w:tcPr>
            <w:tcW w:w="2020" w:type="dxa"/>
            <w:vAlign w:val="bottom"/>
          </w:tcPr>
          <w:p>
            <w:pPr>
              <w:jc w:val="center"/>
              <w:ind w:right="20"/>
              <w:spacing w:after="0"/>
              <w:rPr>
                <w:sz w:val="20"/>
                <w:szCs w:val="20"/>
                <w:color w:val="auto"/>
              </w:rPr>
            </w:pPr>
            <w:r>
              <w:rPr>
                <w:rFonts w:ascii="Arial" w:cs="Arial" w:eastAsia="Arial" w:hAnsi="Arial"/>
                <w:sz w:val="28"/>
                <w:szCs w:val="28"/>
                <w:color w:val="auto"/>
                <w:w w:val="98"/>
              </w:rPr>
              <w:t>222</w:t>
            </w:r>
          </w:p>
        </w:tc>
        <w:tc>
          <w:tcPr>
            <w:tcW w:w="2120" w:type="dxa"/>
            <w:vAlign w:val="bottom"/>
          </w:tcPr>
          <w:p>
            <w:pPr>
              <w:jc w:val="center"/>
              <w:ind w:right="80"/>
              <w:spacing w:after="0"/>
              <w:rPr>
                <w:sz w:val="20"/>
                <w:szCs w:val="20"/>
                <w:color w:val="auto"/>
              </w:rPr>
            </w:pPr>
            <w:r>
              <w:rPr>
                <w:rFonts w:ascii="Arial" w:cs="Arial" w:eastAsia="Arial" w:hAnsi="Arial"/>
                <w:sz w:val="28"/>
                <w:szCs w:val="28"/>
                <w:color w:val="auto"/>
                <w:w w:val="93"/>
              </w:rPr>
              <w:t>4%</w:t>
            </w:r>
          </w:p>
        </w:tc>
      </w:tr>
      <w:tr>
        <w:trPr>
          <w:trHeight w:val="572"/>
        </w:trPr>
        <w:tc>
          <w:tcPr>
            <w:tcW w:w="1160" w:type="dxa"/>
            <w:vAlign w:val="bottom"/>
          </w:tcPr>
          <w:p>
            <w:pPr>
              <w:jc w:val="center"/>
              <w:spacing w:after="0"/>
              <w:rPr>
                <w:sz w:val="20"/>
                <w:szCs w:val="20"/>
                <w:color w:val="auto"/>
              </w:rPr>
            </w:pPr>
            <w:r>
              <w:rPr>
                <w:rFonts w:ascii="Arial" w:cs="Arial" w:eastAsia="Arial" w:hAnsi="Arial"/>
                <w:sz w:val="28"/>
                <w:szCs w:val="28"/>
                <w:color w:val="auto"/>
                <w:w w:val="89"/>
              </w:rPr>
              <w:t>7</w:t>
            </w:r>
          </w:p>
        </w:tc>
        <w:tc>
          <w:tcPr>
            <w:tcW w:w="2520" w:type="dxa"/>
            <w:vAlign w:val="bottom"/>
          </w:tcPr>
          <w:p>
            <w:pPr>
              <w:ind w:left="200"/>
              <w:spacing w:after="0"/>
              <w:rPr>
                <w:sz w:val="20"/>
                <w:szCs w:val="20"/>
                <w:color w:val="auto"/>
              </w:rPr>
            </w:pPr>
            <w:r>
              <w:rPr>
                <w:rFonts w:ascii="Arial" w:cs="Arial" w:eastAsia="Arial" w:hAnsi="Arial"/>
                <w:sz w:val="28"/>
                <w:szCs w:val="28"/>
                <w:color w:val="auto"/>
              </w:rPr>
              <w:t>New Mexico</w:t>
            </w:r>
          </w:p>
        </w:tc>
        <w:tc>
          <w:tcPr>
            <w:tcW w:w="2180" w:type="dxa"/>
            <w:vAlign w:val="bottom"/>
          </w:tcPr>
          <w:p>
            <w:pPr>
              <w:jc w:val="center"/>
              <w:ind w:left="20"/>
              <w:spacing w:after="0"/>
              <w:rPr>
                <w:sz w:val="20"/>
                <w:szCs w:val="20"/>
                <w:color w:val="auto"/>
              </w:rPr>
            </w:pPr>
            <w:r>
              <w:rPr>
                <w:rFonts w:ascii="Arial" w:cs="Arial" w:eastAsia="Arial" w:hAnsi="Arial"/>
                <w:sz w:val="28"/>
                <w:szCs w:val="28"/>
                <w:color w:val="auto"/>
                <w:w w:val="89"/>
              </w:rPr>
              <w:t>1</w:t>
            </w:r>
          </w:p>
        </w:tc>
        <w:tc>
          <w:tcPr>
            <w:tcW w:w="2020" w:type="dxa"/>
            <w:vAlign w:val="bottom"/>
          </w:tcPr>
          <w:p>
            <w:pPr>
              <w:jc w:val="center"/>
              <w:ind w:right="20"/>
              <w:spacing w:after="0"/>
              <w:rPr>
                <w:sz w:val="20"/>
                <w:szCs w:val="20"/>
                <w:color w:val="auto"/>
              </w:rPr>
            </w:pPr>
            <w:r>
              <w:rPr>
                <w:rFonts w:ascii="Arial" w:cs="Arial" w:eastAsia="Arial" w:hAnsi="Arial"/>
                <w:sz w:val="28"/>
                <w:szCs w:val="28"/>
                <w:color w:val="auto"/>
                <w:w w:val="98"/>
              </w:rPr>
              <w:t>212</w:t>
            </w:r>
          </w:p>
        </w:tc>
        <w:tc>
          <w:tcPr>
            <w:tcW w:w="2120" w:type="dxa"/>
            <w:vAlign w:val="bottom"/>
          </w:tcPr>
          <w:p>
            <w:pPr>
              <w:jc w:val="center"/>
              <w:ind w:right="80"/>
              <w:spacing w:after="0"/>
              <w:rPr>
                <w:sz w:val="20"/>
                <w:szCs w:val="20"/>
                <w:color w:val="auto"/>
              </w:rPr>
            </w:pPr>
            <w:r>
              <w:rPr>
                <w:rFonts w:ascii="Arial" w:cs="Arial" w:eastAsia="Arial" w:hAnsi="Arial"/>
                <w:sz w:val="28"/>
                <w:szCs w:val="28"/>
                <w:color w:val="auto"/>
                <w:w w:val="93"/>
              </w:rPr>
              <w:t>2%</w:t>
            </w:r>
          </w:p>
        </w:tc>
      </w:tr>
      <w:tr>
        <w:trPr>
          <w:trHeight w:val="91"/>
        </w:trPr>
        <w:tc>
          <w:tcPr>
            <w:tcW w:w="116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r>
      <w:tr>
        <w:trPr>
          <w:trHeight w:val="463"/>
        </w:trPr>
        <w:tc>
          <w:tcPr>
            <w:tcW w:w="116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Arial" w:cs="Arial" w:eastAsia="Arial" w:hAnsi="Arial"/>
                <w:sz w:val="28"/>
                <w:szCs w:val="28"/>
                <w:b w:val="1"/>
                <w:bCs w:val="1"/>
                <w:color w:val="auto"/>
              </w:rPr>
              <w:t>Total</w:t>
            </w:r>
          </w:p>
        </w:tc>
        <w:tc>
          <w:tcPr>
            <w:tcW w:w="2180" w:type="dxa"/>
            <w:vAlign w:val="bottom"/>
          </w:tcPr>
          <w:p>
            <w:pPr>
              <w:jc w:val="center"/>
              <w:ind w:left="20"/>
              <w:spacing w:after="0"/>
              <w:rPr>
                <w:sz w:val="20"/>
                <w:szCs w:val="20"/>
                <w:color w:val="auto"/>
              </w:rPr>
            </w:pPr>
            <w:r>
              <w:rPr>
                <w:rFonts w:ascii="Arial" w:cs="Arial" w:eastAsia="Arial" w:hAnsi="Arial"/>
                <w:sz w:val="28"/>
                <w:szCs w:val="28"/>
                <w:b w:val="1"/>
                <w:bCs w:val="1"/>
                <w:color w:val="auto"/>
              </w:rPr>
              <w:t>21</w:t>
            </w:r>
          </w:p>
        </w:tc>
        <w:tc>
          <w:tcPr>
            <w:tcW w:w="2020" w:type="dxa"/>
            <w:vAlign w:val="bottom"/>
          </w:tcPr>
          <w:p>
            <w:pPr>
              <w:jc w:val="center"/>
              <w:ind w:right="20"/>
              <w:spacing w:after="0"/>
              <w:rPr>
                <w:sz w:val="20"/>
                <w:szCs w:val="20"/>
                <w:color w:val="auto"/>
              </w:rPr>
            </w:pPr>
            <w:r>
              <w:rPr>
                <w:rFonts w:ascii="Arial" w:cs="Arial" w:eastAsia="Arial" w:hAnsi="Arial"/>
                <w:sz w:val="28"/>
                <w:szCs w:val="28"/>
                <w:b w:val="1"/>
                <w:bCs w:val="1"/>
                <w:color w:val="auto"/>
              </w:rPr>
              <w:t>5,501</w:t>
            </w:r>
          </w:p>
        </w:tc>
        <w:tc>
          <w:tcPr>
            <w:tcW w:w="2120" w:type="dxa"/>
            <w:vAlign w:val="bottom"/>
          </w:tcPr>
          <w:p>
            <w:pPr>
              <w:jc w:val="center"/>
              <w:ind w:right="80"/>
              <w:spacing w:after="0"/>
              <w:rPr>
                <w:sz w:val="20"/>
                <w:szCs w:val="20"/>
                <w:color w:val="auto"/>
              </w:rPr>
            </w:pPr>
            <w:r>
              <w:rPr>
                <w:rFonts w:ascii="Arial" w:cs="Arial" w:eastAsia="Arial" w:hAnsi="Arial"/>
                <w:sz w:val="28"/>
                <w:szCs w:val="28"/>
                <w:b w:val="1"/>
                <w:bCs w:val="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-2847975</wp:posOffset>
            </wp:positionV>
            <wp:extent cx="6378575" cy="2566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378575" cy="2566670"/>
                    </a:xfrm>
                    <a:prstGeom prst="rect">
                      <a:avLst/>
                    </a:prstGeom>
                    <a:noFill/>
                  </pic:spPr>
                </pic:pic>
              </a:graphicData>
            </a:graphic>
          </wp:anchor>
        </w:drawing>
      </w:r>
    </w:p>
    <w:p>
      <w:pPr>
        <w:sectPr>
          <w:pgSz w:w="11880" w:h="15480" w:orient="portrait"/>
          <w:cols w:equalWidth="0" w:num="1">
            <w:col w:w="10760"/>
          </w:cols>
          <w:pgMar w:left="580" w:top="437" w:right="540" w:bottom="688"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6"/>
          <w:szCs w:val="26"/>
          <w:b w:val="1"/>
          <w:bCs w:val="1"/>
          <w:color w:val="auto"/>
        </w:rPr>
        <mc:AlternateContent>
          <mc:Choice Requires="wps">
            <w:drawing>
              <wp:anchor simplePos="0" relativeHeight="251657728" behindDoc="1" locked="0" layoutInCell="0" allowOverlap="1">
                <wp:simplePos x="0" y="0"/>
                <wp:positionH relativeFrom="page">
                  <wp:posOffset>341630</wp:posOffset>
                </wp:positionH>
                <wp:positionV relativeFrom="page">
                  <wp:posOffset>492760</wp:posOffset>
                </wp:positionV>
                <wp:extent cx="685990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905" cy="4763"/>
                        </a:xfrm>
                        <a:prstGeom prst="line">
                          <a:avLst/>
                        </a:prstGeom>
                        <a:solidFill>
                          <a:srgbClr val="FFFFFF"/>
                        </a:solidFill>
                        <a:ln w="25349">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6.9pt,38.8pt" to="567.05pt,38.8pt" o:allowincell="f" strokecolor="#000000" strokeweight="1.996pt">
                <w10:wrap anchorx="page" anchory="page"/>
              </v:line>
            </w:pict>
          </mc:Fallback>
        </mc:AlternateContent>
        <mc:AlternateContent>
          <mc:Choice Requires="wps">
            <w:drawing>
              <wp:anchor simplePos="0" relativeHeight="251657728" behindDoc="1" locked="0" layoutInCell="0" allowOverlap="1">
                <wp:simplePos x="0" y="0"/>
                <wp:positionH relativeFrom="page">
                  <wp:posOffset>341630</wp:posOffset>
                </wp:positionH>
                <wp:positionV relativeFrom="page">
                  <wp:posOffset>549910</wp:posOffset>
                </wp:positionV>
                <wp:extent cx="685990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905" cy="4763"/>
                        </a:xfrm>
                        <a:prstGeom prst="line">
                          <a:avLst/>
                        </a:prstGeom>
                        <a:solidFill>
                          <a:srgbClr val="FFFFFF"/>
                        </a:solidFill>
                        <a:ln w="1267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6.9pt,43.3pt" to="567.05pt,43.3pt" o:allowincell="f" strokecolor="#000000" strokeweight="0.998pt">
                <w10:wrap anchorx="page" anchory="page"/>
              </v:line>
            </w:pict>
          </mc:Fallback>
        </mc:AlternateContent>
        <w:t>UNITED STATES</w:t>
      </w: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2744470</wp:posOffset>
                </wp:positionH>
                <wp:positionV relativeFrom="paragraph">
                  <wp:posOffset>81915</wp:posOffset>
                </wp:positionV>
                <wp:extent cx="136842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1pt,6.45pt" to="323.85pt,6.45pt" o:allowincell="f" strokecolor="#000000" strokeweight="0.499pt"/>
            </w:pict>
          </mc:Fallback>
        </mc:AlternateConten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2744470</wp:posOffset>
                </wp:positionH>
                <wp:positionV relativeFrom="paragraph">
                  <wp:posOffset>71755</wp:posOffset>
                </wp:positionV>
                <wp:extent cx="136842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1pt,5.65pt" to="323.85pt,5.65pt" o:allowincell="f" strokecolor="#000000" strokeweight="0.499pt"/>
            </w:pict>
          </mc:Fallback>
        </mc:AlternateContent>
      </w:r>
    </w:p>
    <w:p>
      <w:pPr>
        <w:spacing w:after="0" w:line="215" w:lineRule="exact"/>
        <w:rPr>
          <w:sz w:val="20"/>
          <w:szCs w:val="20"/>
          <w:color w:val="auto"/>
        </w:rPr>
      </w:pPr>
    </w:p>
    <w:p>
      <w:pPr>
        <w:spacing w:after="0" w:line="228" w:lineRule="exact"/>
        <w:rPr>
          <w:sz w:val="20"/>
          <w:szCs w:val="20"/>
          <w:color w:val="auto"/>
        </w:rPr>
      </w:pP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b w:val="1"/>
          <w:bCs w:val="1"/>
          <w:color w:val="auto"/>
        </w:rPr>
        <w:t xml:space="preserve">  ANNUAL REPORT PURSUANT TO SECTION 13 OR 15(d) OF THE SECURITIES EXCHANGE ACT OF 1934</w:t>
      </w:r>
    </w:p>
    <w:p>
      <w:pPr>
        <w:spacing w:after="0" w:line="2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54" w:lineRule="exact"/>
        <w:rPr>
          <w:sz w:val="20"/>
          <w:szCs w:val="20"/>
          <w:color w:val="auto"/>
        </w:rPr>
      </w:pPr>
    </w:p>
    <w:p>
      <w:pPr>
        <w:spacing w:after="0" w:line="228" w:lineRule="exact"/>
        <w:rPr>
          <w:sz w:val="20"/>
          <w:szCs w:val="20"/>
          <w:color w:val="auto"/>
        </w:rPr>
      </w:pP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b w:val="1"/>
          <w:bCs w:val="1"/>
          <w:color w:val="auto"/>
        </w:rPr>
        <w:t xml:space="preserve">  TRANSITION REPORT PURSUANT TO SECTION 13 OR 15(d) OF THE SECURITIES EXCHANGE ACT OF 1934</w:t>
      </w:r>
    </w:p>
    <w:p>
      <w:pPr>
        <w:sectPr>
          <w:pgSz w:w="11880" w:h="15480" w:orient="portrait"/>
          <w:cols w:equalWidth="0" w:num="1">
            <w:col w:w="10800"/>
          </w:cols>
          <w:pgMar w:left="540" w:top="907" w:right="540" w:bottom="337" w:gutter="0" w:footer="0" w:header="0"/>
        </w:sectPr>
      </w:pPr>
    </w:p>
    <w:p>
      <w:pPr>
        <w:spacing w:after="0" w:line="1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5"/>
          <w:szCs w:val="15"/>
          <w:b w:val="1"/>
          <w:bCs w:val="1"/>
          <w:color w:val="auto"/>
        </w:rPr>
        <w:t>Commission File Number 001-11350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2744470</wp:posOffset>
                </wp:positionH>
                <wp:positionV relativeFrom="paragraph">
                  <wp:posOffset>104140</wp:posOffset>
                </wp:positionV>
                <wp:extent cx="13684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1pt,8.2pt" to="323.85pt,8.2pt" o:allowincell="f" strokecolor="#000000" strokeweight="0.499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440" w:lineRule="exact"/>
        <w:rPr>
          <w:sz w:val="20"/>
          <w:szCs w:val="20"/>
          <w:color w:val="auto"/>
        </w:rPr>
      </w:pPr>
    </w:p>
    <w:p>
      <w:pPr>
        <w:sectPr>
          <w:pgSz w:w="11880" w:h="15480" w:orient="portrait"/>
          <w:cols w:equalWidth="0" w:num="2">
            <w:col w:w="6600" w:space="340"/>
            <w:col w:w="3860"/>
          </w:cols>
          <w:pgMar w:left="540" w:top="907" w:right="540" w:bottom="337" w:gutter="0" w:footer="0" w:header="0"/>
          <w:type w:val="continuous"/>
        </w:sectPr>
      </w:pP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CTO REALTY GROWTH, INC.</w:t>
      </w: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2744470</wp:posOffset>
                </wp:positionH>
                <wp:positionV relativeFrom="paragraph">
                  <wp:posOffset>108585</wp:posOffset>
                </wp:positionV>
                <wp:extent cx="136842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1pt,8.55pt" to="323.85pt,8.55pt" o:allowincell="f" strokecolor="#000000" strokeweight="0.499pt"/>
            </w:pict>
          </mc:Fallback>
        </mc:AlternateConten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3"/>
          </w:tcPr>
          <w:p>
            <w:pPr>
              <w:jc w:val="center"/>
              <w:ind w:left="878"/>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36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59-0483700</w:t>
            </w:r>
          </w:p>
        </w:tc>
      </w:tr>
      <w:tr>
        <w:trPr>
          <w:trHeight w:val="180"/>
        </w:trPr>
        <w:tc>
          <w:tcPr>
            <w:tcW w:w="4320" w:type="dxa"/>
            <w:vAlign w:val="bottom"/>
            <w:gridSpan w:val="3"/>
          </w:tcPr>
          <w:p>
            <w:pPr>
              <w:jc w:val="center"/>
              <w:ind w:left="878"/>
              <w:spacing w:after="0" w:line="180"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2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60" w:type="dxa"/>
            <w:vAlign w:val="bottom"/>
            <w:gridSpan w:val="2"/>
          </w:tcPr>
          <w:p>
            <w:pPr>
              <w:jc w:val="center"/>
              <w:ind w:right="1840"/>
              <w:spacing w:after="0" w:line="180" w:lineRule="exact"/>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4320" w:type="dxa"/>
            <w:vAlign w:val="bottom"/>
            <w:gridSpan w:val="3"/>
          </w:tcPr>
          <w:p>
            <w:pPr>
              <w:jc w:val="center"/>
              <w:ind w:left="878"/>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60" w:type="dxa"/>
            <w:vAlign w:val="bottom"/>
            <w:gridSpan w:val="2"/>
          </w:tcPr>
          <w:p>
            <w:pPr>
              <w:jc w:val="center"/>
              <w:ind w:right="1840"/>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02"/>
        </w:trPr>
        <w:tc>
          <w:tcPr>
            <w:tcW w:w="4320" w:type="dxa"/>
            <w:vAlign w:val="bottom"/>
            <w:gridSpan w:val="3"/>
          </w:tcPr>
          <w:p>
            <w:pPr>
              <w:jc w:val="center"/>
              <w:ind w:left="878"/>
              <w:spacing w:after="0"/>
              <w:rPr>
                <w:sz w:val="20"/>
                <w:szCs w:val="20"/>
                <w:color w:val="auto"/>
              </w:rPr>
            </w:pPr>
            <w:r>
              <w:rPr>
                <w:rFonts w:ascii="Times New Roman" w:cs="Times New Roman" w:eastAsia="Times New Roman" w:hAnsi="Times New Roman"/>
                <w:sz w:val="17"/>
                <w:szCs w:val="17"/>
                <w:b w:val="1"/>
                <w:bCs w:val="1"/>
                <w:color w:val="auto"/>
                <w:w w:val="97"/>
              </w:rPr>
              <w:t>369 N. New York Avenue, Suite 201</w:t>
            </w: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36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32789</w:t>
            </w:r>
          </w:p>
        </w:tc>
      </w:tr>
      <w:tr>
        <w:trPr>
          <w:trHeight w:val="185"/>
        </w:trPr>
        <w:tc>
          <w:tcPr>
            <w:tcW w:w="4320" w:type="dxa"/>
            <w:vAlign w:val="bottom"/>
            <w:gridSpan w:val="3"/>
          </w:tcPr>
          <w:p>
            <w:pPr>
              <w:jc w:val="center"/>
              <w:ind w:left="878"/>
              <w:spacing w:after="0" w:line="185" w:lineRule="exact"/>
              <w:rPr>
                <w:sz w:val="20"/>
                <w:szCs w:val="20"/>
                <w:color w:val="auto"/>
              </w:rPr>
            </w:pPr>
            <w:r>
              <w:rPr>
                <w:rFonts w:ascii="Times New Roman" w:cs="Times New Roman" w:eastAsia="Times New Roman" w:hAnsi="Times New Roman"/>
                <w:sz w:val="17"/>
                <w:szCs w:val="17"/>
                <w:b w:val="1"/>
                <w:bCs w:val="1"/>
                <w:color w:val="auto"/>
                <w:w w:val="95"/>
              </w:rPr>
              <w:t>Winter Park, Florida</w:t>
            </w:r>
          </w:p>
        </w:tc>
        <w:tc>
          <w:tcPr>
            <w:tcW w:w="2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tcPr>
          <w:p>
            <w:pPr>
              <w:jc w:val="center"/>
              <w:ind w:right="2080"/>
              <w:spacing w:after="0"/>
              <w:rPr>
                <w:sz w:val="20"/>
                <w:szCs w:val="20"/>
                <w:color w:val="auto"/>
              </w:rPr>
            </w:pPr>
            <w:r>
              <w:rPr>
                <w:rFonts w:ascii="Times New Roman" w:cs="Times New Roman" w:eastAsia="Times New Roman" w:hAnsi="Times New Roman"/>
                <w:sz w:val="16"/>
                <w:szCs w:val="16"/>
                <w:color w:val="auto"/>
              </w:rPr>
              <w:t>(Zip Code)</w:t>
            </w:r>
          </w:p>
        </w:tc>
      </w:tr>
      <w:tr>
        <w:trPr>
          <w:trHeight w:val="211"/>
        </w:trPr>
        <w:tc>
          <w:tcPr>
            <w:tcW w:w="4320" w:type="dxa"/>
            <w:vAlign w:val="bottom"/>
            <w:gridSpan w:val="3"/>
          </w:tcPr>
          <w:p>
            <w:pPr>
              <w:jc w:val="center"/>
              <w:ind w:left="878"/>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88"/>
        </w:trPr>
        <w:tc>
          <w:tcPr>
            <w:tcW w:w="3360" w:type="dxa"/>
            <w:vAlign w:val="bottom"/>
          </w:tcPr>
          <w:p>
            <w:pPr>
              <w:spacing w:after="0"/>
              <w:rPr>
                <w:sz w:val="24"/>
                <w:szCs w:val="24"/>
                <w:color w:val="auto"/>
              </w:rPr>
            </w:pPr>
          </w:p>
        </w:tc>
        <w:tc>
          <w:tcPr>
            <w:tcW w:w="4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Registrant’s telephone number, including area code</w:t>
            </w:r>
          </w:p>
        </w:tc>
        <w:tc>
          <w:tcPr>
            <w:tcW w:w="24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1"/>
        </w:trPr>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(407) 904-3324</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100"/>
        </w:trPr>
        <w:tc>
          <w:tcPr>
            <w:tcW w:w="3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200" w:type="dxa"/>
            <w:vAlign w:val="bottom"/>
            <w:gridSpan w:val="2"/>
          </w:tcPr>
          <w:p>
            <w:pPr>
              <w:spacing w:after="0"/>
              <w:rPr>
                <w:sz w:val="8"/>
                <w:szCs w:val="8"/>
                <w:color w:val="auto"/>
              </w:rPr>
            </w:pPr>
          </w:p>
        </w:tc>
        <w:tc>
          <w:tcPr>
            <w:tcW w:w="3120" w:type="dxa"/>
            <w:vAlign w:val="bottom"/>
          </w:tcPr>
          <w:p>
            <w:pPr>
              <w:spacing w:after="0"/>
              <w:rPr>
                <w:sz w:val="8"/>
                <w:szCs w:val="8"/>
                <w:color w:val="auto"/>
              </w:rPr>
            </w:pPr>
          </w:p>
        </w:tc>
      </w:tr>
      <w:tr>
        <w:trPr>
          <w:trHeight w:val="260"/>
        </w:trPr>
        <w:tc>
          <w:tcPr>
            <w:tcW w:w="108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34"/>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6"/>
              </w:rPr>
              <w:t>Trading Symbol</w:t>
            </w:r>
          </w:p>
        </w:tc>
        <w:tc>
          <w:tcPr>
            <w:tcW w:w="2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Name of each exchange on which registered:</w:t>
            </w:r>
          </w:p>
        </w:tc>
      </w:tr>
      <w:tr>
        <w:trPr>
          <w:trHeight w:val="195"/>
        </w:trPr>
        <w:tc>
          <w:tcPr>
            <w:tcW w:w="432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6"/>
              </w:rPr>
              <w:t>Common Stock, $0.01 par value per share</w:t>
            </w:r>
          </w:p>
        </w:tc>
        <w:tc>
          <w:tcPr>
            <w:tcW w:w="312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CTO</w:t>
            </w:r>
          </w:p>
        </w:tc>
        <w:tc>
          <w:tcPr>
            <w:tcW w:w="24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NYSE</w:t>
            </w:r>
          </w:p>
        </w:tc>
      </w:tr>
      <w:tr>
        <w:trPr>
          <w:trHeight w:val="191"/>
        </w:trPr>
        <w:tc>
          <w:tcPr>
            <w:tcW w:w="432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5"/>
              </w:rPr>
              <w:t>6.375% Series A Cumulative Redeemable</w:t>
            </w:r>
          </w:p>
        </w:tc>
        <w:tc>
          <w:tcPr>
            <w:tcW w:w="2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203"/>
        </w:trPr>
        <w:tc>
          <w:tcPr>
            <w:tcW w:w="432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5"/>
              </w:rPr>
              <w:t>Preferred Stock, $0.01 par value per share</w:t>
            </w:r>
          </w:p>
        </w:tc>
        <w:tc>
          <w:tcPr>
            <w:tcW w:w="312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CTO/PA</w:t>
            </w:r>
          </w:p>
        </w:tc>
        <w:tc>
          <w:tcPr>
            <w:tcW w:w="24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NYSE</w:t>
            </w:r>
          </w:p>
        </w:tc>
      </w:tr>
    </w:tbl>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2744470</wp:posOffset>
                </wp:positionH>
                <wp:positionV relativeFrom="paragraph">
                  <wp:posOffset>59055</wp:posOffset>
                </wp:positionV>
                <wp:extent cx="13684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1pt,4.65pt" to="323.85pt,4.65pt" o:allowincell="f" strokecolor="#000000" strokeweight="0.499pt"/>
            </w:pict>
          </mc:Fallback>
        </mc:AlternateContent>
      </w:r>
    </w:p>
    <w:p>
      <w:pPr>
        <w:spacing w:after="0" w:line="147" w:lineRule="exact"/>
        <w:rPr>
          <w:sz w:val="20"/>
          <w:szCs w:val="20"/>
          <w:color w:val="auto"/>
        </w:rPr>
      </w:pPr>
    </w:p>
    <w:p>
      <w:pPr>
        <w:ind w:left="400" w:right="12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9" w:lineRule="exact"/>
        <w:rPr>
          <w:sz w:val="20"/>
          <w:szCs w:val="20"/>
          <w:color w:val="auto"/>
        </w:rPr>
      </w:pPr>
    </w:p>
    <w:p>
      <w:pPr>
        <w:ind w:firstLine="399"/>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8" w:lineRule="exact"/>
        <w:rPr>
          <w:sz w:val="20"/>
          <w:szCs w:val="20"/>
          <w:color w:val="auto"/>
        </w:rPr>
      </w:pPr>
    </w:p>
    <w:p>
      <w:pPr>
        <w:ind w:right="200" w:firstLine="399"/>
        <w:spacing w:after="0" w:line="19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9" w:lineRule="exact"/>
        <w:rPr>
          <w:sz w:val="20"/>
          <w:szCs w:val="20"/>
          <w:color w:val="auto"/>
        </w:rPr>
      </w:pPr>
    </w:p>
    <w:p>
      <w:pPr>
        <w:ind w:right="120" w:firstLine="399"/>
        <w:spacing w:after="0" w:line="24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800"/>
          </w:cols>
          <w:pgMar w:left="540" w:top="907" w:right="540" w:bottom="337"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Times New Roman" w:cs="Times New Roman" w:eastAsia="Times New Roman" w:hAnsi="Times New Roman"/>
          <w:sz w:val="16"/>
          <w:szCs w:val="16"/>
          <w:color w:val="auto"/>
        </w:rPr>
        <w:t>Smaller reporting company Emerging growth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r>
        <w:rPr>
          <w:rFonts w:ascii="Arial Unicode MS" w:cs="Arial Unicode MS" w:eastAsia="Arial Unicode MS" w:hAnsi="Arial Unicode MS"/>
          <w:sz w:val="16"/>
          <w:szCs w:val="16"/>
          <w:color w:val="auto"/>
        </w:rPr>
        <w:t>☐</w:t>
      </w:r>
    </w:p>
    <w:p>
      <w:pPr>
        <w:spacing w:after="0" w:line="192" w:lineRule="exact"/>
        <w:rPr>
          <w:sz w:val="20"/>
          <w:szCs w:val="20"/>
          <w:color w:val="auto"/>
        </w:rPr>
      </w:pPr>
      <w:r>
        <w:rPr>
          <w:rFonts w:ascii="Arial Unicode MS" w:cs="Arial Unicode MS" w:eastAsia="Arial Unicode MS" w:hAnsi="Arial Unicode MS"/>
          <w:sz w:val="16"/>
          <w:szCs w:val="16"/>
          <w:color w:val="auto"/>
        </w:rPr>
        <w:t>☐</w:t>
      </w:r>
    </w:p>
    <w:p>
      <w:pPr>
        <w:spacing w:after="0" w:line="32" w:lineRule="exact"/>
        <w:rPr>
          <w:sz w:val="20"/>
          <w:szCs w:val="20"/>
          <w:color w:val="auto"/>
        </w:rPr>
      </w:pPr>
    </w:p>
    <w:p>
      <w:pPr>
        <w:sectPr>
          <w:pgSz w:w="11880" w:h="15480" w:orient="portrait"/>
          <w:cols w:equalWidth="0" w:num="8">
            <w:col w:w="1500" w:space="160"/>
            <w:col w:w="380" w:space="720"/>
            <w:col w:w="1100" w:space="160"/>
            <w:col w:w="780" w:space="720"/>
            <w:col w:w="1420" w:space="160"/>
            <w:col w:w="460" w:space="720"/>
            <w:col w:w="1840" w:space="160"/>
            <w:col w:w="520"/>
          </w:cols>
          <w:pgMar w:left="540" w:top="907" w:right="540" w:bottom="337" w:gutter="0" w:footer="0" w:header="0"/>
          <w:type w:val="continuous"/>
        </w:sectPr>
      </w:pPr>
    </w:p>
    <w:p>
      <w:pPr>
        <w:ind w:right="40" w:firstLine="399"/>
        <w:spacing w:after="0" w:line="19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9" w:lineRule="exact"/>
        <w:rPr>
          <w:sz w:val="20"/>
          <w:szCs w:val="20"/>
          <w:color w:val="auto"/>
        </w:rPr>
      </w:pPr>
    </w:p>
    <w:p>
      <w:pPr>
        <w:ind w:right="180" w:firstLine="399"/>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18" w:lineRule="exact"/>
        <w:rPr>
          <w:sz w:val="20"/>
          <w:szCs w:val="20"/>
          <w:color w:val="auto"/>
        </w:rPr>
      </w:pPr>
    </w:p>
    <w:p>
      <w:pPr>
        <w:ind w:right="140" w:firstLine="399"/>
        <w:spacing w:after="0" w:line="19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19" w:lineRule="exact"/>
        <w:rPr>
          <w:sz w:val="20"/>
          <w:szCs w:val="20"/>
          <w:color w:val="auto"/>
        </w:rPr>
      </w:pPr>
    </w:p>
    <w:p>
      <w:pPr>
        <w:ind w:firstLine="399"/>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Arial Unicode MS" w:cs="Arial Unicode MS" w:eastAsia="Arial Unicode MS" w:hAnsi="Arial Unicode MS"/>
          <w:sz w:val="16"/>
          <w:szCs w:val="16"/>
          <w:color w:val="auto"/>
        </w:rPr>
        <w:t>☐</w:t>
      </w:r>
    </w:p>
    <w:p>
      <w:pPr>
        <w:spacing w:after="0" w:line="16" w:lineRule="exact"/>
        <w:rPr>
          <w:sz w:val="20"/>
          <w:szCs w:val="20"/>
          <w:color w:val="auto"/>
        </w:rPr>
      </w:pPr>
    </w:p>
    <w:p>
      <w:pPr>
        <w:ind w:left="40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8"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16"/>
          <w:szCs w:val="16"/>
          <w:color w:val="auto"/>
        </w:rPr>
        <w:t>At June 30, 2025, the aggregate market value of voting and non-voting common stock held by non-affiliates of the registrant was $545,448,000 based upon the last reported sale price on the NYSE on June 30, 2025, the last business day of the registrant’s most recently completed second fiscal quarter. The determination of affiliate status is solely for the purpose of this report and shall not be construed as an admission for the purposes of determining affiliate status.</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on February 12, 2026 was 32,559,588.</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DOCUMENTS INCORPORATED BY REFERENCE</w:t>
      </w:r>
    </w:p>
    <w:p>
      <w:pPr>
        <w:spacing w:after="0" w:line="59" w:lineRule="exact"/>
        <w:rPr>
          <w:sz w:val="20"/>
          <w:szCs w:val="20"/>
          <w:color w:val="auto"/>
        </w:rPr>
      </w:pPr>
    </w:p>
    <w:p>
      <w:pPr>
        <w:ind w:right="20" w:firstLine="399"/>
        <w:spacing w:after="0" w:line="246" w:lineRule="auto"/>
        <w:rPr>
          <w:sz w:val="20"/>
          <w:szCs w:val="20"/>
          <w:color w:val="auto"/>
        </w:rPr>
      </w:pPr>
      <w:r>
        <w:rPr>
          <w:rFonts w:ascii="Times New Roman" w:cs="Times New Roman" w:eastAsia="Times New Roman" w:hAnsi="Times New Roman"/>
          <w:sz w:val="16"/>
          <w:szCs w:val="16"/>
          <w:color w:val="auto"/>
        </w:rPr>
        <w:t>Registrant incorporates by reference into Part III (Items 10, 11, 12, 13 and 14) of this Annual Report on Form 10-K portions of CTO Realty Growth, Inc.’s definitive Proxy Statement for the 2026 Annual Meeting of Stockholders to be filed with the Securities and Exchange Commission (the “Commission”) pursuant to Regulation 14A. The definitive Proxy Statement will be filed with the Commission not later than 120 days after the end of the fiscal year covered by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34925</wp:posOffset>
                </wp:positionV>
                <wp:extent cx="685927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12674">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75pt" to="540.05pt,2.75pt" o:allowincell="f" strokecolor="#000000" strokeweight="0.998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79375</wp:posOffset>
                </wp:positionV>
                <wp:extent cx="685927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25349">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25pt" to="540.05pt,6.25pt" o:allowincell="f" strokecolor="#000000" strokeweight="1.996pt"/>
            </w:pict>
          </mc:Fallback>
        </mc:AlternateContent>
      </w:r>
    </w:p>
    <w:p>
      <w:pPr>
        <w:sectPr>
          <w:pgSz w:w="11880" w:h="15480" w:orient="portrait"/>
          <w:cols w:equalWidth="0" w:num="1">
            <w:col w:w="10800"/>
          </w:cols>
          <w:pgMar w:left="540" w:top="907" w:right="540" w:bottom="337" w:gutter="0" w:footer="0" w:header="0"/>
          <w:type w:val="continuous"/>
        </w:sectPr>
      </w:pPr>
    </w:p>
    <w:bookmarkStart w:id="5" w:name="page6"/>
    <w:bookmarkEnd w:id="5"/>
    <w:p>
      <w:pPr>
        <w:ind w:left="34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5442585</wp:posOffset>
                </wp:positionH>
                <wp:positionV relativeFrom="paragraph">
                  <wp:posOffset>33655</wp:posOffset>
                </wp:positionV>
                <wp:extent cx="30416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1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55pt,2.65pt" to="452.5pt,2.65pt" o:allowincell="f" strokecolor="#000000" strokeweight="0.499pt"/>
            </w:pict>
          </mc:Fallback>
        </mc:AlternateContent>
      </w:r>
    </w:p>
    <w:p>
      <w:pPr>
        <w:spacing w:after="0" w:line="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72" w:lineRule="exact"/>
        <w:rPr>
          <w:sz w:val="20"/>
          <w:szCs w:val="20"/>
          <w:color w:val="auto"/>
        </w:rPr>
      </w:pPr>
    </w:p>
    <w:p>
      <w:pPr>
        <w:ind w:left="20"/>
        <w:spacing w:after="0"/>
        <w:tabs>
          <w:tab w:leader="none" w:pos="1000" w:val="left"/>
          <w:tab w:leader="none" w:pos="87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w:t>
      </w:r>
      <w:r>
        <w:rPr>
          <w:sz w:val="20"/>
          <w:szCs w:val="20"/>
          <w:color w:val="auto"/>
        </w:rPr>
        <w:tab/>
      </w:r>
      <w:r>
        <w:rPr>
          <w:rFonts w:ascii="Times New Roman" w:cs="Times New Roman" w:eastAsia="Times New Roman" w:hAnsi="Times New Roman"/>
          <w:sz w:val="20"/>
          <w:szCs w:val="20"/>
          <w:color w:val="auto"/>
        </w:rPr>
        <w:t>2</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w:t>
        <w:tab/>
        <w:t>13</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w:t>
        <w:tab/>
        <w:t>44</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1C.</w:t>
        <w:tab/>
        <w:t>CYBERSECURITY . . . . . . . . . . . . . . . . . . . . . . . . . . . . . . . . . . . . . . . . . . . . . .</w:t>
        <w:tab/>
        <w:t>44</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w:t>
        <w:tab/>
        <w:t>46</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w:t>
        <w:tab/>
        <w:t>46</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w:t>
        <w:tab/>
        <w:t>46</w:t>
      </w:r>
    </w:p>
    <w:p>
      <w:pPr>
        <w:spacing w:after="0" w:line="18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7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STOCKHOLDER MATTERS, AND ISSUER PURCHASES OF EQUITY</w:t>
      </w:r>
    </w:p>
    <w:p>
      <w:pPr>
        <w:spacing w:after="0" w:line="9" w:lineRule="exact"/>
        <w:rPr>
          <w:sz w:val="20"/>
          <w:szCs w:val="20"/>
          <w:color w:val="auto"/>
        </w:rPr>
      </w:pPr>
    </w:p>
    <w:p>
      <w:pPr>
        <w:ind w:left="1020"/>
        <w:spacing w:after="0"/>
        <w:tabs>
          <w:tab w:leader="none" w:pos="8680" w:val="left"/>
        </w:tabs>
        <w:rPr>
          <w:sz w:val="20"/>
          <w:szCs w:val="20"/>
          <w:color w:val="auto"/>
        </w:rPr>
      </w:pPr>
      <w:r>
        <w:rPr>
          <w:rFonts w:ascii="Times New Roman" w:cs="Times New Roman" w:eastAsia="Times New Roman" w:hAnsi="Times New Roman"/>
          <w:sz w:val="20"/>
          <w:szCs w:val="20"/>
          <w:color w:val="auto"/>
        </w:rPr>
        <w:t>SECURITIES . . . . . . . . . . . . . . . . . . . . . . . . . . . . . . . . . . . . . . . . . . . . . . . . . .</w:t>
        <w:tab/>
        <w:t>47</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w:t>
        <w:tab/>
        <w:t>49</w:t>
      </w:r>
    </w:p>
    <w:p>
      <w:pPr>
        <w:spacing w:after="0" w:line="69"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w:t>
      </w:r>
    </w:p>
    <w:p>
      <w:pPr>
        <w:spacing w:after="0" w:line="9" w:lineRule="exact"/>
        <w:rPr>
          <w:sz w:val="20"/>
          <w:szCs w:val="20"/>
          <w:color w:val="auto"/>
        </w:rPr>
      </w:pPr>
    </w:p>
    <w:p>
      <w:pPr>
        <w:ind w:left="1020"/>
        <w:spacing w:after="0"/>
        <w:tabs>
          <w:tab w:leader="none" w:pos="8680" w:val="left"/>
        </w:tabs>
        <w:rPr>
          <w:sz w:val="20"/>
          <w:szCs w:val="20"/>
          <w:color w:val="auto"/>
        </w:rPr>
      </w:pPr>
      <w:r>
        <w:rPr>
          <w:rFonts w:ascii="Times New Roman" w:cs="Times New Roman" w:eastAsia="Times New Roman" w:hAnsi="Times New Roman"/>
          <w:sz w:val="20"/>
          <w:szCs w:val="20"/>
          <w:color w:val="auto"/>
        </w:rPr>
        <w:t>CONDITION AND RESULTS OF OPERATIONS  . . . . . . . . . . . . . . . . . . . . . . .</w:t>
        <w:tab/>
        <w:t>49</w:t>
      </w:r>
    </w:p>
    <w:p>
      <w:pPr>
        <w:spacing w:after="0" w:line="69"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w:t>
      </w:r>
    </w:p>
    <w:p>
      <w:pPr>
        <w:spacing w:after="0" w:line="9" w:lineRule="exact"/>
        <w:rPr>
          <w:sz w:val="20"/>
          <w:szCs w:val="20"/>
          <w:color w:val="auto"/>
        </w:rPr>
      </w:pPr>
    </w:p>
    <w:p>
      <w:pPr>
        <w:ind w:left="1020"/>
        <w:spacing w:after="0"/>
        <w:tabs>
          <w:tab w:leader="none" w:pos="8680" w:val="left"/>
        </w:tabs>
        <w:rPr>
          <w:sz w:val="20"/>
          <w:szCs w:val="20"/>
          <w:color w:val="auto"/>
        </w:rPr>
      </w:pPr>
      <w:r>
        <w:rPr>
          <w:rFonts w:ascii="Times New Roman" w:cs="Times New Roman" w:eastAsia="Times New Roman" w:hAnsi="Times New Roman"/>
          <w:sz w:val="20"/>
          <w:szCs w:val="20"/>
          <w:color w:val="auto"/>
        </w:rPr>
        <w:t>RISK  . . . . . . . . . . . . . . . . . . . . . . . . . . . . . . . . . . . . . . . . . . . . . . . . . . . . . . . .</w:t>
        <w:tab/>
        <w:t>61</w:t>
      </w:r>
    </w:p>
    <w:p>
      <w:pPr>
        <w:spacing w:after="0" w:line="69" w:lineRule="exact"/>
        <w:rPr>
          <w:sz w:val="20"/>
          <w:szCs w:val="20"/>
          <w:color w:val="auto"/>
        </w:rPr>
      </w:pPr>
    </w:p>
    <w:p>
      <w:pPr>
        <w:ind w:left="20"/>
        <w:spacing w:after="0"/>
        <w:tabs>
          <w:tab w:leader="none" w:pos="1000" w:val="left"/>
          <w:tab w:leader="none" w:pos="870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w:t>
      </w:r>
      <w:r>
        <w:rPr>
          <w:sz w:val="20"/>
          <w:szCs w:val="20"/>
          <w:color w:val="auto"/>
        </w:rPr>
        <w:tab/>
      </w:r>
      <w:r>
        <w:rPr>
          <w:rFonts w:ascii="Times New Roman" w:cs="Times New Roman" w:eastAsia="Times New Roman" w:hAnsi="Times New Roman"/>
          <w:sz w:val="18"/>
          <w:szCs w:val="18"/>
          <w:color w:val="auto"/>
        </w:rPr>
        <w:t>61</w:t>
      </w:r>
    </w:p>
    <w:p>
      <w:pPr>
        <w:spacing w:after="0" w:line="69"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w:t>
      </w:r>
    </w:p>
    <w:p>
      <w:pPr>
        <w:spacing w:after="0" w:line="9" w:lineRule="exact"/>
        <w:rPr>
          <w:sz w:val="20"/>
          <w:szCs w:val="20"/>
          <w:color w:val="auto"/>
        </w:rPr>
      </w:pPr>
    </w:p>
    <w:p>
      <w:pPr>
        <w:ind w:left="1020"/>
        <w:spacing w:after="0"/>
        <w:tabs>
          <w:tab w:leader="none" w:pos="8680" w:val="left"/>
        </w:tabs>
        <w:rPr>
          <w:sz w:val="20"/>
          <w:szCs w:val="20"/>
          <w:color w:val="auto"/>
        </w:rPr>
      </w:pPr>
      <w:r>
        <w:rPr>
          <w:rFonts w:ascii="Times New Roman" w:cs="Times New Roman" w:eastAsia="Times New Roman" w:hAnsi="Times New Roman"/>
          <w:sz w:val="20"/>
          <w:szCs w:val="20"/>
          <w:color w:val="auto"/>
        </w:rPr>
        <w:t>ACCOUNTING AND FINANCIAL DISCLOSURE . . . . . . . . . . . . . . . . . . . . . .</w:t>
        <w:tab/>
        <w:t>62</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w:t>
        <w:tab/>
        <w:t>62</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w:t>
        <w:tab/>
        <w:t>62</w:t>
      </w:r>
    </w:p>
    <w:p>
      <w:pPr>
        <w:spacing w:after="0" w:line="69"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w:t>
      </w:r>
    </w:p>
    <w:p>
      <w:pPr>
        <w:spacing w:after="0" w:line="9" w:lineRule="exact"/>
        <w:rPr>
          <w:sz w:val="20"/>
          <w:szCs w:val="20"/>
          <w:color w:val="auto"/>
        </w:rPr>
      </w:pPr>
    </w:p>
    <w:p>
      <w:pPr>
        <w:ind w:left="1020"/>
        <w:spacing w:after="0"/>
        <w:tabs>
          <w:tab w:leader="none" w:pos="8680" w:val="left"/>
        </w:tabs>
        <w:rPr>
          <w:sz w:val="20"/>
          <w:szCs w:val="20"/>
          <w:color w:val="auto"/>
        </w:rPr>
      </w:pPr>
      <w:r>
        <w:rPr>
          <w:rFonts w:ascii="Times New Roman" w:cs="Times New Roman" w:eastAsia="Times New Roman" w:hAnsi="Times New Roman"/>
          <w:sz w:val="20"/>
          <w:szCs w:val="20"/>
          <w:color w:val="auto"/>
        </w:rPr>
        <w:t>INSPECTIONS . . . . . . . . . . . . . . . . . . . . . . . . . . . . . . . . . . . . . . . . . . . . . . . . .</w:t>
        <w:tab/>
        <w:t>62</w:t>
      </w:r>
    </w:p>
    <w:p>
      <w:pPr>
        <w:spacing w:after="0" w:line="18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72" w:lineRule="exact"/>
        <w:rPr>
          <w:sz w:val="20"/>
          <w:szCs w:val="20"/>
          <w:color w:val="auto"/>
        </w:rPr>
      </w:pPr>
    </w:p>
    <w:p>
      <w:pPr>
        <w:ind w:left="20"/>
        <w:spacing w:after="0"/>
        <w:tabs>
          <w:tab w:leader="none" w:pos="1000" w:val="left"/>
          <w:tab w:leader="none" w:pos="870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 . .</w:t>
      </w:r>
      <w:r>
        <w:rPr>
          <w:sz w:val="20"/>
          <w:szCs w:val="20"/>
          <w:color w:val="auto"/>
        </w:rPr>
        <w:tab/>
      </w:r>
      <w:r>
        <w:rPr>
          <w:rFonts w:ascii="Times New Roman" w:cs="Times New Roman" w:eastAsia="Times New Roman" w:hAnsi="Times New Roman"/>
          <w:sz w:val="20"/>
          <w:szCs w:val="20"/>
          <w:color w:val="auto"/>
        </w:rPr>
        <w:t>63</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w:t>
        <w:tab/>
        <w:t>63</w:t>
      </w:r>
    </w:p>
    <w:p>
      <w:pPr>
        <w:spacing w:after="0" w:line="69"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w:t>
      </w:r>
    </w:p>
    <w:p>
      <w:pPr>
        <w:spacing w:after="0" w:line="9" w:lineRule="exact"/>
        <w:rPr>
          <w:sz w:val="20"/>
          <w:szCs w:val="20"/>
          <w:color w:val="auto"/>
        </w:rPr>
      </w:pPr>
    </w:p>
    <w:p>
      <w:pPr>
        <w:ind w:left="1020"/>
        <w:spacing w:after="0"/>
        <w:tabs>
          <w:tab w:leader="none" w:pos="8700" w:val="left"/>
        </w:tabs>
        <w:rPr>
          <w:sz w:val="20"/>
          <w:szCs w:val="20"/>
          <w:color w:val="auto"/>
        </w:rPr>
      </w:pPr>
      <w:r>
        <w:rPr>
          <w:rFonts w:ascii="Times New Roman" w:cs="Times New Roman" w:eastAsia="Times New Roman" w:hAnsi="Times New Roman"/>
          <w:sz w:val="20"/>
          <w:szCs w:val="20"/>
          <w:color w:val="auto"/>
        </w:rPr>
        <w:t>MANAGEMENT AND RELATED STOCKHOLDER MATTERS . . . . . . . . . . . .</w:t>
      </w:r>
      <w:r>
        <w:rPr>
          <w:sz w:val="20"/>
          <w:szCs w:val="20"/>
          <w:color w:val="auto"/>
        </w:rPr>
        <w:tab/>
      </w:r>
      <w:r>
        <w:rPr>
          <w:rFonts w:ascii="Times New Roman" w:cs="Times New Roman" w:eastAsia="Times New Roman" w:hAnsi="Times New Roman"/>
          <w:sz w:val="18"/>
          <w:szCs w:val="18"/>
          <w:color w:val="auto"/>
        </w:rPr>
        <w:t>63</w:t>
      </w:r>
    </w:p>
    <w:p>
      <w:pPr>
        <w:spacing w:after="0" w:line="69"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w:t>
      </w:r>
    </w:p>
    <w:p>
      <w:pPr>
        <w:spacing w:after="0" w:line="9" w:lineRule="exact"/>
        <w:rPr>
          <w:sz w:val="20"/>
          <w:szCs w:val="20"/>
          <w:color w:val="auto"/>
        </w:rPr>
      </w:pPr>
    </w:p>
    <w:p>
      <w:pPr>
        <w:ind w:left="1020"/>
        <w:spacing w:after="0"/>
        <w:tabs>
          <w:tab w:leader="none" w:pos="8680" w:val="left"/>
        </w:tabs>
        <w:rPr>
          <w:sz w:val="20"/>
          <w:szCs w:val="20"/>
          <w:color w:val="auto"/>
        </w:rPr>
      </w:pPr>
      <w:r>
        <w:rPr>
          <w:rFonts w:ascii="Times New Roman" w:cs="Times New Roman" w:eastAsia="Times New Roman" w:hAnsi="Times New Roman"/>
          <w:sz w:val="20"/>
          <w:szCs w:val="20"/>
          <w:color w:val="auto"/>
        </w:rPr>
        <w:t>DIRECTOR INDEPENDENCE . . . . . . . . . . . . . . . . . . . . . . . . . . . . . . . . . . . . .</w:t>
        <w:tab/>
        <w:t>63</w:t>
      </w:r>
    </w:p>
    <w:p>
      <w:pPr>
        <w:spacing w:after="0" w:line="69" w:lineRule="exact"/>
        <w:rPr>
          <w:sz w:val="20"/>
          <w:szCs w:val="20"/>
          <w:color w:val="auto"/>
        </w:rPr>
      </w:pPr>
    </w:p>
    <w:p>
      <w:pPr>
        <w:ind w:left="20"/>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14.</w:t>
        <w:tab/>
        <w:t>PRINCIPAL ACCOUNTANT FEES AND SERVICES . . . . . . . . . . . . . . . . . . . . .</w:t>
        <w:tab/>
        <w:t>63</w:t>
      </w:r>
    </w:p>
    <w:p>
      <w:pPr>
        <w:spacing w:after="0" w:line="18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72" w:lineRule="exact"/>
        <w:rPr>
          <w:sz w:val="20"/>
          <w:szCs w:val="20"/>
          <w:color w:val="auto"/>
        </w:rPr>
      </w:pPr>
    </w:p>
    <w:p>
      <w:pPr>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15.</w:t>
        <w:tab/>
        <w:t>EXHIBITS, FINANCIAL STATEMENT SCHEDULES . . . . . . . . . . . . . . . . . . . .</w:t>
        <w:tab/>
        <w:t>64</w:t>
      </w:r>
    </w:p>
    <w:p>
      <w:pPr>
        <w:spacing w:after="0" w:line="69" w:lineRule="exact"/>
        <w:rPr>
          <w:sz w:val="20"/>
          <w:szCs w:val="20"/>
          <w:color w:val="auto"/>
        </w:rPr>
      </w:pPr>
    </w:p>
    <w:p>
      <w:pPr>
        <w:spacing w:after="0"/>
        <w:tabs>
          <w:tab w:leader="none" w:pos="1000" w:val="left"/>
          <w:tab w:leader="none" w:pos="8680" w:val="left"/>
        </w:tabs>
        <w:rPr>
          <w:sz w:val="20"/>
          <w:szCs w:val="20"/>
          <w:color w:val="auto"/>
        </w:rPr>
      </w:pPr>
      <w:r>
        <w:rPr>
          <w:rFonts w:ascii="Times New Roman" w:cs="Times New Roman" w:eastAsia="Times New Roman" w:hAnsi="Times New Roman"/>
          <w:sz w:val="20"/>
          <w:szCs w:val="20"/>
          <w:color w:val="auto"/>
        </w:rPr>
        <w:t>Item 16.</w:t>
        <w:tab/>
        <w:t>FORM 10-K SUMMARY . . . . . . . . . . . . . . . . . . . . . . . . . . . . . . . . . . . . . . . . . .</w:t>
        <w:tab/>
        <w:t>64</w:t>
      </w:r>
    </w:p>
    <w:p>
      <w:pPr>
        <w:spacing w:after="0" w:line="69" w:lineRule="exact"/>
        <w:rPr>
          <w:sz w:val="20"/>
          <w:szCs w:val="20"/>
          <w:color w:val="auto"/>
        </w:rPr>
      </w:pPr>
    </w:p>
    <w:p>
      <w:pPr>
        <w:spacing w:after="0"/>
        <w:tabs>
          <w:tab w:leader="none" w:pos="868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w:t>
        <w:tab/>
        <w:t>70</w:t>
      </w:r>
    </w:p>
    <w:p>
      <w:pPr>
        <w:sectPr>
          <w:pgSz w:w="11880" w:h="15480" w:orient="portrait"/>
          <w:cols w:equalWidth="0" w:num="1">
            <w:col w:w="9060"/>
          </w:cols>
          <w:pgMar w:left="1380" w:top="1023" w:right="1440" w:bottom="1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w:t>
      </w:r>
    </w:p>
    <w:p>
      <w:pPr>
        <w:sectPr>
          <w:pgSz w:w="11880" w:h="15480" w:orient="portrait"/>
          <w:cols w:equalWidth="0" w:num="1">
            <w:col w:w="9060"/>
          </w:cols>
          <w:pgMar w:left="1380" w:top="1023" w:right="1440" w:bottom="139"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76" w:lineRule="exact"/>
        <w:rPr>
          <w:sz w:val="20"/>
          <w:szCs w:val="20"/>
          <w:color w:val="auto"/>
        </w:rPr>
      </w:pPr>
    </w:p>
    <w:p>
      <w:pPr>
        <w:ind w:firstLine="399"/>
        <w:spacing w:after="0" w:line="247" w:lineRule="auto"/>
        <w:rPr>
          <w:sz w:val="20"/>
          <w:szCs w:val="20"/>
          <w:color w:val="auto"/>
        </w:rPr>
      </w:pPr>
      <w:r>
        <w:rPr>
          <w:rFonts w:ascii="Times New Roman" w:cs="Times New Roman" w:eastAsia="Times New Roman" w:hAnsi="Times New Roman"/>
          <w:sz w:val="20"/>
          <w:szCs w:val="20"/>
          <w:i w:val="1"/>
          <w:iCs w:val="1"/>
          <w:color w:val="auto"/>
        </w:rPr>
        <w:t>When we refer to “we,” “us,” “our,” or “the Company,” we mean CTO Realty Growth, Inc. and its consolidated subsidiaries. Statements contained in this Annual Report on Form 10-K, including the documents that are incorporated by reference, that are not historical facts are forward-looking statements within the meaning of Section 27A of the Securities Act of 1933, as amended (the “Securities Act”),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103" w:lineRule="exact"/>
        <w:rPr>
          <w:sz w:val="20"/>
          <w:szCs w:val="20"/>
          <w:color w:val="auto"/>
        </w:rPr>
      </w:pPr>
    </w:p>
    <w:p>
      <w:pPr>
        <w:ind w:left="580" w:hanging="191"/>
        <w:spacing w:after="0" w:line="273"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we are subject to risks related to the ownership of commercial real estate that could affect the performance and value of our properties;</w:t>
      </w:r>
    </w:p>
    <w:p>
      <w:pPr>
        <w:spacing w:after="0" w:line="67" w:lineRule="exact"/>
        <w:rPr>
          <w:rFonts w:ascii="Times New Roman" w:cs="Times New Roman" w:eastAsia="Times New Roman" w:hAnsi="Times New Roman"/>
          <w:sz w:val="20"/>
          <w:szCs w:val="20"/>
          <w:color w:val="auto"/>
        </w:rPr>
      </w:pPr>
    </w:p>
    <w:p>
      <w:pPr>
        <w:ind w:left="580" w:right="260" w:hanging="191"/>
        <w:spacing w:after="0" w:line="273"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our business is dependent upon our tenants successfully operating their businesses, and their failure to do so could materially and adversely affect us;</w:t>
      </w:r>
    </w:p>
    <w:p>
      <w:pPr>
        <w:spacing w:after="0" w:line="67" w:lineRule="exact"/>
        <w:rPr>
          <w:rFonts w:ascii="Times New Roman" w:cs="Times New Roman" w:eastAsia="Times New Roman" w:hAnsi="Times New Roman"/>
          <w:sz w:val="20"/>
          <w:szCs w:val="20"/>
          <w:color w:val="auto"/>
        </w:rPr>
      </w:pPr>
    </w:p>
    <w:p>
      <w:pPr>
        <w:ind w:left="580" w:right="120" w:hanging="191"/>
        <w:spacing w:after="0" w:line="273"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competition that traditional retail tenants face from e-commerce retail sales, or the integration of brick and mortar stores with e-commerce retail operators, could adversely affect our business;</w:t>
      </w:r>
    </w:p>
    <w:p>
      <w:pPr>
        <w:spacing w:after="0" w:line="67" w:lineRule="exact"/>
        <w:rPr>
          <w:rFonts w:ascii="Times New Roman" w:cs="Times New Roman" w:eastAsia="Times New Roman" w:hAnsi="Times New Roman"/>
          <w:sz w:val="20"/>
          <w:szCs w:val="20"/>
          <w:color w:val="auto"/>
        </w:rPr>
      </w:pPr>
    </w:p>
    <w:p>
      <w:pPr>
        <w:ind w:left="580" w:right="100" w:hanging="191"/>
        <w:spacing w:after="0" w:line="25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we operate in a highly competitive market for the acquisition of income properties and commercial loan and investment opportunities, and more established entities or other investors may be able to compete more effectively for acquisition and commercial loan and investment opportunities than we can;</w:t>
      </w:r>
    </w:p>
    <w:p>
      <w:pPr>
        <w:spacing w:after="0" w:line="8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we may be unable to successfully execute on asset acquisitions or dispositions;</w:t>
      </w:r>
    </w:p>
    <w:p>
      <w:pPr>
        <w:spacing w:after="0" w:line="125" w:lineRule="exact"/>
        <w:rPr>
          <w:rFonts w:ascii="Times New Roman" w:cs="Times New Roman" w:eastAsia="Times New Roman" w:hAnsi="Times New Roman"/>
          <w:sz w:val="20"/>
          <w:szCs w:val="20"/>
          <w:color w:val="auto"/>
        </w:rPr>
      </w:pPr>
    </w:p>
    <w:p>
      <w:pPr>
        <w:ind w:left="580" w:right="60" w:hanging="191"/>
        <w:spacing w:after="0" w:line="273"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loss of revenues from our income property or commercial loans and investments portfolios or certain tenants or borrowers would adversely impact our results of operations and cash flows;</w:t>
      </w:r>
    </w:p>
    <w:p>
      <w:pPr>
        <w:spacing w:after="0" w:line="67" w:lineRule="exact"/>
        <w:rPr>
          <w:rFonts w:ascii="Times New Roman" w:cs="Times New Roman" w:eastAsia="Times New Roman" w:hAnsi="Times New Roman"/>
          <w:sz w:val="20"/>
          <w:szCs w:val="20"/>
          <w:color w:val="auto"/>
        </w:rPr>
      </w:pPr>
    </w:p>
    <w:p>
      <w:pPr>
        <w:ind w:left="580" w:right="440" w:hanging="191"/>
        <w:spacing w:after="0" w:line="25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81" w:lineRule="exact"/>
        <w:rPr>
          <w:rFonts w:ascii="Times New Roman" w:cs="Times New Roman" w:eastAsia="Times New Roman" w:hAnsi="Times New Roman"/>
          <w:sz w:val="20"/>
          <w:szCs w:val="20"/>
          <w:color w:val="auto"/>
        </w:rPr>
      </w:pPr>
    </w:p>
    <w:p>
      <w:pPr>
        <w:ind w:left="580" w:right="160" w:hanging="191"/>
        <w:spacing w:after="0" w:line="25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81" w:lineRule="exact"/>
        <w:rPr>
          <w:rFonts w:ascii="Times New Roman" w:cs="Times New Roman" w:eastAsia="Times New Roman" w:hAnsi="Times New Roman"/>
          <w:sz w:val="20"/>
          <w:szCs w:val="20"/>
          <w:color w:val="auto"/>
        </w:rPr>
      </w:pPr>
    </w:p>
    <w:p>
      <w:pPr>
        <w:ind w:left="580" w:right="420" w:hanging="191"/>
        <w:spacing w:after="0" w:line="273"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 prolonged downturn in economic conditions could adversely impact our business, particularly with regard to our ability to maintain revenues from our income-producing assets;</w:t>
      </w:r>
    </w:p>
    <w:p>
      <w:pPr>
        <w:spacing w:after="0" w:line="67" w:lineRule="exact"/>
        <w:rPr>
          <w:rFonts w:ascii="Times New Roman" w:cs="Times New Roman" w:eastAsia="Times New Roman" w:hAnsi="Times New Roman"/>
          <w:sz w:val="20"/>
          <w:szCs w:val="20"/>
          <w:color w:val="auto"/>
        </w:rPr>
      </w:pPr>
    </w:p>
    <w:p>
      <w:pPr>
        <w:ind w:left="580" w:right="40" w:hanging="191"/>
        <w:spacing w:after="0" w:line="25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 part of our investment strategy is focused on investing in commercial loans and investments which may involve credit risk or the risk that our borrowers will fail to pay scheduled contractual payments to us when due;</w:t>
      </w:r>
    </w:p>
    <w:p>
      <w:pPr>
        <w:spacing w:after="0" w:line="81" w:lineRule="exact"/>
        <w:rPr>
          <w:rFonts w:ascii="Times New Roman" w:cs="Times New Roman" w:eastAsia="Times New Roman" w:hAnsi="Times New Roman"/>
          <w:sz w:val="20"/>
          <w:szCs w:val="20"/>
          <w:color w:val="auto"/>
        </w:rPr>
      </w:pPr>
    </w:p>
    <w:p>
      <w:pPr>
        <w:ind w:left="580" w:right="40" w:hanging="191"/>
        <w:spacing w:after="0" w:line="273"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we may suffer losses when a borrower defaults on a loan and the value of the underlying collateral is less than the amount due;</w:t>
      </w:r>
    </w:p>
    <w:p>
      <w:pPr>
        <w:spacing w:after="0" w:line="6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Company’s real estate investments are generally illiquid;</w:t>
      </w:r>
    </w:p>
    <w:p>
      <w:pPr>
        <w:spacing w:after="0" w:line="125" w:lineRule="exact"/>
        <w:rPr>
          <w:rFonts w:ascii="Times New Roman" w:cs="Times New Roman" w:eastAsia="Times New Roman" w:hAnsi="Times New Roman"/>
          <w:sz w:val="20"/>
          <w:szCs w:val="20"/>
          <w:color w:val="auto"/>
        </w:rPr>
      </w:pPr>
    </w:p>
    <w:p>
      <w:pPr>
        <w:ind w:left="580" w:right="100" w:hanging="191"/>
        <w:spacing w:after="0" w:line="259"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if a transaction intended to qualify as a Section 1031 like-kind exchange is later determined to be taxable, or if we are unable to identify and complete the acquisition of suitable replacement property to effect a Section 1031 like-kind exchange, we may face adverse consequences;</w:t>
      </w:r>
    </w:p>
    <w:p>
      <w:pPr>
        <w:spacing w:after="0" w:line="81" w:lineRule="exact"/>
        <w:rPr>
          <w:rFonts w:ascii="Times New Roman" w:cs="Times New Roman" w:eastAsia="Times New Roman" w:hAnsi="Times New Roman"/>
          <w:sz w:val="20"/>
          <w:szCs w:val="20"/>
          <w:color w:val="auto"/>
        </w:rPr>
      </w:pPr>
    </w:p>
    <w:p>
      <w:pPr>
        <w:ind w:left="580" w:right="180" w:hanging="191"/>
        <w:spacing w:after="0" w:line="273"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Company may be unable to obtain debt or equity capital on favorable terms, if at all, or additional borrowings may impact our liquidity or ability to monetize any assets securing such borrowings;</w:t>
      </w:r>
    </w:p>
    <w:p>
      <w:pPr>
        <w:spacing w:after="0" w:line="69" w:lineRule="exact"/>
        <w:rPr>
          <w:rFonts w:ascii="Times New Roman" w:cs="Times New Roman" w:eastAsia="Times New Roman" w:hAnsi="Times New Roman"/>
          <w:sz w:val="20"/>
          <w:szCs w:val="20"/>
          <w:color w:val="auto"/>
        </w:rPr>
      </w:pPr>
    </w:p>
    <w:p>
      <w:pPr>
        <w:ind w:left="580" w:right="140" w:hanging="191"/>
        <w:spacing w:after="0" w:line="275" w:lineRule="auto"/>
        <w:tabs>
          <w:tab w:leader="none" w:pos="5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servicing our debt requires a significant amount of cash, and we may not have sufficient cash flow from our business to service or pay our debt;</w:t>
      </w:r>
    </w:p>
    <w:p>
      <w:pPr>
        <w:sectPr>
          <w:pgSz w:w="11880" w:h="15480" w:orient="portrait"/>
          <w:cols w:equalWidth="0" w:num="1">
            <w:col w:w="9100"/>
          </w:cols>
          <w:pgMar w:left="1400" w:top="1023" w:right="1380" w:bottom="71"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9100"/>
          </w:cols>
          <w:pgMar w:left="1400" w:top="1023" w:right="1380" w:bottom="71" w:gutter="0" w:footer="0" w:header="0"/>
          <w:type w:val="continuous"/>
        </w:sectPr>
      </w:pPr>
    </w:p>
    <w:bookmarkStart w:id="7" w:name="page8"/>
    <w:bookmarkEnd w:id="7"/>
    <w:p>
      <w:pPr>
        <w:ind w:left="590" w:right="60" w:hanging="191"/>
        <w:spacing w:after="0" w:line="279" w:lineRule="auto"/>
        <w:tabs>
          <w:tab w:leader="none" w:pos="5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our operations and properties could be adversely affected in the event of natural disasters, pandemics, or other significant disruptions;</w:t>
      </w:r>
    </w:p>
    <w:p>
      <w:pPr>
        <w:spacing w:after="0" w:line="67" w:lineRule="exact"/>
        <w:rPr>
          <w:rFonts w:ascii="Times New Roman" w:cs="Times New Roman" w:eastAsia="Times New Roman" w:hAnsi="Times New Roman"/>
          <w:sz w:val="20"/>
          <w:szCs w:val="20"/>
          <w:color w:val="auto"/>
        </w:rPr>
      </w:pPr>
    </w:p>
    <w:p>
      <w:pPr>
        <w:ind w:left="590" w:right="240" w:hanging="191"/>
        <w:spacing w:after="0" w:line="265" w:lineRule="auto"/>
        <w:tabs>
          <w:tab w:leader="none" w:pos="5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we may encounter environmental problems which require remediation or the incurrence of significant costs to resolve, which could adversely impact our financial condition, results of operations, and cash flows;</w:t>
      </w:r>
    </w:p>
    <w:p>
      <w:pPr>
        <w:spacing w:after="0" w:line="82" w:lineRule="exact"/>
        <w:rPr>
          <w:rFonts w:ascii="Times New Roman" w:cs="Times New Roman" w:eastAsia="Times New Roman" w:hAnsi="Times New Roman"/>
          <w:sz w:val="20"/>
          <w:szCs w:val="20"/>
          <w:color w:val="auto"/>
        </w:rPr>
      </w:pPr>
    </w:p>
    <w:p>
      <w:pPr>
        <w:ind w:left="590" w:right="280" w:hanging="191"/>
        <w:spacing w:after="0" w:line="265" w:lineRule="auto"/>
        <w:tabs>
          <w:tab w:leader="none" w:pos="5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failure to remain qualified as real estate investment trust (“REIT”) for U.S. federal income tax purposes would cause us to be taxed as a regular corporation, which would substantially reduce funds available for distribution to stockholders;</w:t>
      </w:r>
    </w:p>
    <w:p>
      <w:pPr>
        <w:spacing w:after="0" w:line="82"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risk that the REIT requirements could limit our financial flexibility;</w:t>
      </w:r>
    </w:p>
    <w:p>
      <w:pPr>
        <w:spacing w:after="0" w:line="131" w:lineRule="exact"/>
        <w:rPr>
          <w:rFonts w:ascii="Times New Roman" w:cs="Times New Roman" w:eastAsia="Times New Roman" w:hAnsi="Times New Roman"/>
          <w:sz w:val="20"/>
          <w:szCs w:val="20"/>
          <w:color w:val="auto"/>
        </w:rPr>
      </w:pPr>
    </w:p>
    <w:p>
      <w:pPr>
        <w:ind w:left="590" w:right="220" w:hanging="191"/>
        <w:spacing w:after="0" w:line="279" w:lineRule="auto"/>
        <w:tabs>
          <w:tab w:leader="none" w:pos="5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our ability to pay dividends consistent with the REIT requirements, and expectations as to timing and amounts of such dividends;</w:t>
      </w:r>
    </w:p>
    <w:p>
      <w:pPr>
        <w:spacing w:after="0" w:line="65" w:lineRule="exact"/>
        <w:rPr>
          <w:rFonts w:ascii="Times New Roman" w:cs="Times New Roman" w:eastAsia="Times New Roman" w:hAnsi="Times New Roman"/>
          <w:sz w:val="20"/>
          <w:szCs w:val="20"/>
          <w:color w:val="auto"/>
        </w:rPr>
      </w:pPr>
    </w:p>
    <w:p>
      <w:pPr>
        <w:ind w:left="590" w:right="500" w:hanging="191"/>
        <w:spacing w:after="0" w:line="277" w:lineRule="auto"/>
        <w:tabs>
          <w:tab w:leader="none" w:pos="5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ability of our board of directors (the “Board”) to revoke our REIT status without stockholder approval;</w:t>
      </w:r>
    </w:p>
    <w:p>
      <w:pPr>
        <w:spacing w:after="0" w:line="67" w:lineRule="exact"/>
        <w:rPr>
          <w:rFonts w:ascii="Times New Roman" w:cs="Times New Roman" w:eastAsia="Times New Roman" w:hAnsi="Times New Roman"/>
          <w:sz w:val="20"/>
          <w:szCs w:val="20"/>
          <w:color w:val="auto"/>
        </w:rPr>
      </w:pPr>
    </w:p>
    <w:p>
      <w:pPr>
        <w:ind w:left="590" w:right="580" w:hanging="191"/>
        <w:spacing w:after="0" w:line="277" w:lineRule="auto"/>
        <w:tabs>
          <w:tab w:leader="none" w:pos="5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our exposure to changes in U.S. federal and state income tax laws, including changes to the REIT requirements;</w:t>
      </w:r>
    </w:p>
    <w:p>
      <w:pPr>
        <w:spacing w:after="0" w:line="67" w:lineRule="exact"/>
        <w:rPr>
          <w:rFonts w:ascii="Times New Roman" w:cs="Times New Roman" w:eastAsia="Times New Roman" w:hAnsi="Times New Roman"/>
          <w:sz w:val="20"/>
          <w:szCs w:val="20"/>
          <w:color w:val="auto"/>
        </w:rPr>
      </w:pPr>
    </w:p>
    <w:p>
      <w:pPr>
        <w:ind w:left="590" w:right="60" w:hanging="191"/>
        <w:spacing w:after="0" w:line="263" w:lineRule="auto"/>
        <w:tabs>
          <w:tab w:leader="none" w:pos="5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 business and economic conditions, including unstable macroeconomic conditions due to, among other things, political unrest and economic uncertainty due to terrorism or war, inflation, higher interest rates and distress in the banking sector; and</w:t>
      </w:r>
    </w:p>
    <w:p>
      <w:pPr>
        <w:spacing w:after="0" w:line="82" w:lineRule="exact"/>
        <w:rPr>
          <w:rFonts w:ascii="Times New Roman" w:cs="Times New Roman" w:eastAsia="Times New Roman" w:hAnsi="Times New Roman"/>
          <w:sz w:val="20"/>
          <w:szCs w:val="20"/>
          <w:color w:val="auto"/>
        </w:rPr>
      </w:pPr>
    </w:p>
    <w:p>
      <w:pPr>
        <w:ind w:left="590" w:right="100" w:hanging="191"/>
        <w:spacing w:after="0" w:line="256" w:lineRule="auto"/>
        <w:tabs>
          <w:tab w:leader="none" w:pos="5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 epidemic or pandemic (such as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30" w:lineRule="exact"/>
        <w:rPr>
          <w:sz w:val="20"/>
          <w:szCs w:val="20"/>
          <w:color w:val="auto"/>
        </w:rPr>
      </w:pPr>
    </w:p>
    <w:p>
      <w:pPr>
        <w:ind w:left="10" w:right="80" w:firstLine="399"/>
        <w:spacing w:after="0" w:line="256" w:lineRule="auto"/>
        <w:rPr>
          <w:sz w:val="20"/>
          <w:szCs w:val="20"/>
          <w:color w:val="auto"/>
        </w:rPr>
      </w:pPr>
      <w:r>
        <w:rPr>
          <w:rFonts w:ascii="Times New Roman" w:cs="Times New Roman" w:eastAsia="Times New Roman" w:hAnsi="Times New Roman"/>
          <w:sz w:val="20"/>
          <w:szCs w:val="20"/>
          <w:i w:val="1"/>
          <w:iCs w:val="1"/>
          <w:color w:val="auto"/>
        </w:rPr>
        <w:t>The Company describes additional risks and uncertainties that could cause actual results or events to differ materially from those described in the Company’s forward-looking statements in “Risk Factors” (Part I, Item 1A of this Annual Report on Form 10-K), “Quantitative and Qualitative Disclosures about Market Risk” (Part II, Item 7A), and “Management’s Discussion and Analysis of Financial Condition and Results of Operations” (Part II, Item 7).</w:t>
      </w:r>
    </w:p>
    <w:p>
      <w:pPr>
        <w:spacing w:after="0" w:line="204" w:lineRule="exact"/>
        <w:rPr>
          <w:sz w:val="20"/>
          <w:szCs w:val="20"/>
          <w:color w:val="auto"/>
        </w:rPr>
      </w:pPr>
    </w:p>
    <w:p>
      <w:pPr>
        <w:ind w:left="10"/>
        <w:spacing w:after="0"/>
        <w:tabs>
          <w:tab w:leader="none" w:pos="929" w:val="left"/>
        </w:tabs>
        <w:rPr>
          <w:sz w:val="20"/>
          <w:szCs w:val="20"/>
          <w:color w:val="auto"/>
        </w:rPr>
      </w:pPr>
      <w:r>
        <w:rPr>
          <w:rFonts w:ascii="Times New Roman" w:cs="Times New Roman" w:eastAsia="Times New Roman" w:hAnsi="Times New Roman"/>
          <w:sz w:val="20"/>
          <w:szCs w:val="20"/>
          <w:b w:val="1"/>
          <w:bCs w:val="1"/>
          <w:color w:val="auto"/>
        </w:rPr>
        <w:t>ITEM 1.</w:t>
        <w:tab/>
        <w:t>BUSINESS</w:t>
      </w:r>
    </w:p>
    <w:p>
      <w:pPr>
        <w:spacing w:after="0" w:line="2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DESCRIPTION OF BUSINESS</w:t>
      </w:r>
    </w:p>
    <w:p>
      <w:pPr>
        <w:spacing w:after="0" w:line="168" w:lineRule="exact"/>
        <w:rPr>
          <w:sz w:val="20"/>
          <w:szCs w:val="20"/>
          <w:color w:val="auto"/>
        </w:rPr>
      </w:pPr>
    </w:p>
    <w:p>
      <w:pPr>
        <w:ind w:left="10" w:firstLine="399"/>
        <w:spacing w:after="0" w:line="258" w:lineRule="auto"/>
        <w:rPr>
          <w:sz w:val="20"/>
          <w:szCs w:val="20"/>
          <w:color w:val="auto"/>
        </w:rPr>
      </w:pPr>
      <w:r>
        <w:rPr>
          <w:rFonts w:ascii="Times New Roman" w:cs="Times New Roman" w:eastAsia="Times New Roman" w:hAnsi="Times New Roman"/>
          <w:sz w:val="20"/>
          <w:szCs w:val="20"/>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21" w:lineRule="exact"/>
        <w:rPr>
          <w:sz w:val="20"/>
          <w:szCs w:val="20"/>
          <w:color w:val="auto"/>
        </w:rPr>
      </w:pPr>
    </w:p>
    <w:p>
      <w:pPr>
        <w:ind w:left="10" w:firstLine="399"/>
        <w:spacing w:after="0" w:line="261" w:lineRule="auto"/>
        <w:rPr>
          <w:sz w:val="20"/>
          <w:szCs w:val="20"/>
          <w:color w:val="auto"/>
        </w:rPr>
      </w:pPr>
      <w:r>
        <w:rPr>
          <w:rFonts w:ascii="Times New Roman" w:cs="Times New Roman" w:eastAsia="Times New Roman" w:hAnsi="Times New Roman"/>
          <w:sz w:val="20"/>
          <w:szCs w:val="20"/>
          <w:color w:val="auto"/>
        </w:rPr>
        <w:t>As of December 31, 2025, we own and manage, sometimes utilizing third-party property management companies, 21 commercial real estate properties in 7 states in the United States, comprising 5.5 million square feet of gross leasable space. In addition to our income property portfolio, as of December 31, 2025, our business included the following:</w:t>
      </w:r>
    </w:p>
    <w:p>
      <w:pPr>
        <w:spacing w:after="0" w:line="117" w:lineRule="exact"/>
        <w:rPr>
          <w:sz w:val="20"/>
          <w:szCs w:val="20"/>
          <w:color w:val="auto"/>
        </w:rPr>
      </w:pPr>
    </w:p>
    <w:p>
      <w:pPr>
        <w:ind w:left="390"/>
        <w:spacing w:after="0"/>
        <w:tabs>
          <w:tab w:leader="none" w:pos="2489" w:val="left"/>
        </w:tabs>
        <w:rPr>
          <w:sz w:val="20"/>
          <w:szCs w:val="20"/>
          <w:color w:val="auto"/>
        </w:rPr>
      </w:pPr>
      <w:r>
        <w:rPr>
          <w:rFonts w:ascii="Times New Roman" w:cs="Times New Roman" w:eastAsia="Times New Roman" w:hAnsi="Times New Roman"/>
          <w:sz w:val="20"/>
          <w:szCs w:val="20"/>
          <w:u w:val="single" w:color="auto"/>
          <w:color w:val="auto"/>
        </w:rPr>
        <w:t>Management Services:</w:t>
      </w:r>
      <w:r>
        <w:rPr>
          <w:sz w:val="20"/>
          <w:szCs w:val="20"/>
          <w:color w:val="auto"/>
        </w:rPr>
        <w:tab/>
      </w:r>
      <w:r>
        <w:rPr>
          <w:rFonts w:ascii="Times New Roman" w:cs="Times New Roman" w:eastAsia="Times New Roman" w:hAnsi="Times New Roman"/>
          <w:sz w:val="20"/>
          <w:szCs w:val="20"/>
          <w:color w:val="auto"/>
        </w:rPr>
        <w:t>A fee-based management business that is engaged in managing PINE, as well</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(i) a portfolio of assets pursuant to the Portfolio Management Agreement (hereinafter defined) and</w:t>
      </w:r>
    </w:p>
    <w:p>
      <w:pPr>
        <w:spacing w:after="0" w:line="9" w:lineRule="exact"/>
        <w:rPr>
          <w:sz w:val="20"/>
          <w:szCs w:val="20"/>
          <w:color w:val="auto"/>
        </w:rPr>
      </w:pPr>
    </w:p>
    <w:p>
      <w:pPr>
        <w:ind w:left="10" w:hanging="10"/>
        <w:spacing w:after="0" w:line="267" w:lineRule="auto"/>
        <w:tabs>
          <w:tab w:leader="none" w:pos="28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Subsurface Interests (hereinafter defined) pursuant to the Subsurface Management Agreement (hereinafter defined), as further described in Note 5, “Management Services Business” in the notes to the consolidated financial statements in Item 8.</w:t>
      </w:r>
    </w:p>
    <w:p>
      <w:pPr>
        <w:spacing w:after="0" w:line="111" w:lineRule="exact"/>
        <w:rPr>
          <w:sz w:val="20"/>
          <w:szCs w:val="20"/>
          <w:color w:val="auto"/>
        </w:rPr>
      </w:pPr>
    </w:p>
    <w:p>
      <w:pPr>
        <w:ind w:left="10" w:right="580" w:firstLine="399"/>
        <w:spacing w:after="0" w:line="284" w:lineRule="auto"/>
        <w:rPr>
          <w:sz w:val="20"/>
          <w:szCs w:val="20"/>
          <w:color w:val="auto"/>
        </w:rPr>
      </w:pPr>
      <w:r>
        <w:rPr>
          <w:rFonts w:ascii="Times New Roman" w:cs="Times New Roman" w:eastAsia="Times New Roman" w:hAnsi="Times New Roman"/>
          <w:sz w:val="20"/>
          <w:szCs w:val="20"/>
          <w:u w:val="single" w:color="auto"/>
          <w:color w:val="auto"/>
        </w:rPr>
        <w:t>Commercial Loans and Investments:</w:t>
      </w:r>
      <w:r>
        <w:rPr>
          <w:rFonts w:ascii="Times New Roman" w:cs="Times New Roman" w:eastAsia="Times New Roman" w:hAnsi="Times New Roman"/>
          <w:sz w:val="20"/>
          <w:szCs w:val="20"/>
          <w:color w:val="auto"/>
        </w:rPr>
        <w:t xml:space="preserve"> A portfolio of four commercial loan investments and two preferred equity investments which are classified as commercial loan investments.</w:t>
      </w:r>
    </w:p>
    <w:p>
      <w:pPr>
        <w:sectPr>
          <w:pgSz w:w="11880" w:h="15480" w:orient="portrait"/>
          <w:cols w:equalWidth="0" w:num="1">
            <w:col w:w="9110"/>
          </w:cols>
          <w:pgMar w:left="1390" w:top="1029" w:right="1380" w:bottom="70" w:gutter="0" w:footer="0" w:header="0"/>
        </w:sectPr>
      </w:pPr>
    </w:p>
    <w:p>
      <w:pPr>
        <w:spacing w:after="0" w:line="25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110"/>
          </w:cols>
          <w:pgMar w:left="1390" w:top="1029" w:right="1380" w:bottom="70" w:gutter="0" w:footer="0" w:header="0"/>
          <w:type w:val="continuous"/>
        </w:sectPr>
      </w:pPr>
    </w:p>
    <w:bookmarkStart w:id="8" w:name="page9"/>
    <w:bookmarkEnd w:id="8"/>
    <w:p>
      <w:pPr>
        <w:ind w:left="10" w:right="60" w:firstLine="399"/>
        <w:spacing w:after="0" w:line="250" w:lineRule="auto"/>
        <w:rPr>
          <w:sz w:val="20"/>
          <w:szCs w:val="20"/>
          <w:color w:val="auto"/>
        </w:rPr>
      </w:pPr>
      <w:r>
        <w:rPr>
          <w:rFonts w:ascii="Times New Roman" w:cs="Times New Roman" w:eastAsia="Times New Roman" w:hAnsi="Times New Roman"/>
          <w:sz w:val="20"/>
          <w:szCs w:val="20"/>
          <w:u w:val="single" w:color="auto"/>
          <w:color w:val="auto"/>
        </w:rPr>
        <w:t>Real Estate Operations:</w:t>
      </w:r>
      <w:r>
        <w:rPr>
          <w:rFonts w:ascii="Times New Roman" w:cs="Times New Roman" w:eastAsia="Times New Roman" w:hAnsi="Times New Roman"/>
          <w:sz w:val="20"/>
          <w:szCs w:val="20"/>
          <w:color w:val="auto"/>
        </w:rPr>
        <w:t xml:space="preserve"> There were no significant transactions within the Company’s real estate operations during the year ended December 31, 2025. During the year ended December 31, 2024, the Company sold its remaining mitigation credits. These credits were produced by the Company’s formerly owned mitigation bank. During the year ended December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27" w:lineRule="exact"/>
        <w:rPr>
          <w:sz w:val="20"/>
          <w:szCs w:val="20"/>
          <w:color w:val="auto"/>
        </w:rPr>
      </w:pPr>
    </w:p>
    <w:p>
      <w:pPr>
        <w:ind w:left="10" w:right="60" w:firstLine="399"/>
        <w:spacing w:after="0" w:line="249" w:lineRule="auto"/>
        <w:rPr>
          <w:sz w:val="20"/>
          <w:szCs w:val="20"/>
          <w:color w:val="auto"/>
        </w:rPr>
      </w:pPr>
      <w:r>
        <w:rPr>
          <w:rFonts w:ascii="Times New Roman" w:cs="Times New Roman" w:eastAsia="Times New Roman" w:hAnsi="Times New Roman"/>
          <w:sz w:val="20"/>
          <w:szCs w:val="20"/>
          <w:color w:val="auto"/>
        </w:rPr>
        <w:t>Our business also includes our investment in PINE. As of December 31, 2025, the fair value of our investment totaled $41.3 million, or 15.4% of PINE’s outstanding common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on the accompanying consolidated statements of operations.</w:t>
      </w:r>
    </w:p>
    <w:p>
      <w:pPr>
        <w:spacing w:after="0" w:line="368" w:lineRule="exact"/>
        <w:rPr>
          <w:sz w:val="20"/>
          <w:szCs w:val="20"/>
          <w:color w:val="auto"/>
        </w:rPr>
      </w:pPr>
    </w:p>
    <w:p>
      <w:pPr>
        <w:ind w:left="10" w:right="300" w:firstLine="399"/>
        <w:spacing w:after="0" w:line="282" w:lineRule="auto"/>
        <w:rPr>
          <w:sz w:val="20"/>
          <w:szCs w:val="20"/>
          <w:color w:val="auto"/>
        </w:rPr>
      </w:pPr>
      <w:r>
        <w:rPr>
          <w:rFonts w:ascii="Times New Roman" w:cs="Times New Roman" w:eastAsia="Times New Roman" w:hAnsi="Times New Roman"/>
          <w:sz w:val="20"/>
          <w:szCs w:val="20"/>
          <w:color w:val="auto"/>
        </w:rPr>
        <w:t>The following is a summary of financial information regarding the Company’s business segments for the years ended December 31, 2025, 2024 and 2023 (in thousands):</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21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Properties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132,156</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110,591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96,663</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Management Fee Income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4,590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4,388</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Income from Commercial Loans and Investments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7,357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4,084</w:t>
            </w:r>
          </w:p>
        </w:tc>
        <w:tc>
          <w:tcPr>
            <w:tcW w:w="0" w:type="dxa"/>
            <w:vAlign w:val="bottom"/>
          </w:tcPr>
          <w:p>
            <w:pPr>
              <w:spacing w:after="0"/>
              <w:rPr>
                <w:sz w:val="1"/>
                <w:szCs w:val="1"/>
                <w:color w:val="auto"/>
              </w:rPr>
            </w:pPr>
          </w:p>
        </w:tc>
      </w:tr>
      <w:tr>
        <w:trPr>
          <w:trHeight w:val="275"/>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 Operations . . . . . . . . . . . . . . . . . . . . . . . . . . . . . . .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3,984</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Revenues . . . . . . .</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920" w:type="dxa"/>
            <w:vAlign w:val="bottom"/>
            <w:gridSpan w:val="2"/>
            <w:vMerge w:val="continue"/>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rPr>
              <w:t>. . . . . . . . . . . . . . . . . . . . . . . . . . . . . . .</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149,545</w:t>
            </w:r>
          </w:p>
        </w:tc>
        <w:tc>
          <w:tcPr>
            <w:tcW w:w="1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124,519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109,119</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9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Properties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94,233</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78,806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68,208</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Management Services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4,590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4,388</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Loans and Investments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7,357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4,084</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 Operations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2,261</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and Administrative Expenses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(18,527)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(16,269)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(14,249)</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Provision for Impairment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(676)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and Amortization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(60,015)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(65,049)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(44,173)</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Disposition of Assets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8,308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7,543</w:t>
            </w:r>
          </w:p>
        </w:tc>
        <w:tc>
          <w:tcPr>
            <w:tcW w:w="0" w:type="dxa"/>
            <w:vAlign w:val="bottom"/>
          </w:tcPr>
          <w:p>
            <w:pPr>
              <w:spacing w:after="0"/>
              <w:rPr>
                <w:sz w:val="1"/>
                <w:szCs w:val="1"/>
                <w:color w:val="auto"/>
              </w:rPr>
            </w:pPr>
          </w:p>
        </w:tc>
      </w:tr>
      <w:tr>
        <w:trPr>
          <w:trHeight w:val="275"/>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on Extinguishment of Debt . . . . . . . . . . . . . . . . . . . . . . . .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(20,449)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Operating Income</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920" w:type="dxa"/>
            <w:vAlign w:val="bottom"/>
            <w:gridSpan w:val="2"/>
            <w:vMerge w:val="continue"/>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rPr>
              <w:t>. . . . . . . . . . . . . . . . . . . . . . . . . . . . . . .</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34,015</w:t>
            </w:r>
          </w:p>
        </w:tc>
        <w:tc>
          <w:tcPr>
            <w:tcW w:w="1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17,611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26,506</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Identifiable Assets: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9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Properties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1,102,631</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7"/>
              </w:rPr>
              <w:t>1,039,466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887,345</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Management Services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1,395</w:t>
            </w:r>
          </w:p>
        </w:tc>
        <w:tc>
          <w:tcPr>
            <w:tcW w:w="0" w:type="dxa"/>
            <w:vAlign w:val="bottom"/>
          </w:tcPr>
          <w:p>
            <w:pPr>
              <w:spacing w:after="0"/>
              <w:rPr>
                <w:sz w:val="1"/>
                <w:szCs w:val="1"/>
                <w:color w:val="auto"/>
              </w:rPr>
            </w:pPr>
          </w:p>
        </w:tc>
      </w:tr>
      <w:tr>
        <w:trPr>
          <w:trHeight w:val="279"/>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Loans and Investments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114,107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62,843</w:t>
            </w:r>
          </w:p>
        </w:tc>
        <w:tc>
          <w:tcPr>
            <w:tcW w:w="0" w:type="dxa"/>
            <w:vAlign w:val="bottom"/>
          </w:tcPr>
          <w:p>
            <w:pPr>
              <w:spacing w:after="0"/>
              <w:rPr>
                <w:sz w:val="1"/>
                <w:szCs w:val="1"/>
                <w:color w:val="auto"/>
              </w:rPr>
            </w:pPr>
          </w:p>
        </w:tc>
      </w:tr>
      <w:tr>
        <w:trPr>
          <w:trHeight w:val="277"/>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 Operations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2,343</w:t>
            </w:r>
          </w:p>
        </w:tc>
        <w:tc>
          <w:tcPr>
            <w:tcW w:w="0" w:type="dxa"/>
            <w:vAlign w:val="bottom"/>
          </w:tcPr>
          <w:p>
            <w:pPr>
              <w:spacing w:after="0"/>
              <w:rPr>
                <w:sz w:val="1"/>
                <w:szCs w:val="1"/>
                <w:color w:val="auto"/>
              </w:rPr>
            </w:pPr>
          </w:p>
        </w:tc>
      </w:tr>
      <w:tr>
        <w:trPr>
          <w:trHeight w:val="277"/>
        </w:trPr>
        <w:tc>
          <w:tcPr>
            <w:tcW w:w="5920" w:type="dxa"/>
            <w:vAlign w:val="bottom"/>
            <w:gridSpan w:val="2"/>
          </w:tcPr>
          <w:p>
            <w:pPr>
              <w:spacing w:after="0" w:line="277" w:lineRule="exact"/>
              <w:rPr>
                <w:sz w:val="20"/>
                <w:szCs w:val="20"/>
                <w:color w:val="auto"/>
              </w:rPr>
            </w:pPr>
            <w:r>
              <w:rPr>
                <w:rFonts w:ascii="Times New Roman" w:cs="Times New Roman" w:eastAsia="Times New Roman" w:hAnsi="Times New Roman"/>
                <w:sz w:val="20"/>
                <w:szCs w:val="20"/>
                <w:color w:val="auto"/>
              </w:rPr>
              <w:t>Corporate and Other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25,979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35,742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920" w:type="dxa"/>
            <w:vAlign w:val="bottom"/>
            <w:gridSpan w:val="2"/>
            <w:vMerge w:val="continue"/>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 .</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1,263,902</w:t>
            </w:r>
          </w:p>
        </w:tc>
        <w:tc>
          <w:tcPr>
            <w:tcW w:w="1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1,181,644</w:t>
            </w:r>
          </w:p>
        </w:tc>
        <w:tc>
          <w:tcPr>
            <w:tcW w:w="16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989,668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140" w:type="dxa"/>
            <w:vAlign w:val="bottom"/>
            <w:tcBorders>
              <w:bottom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90" w:right="420" w:hanging="390"/>
        <w:spacing w:after="0" w:line="293" w:lineRule="auto"/>
        <w:tabs>
          <w:tab w:leader="none" w:pos="39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and other assets consist primarily of cash and restricted cash, property, plant, and equipment related to the other operations, as well as the general and corporate operations.</w:t>
      </w:r>
    </w:p>
    <w:p>
      <w:pPr>
        <w:sectPr>
          <w:pgSz w:w="11880" w:h="15480" w:orient="portrait"/>
          <w:cols w:equalWidth="0" w:num="1">
            <w:col w:w="9170"/>
          </w:cols>
          <w:pgMar w:left="1390" w:top="1025" w:right="1320" w:bottom="70" w:gutter="0" w:footer="0" w:header="0"/>
        </w:sectPr>
      </w:pPr>
    </w:p>
    <w:p>
      <w:pPr>
        <w:spacing w:after="0" w:line="269"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170"/>
          </w:cols>
          <w:pgMar w:left="1390" w:top="1025" w:right="1320" w:bottom="7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PLAN</w:t>
      </w:r>
    </w:p>
    <w:p>
      <w:pPr>
        <w:spacing w:after="0" w:line="168"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Our business plan is primarily focused on investing in shopping centers. We believe that focusing on shopping centers will allow us to continue to broaden the credit base of our tenants. We also seek to diversify our income property portfolio geographically, with an emphasis on what we believe to be faster growing, business-friendly markets exhibiting accommodative business tax policies, outsized relative job and population growth, and where retail demand exceeds supply. We may also self-develop multi-tenant income properties, as we have done in the past.</w:t>
      </w:r>
    </w:p>
    <w:p>
      <w:pPr>
        <w:spacing w:after="0" w:line="124" w:lineRule="exact"/>
        <w:rPr>
          <w:sz w:val="20"/>
          <w:szCs w:val="20"/>
          <w:color w:val="auto"/>
        </w:rPr>
      </w:pPr>
    </w:p>
    <w:p>
      <w:pPr>
        <w:ind w:right="60" w:firstLine="399"/>
        <w:spacing w:after="0" w:line="252" w:lineRule="auto"/>
        <w:rPr>
          <w:sz w:val="20"/>
          <w:szCs w:val="20"/>
          <w:color w:val="auto"/>
        </w:rPr>
      </w:pPr>
      <w:r>
        <w:rPr>
          <w:rFonts w:ascii="Times New Roman" w:cs="Times New Roman" w:eastAsia="Times New Roman" w:hAnsi="Times New Roman"/>
          <w:sz w:val="20"/>
          <w:szCs w:val="20"/>
          <w:color w:val="auto"/>
        </w:rPr>
        <w:t>Our investments in income-producing properties are typically subject to longer-term leases. For shopping centers, each tenant typically pays its proportionate share of the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124" w:lineRule="exact"/>
        <w:rPr>
          <w:sz w:val="20"/>
          <w:szCs w:val="20"/>
          <w:color w:val="auto"/>
        </w:rPr>
      </w:pPr>
    </w:p>
    <w:p>
      <w:pPr>
        <w:ind w:right="100" w:firstLine="399"/>
        <w:spacing w:after="0" w:line="279" w:lineRule="auto"/>
        <w:rPr>
          <w:sz w:val="20"/>
          <w:szCs w:val="20"/>
          <w:color w:val="auto"/>
        </w:rPr>
      </w:pPr>
      <w:r>
        <w:rPr>
          <w:rFonts w:ascii="Times New Roman" w:cs="Times New Roman" w:eastAsia="Times New Roman" w:hAnsi="Times New Roman"/>
          <w:sz w:val="20"/>
          <w:szCs w:val="20"/>
          <w:color w:val="auto"/>
        </w:rPr>
        <w:t>In addition to our primary shopping center investment strategy, our targeted investment classes may include the following:</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Other asset classes</w:t>
      </w:r>
    </w:p>
    <w:p>
      <w:pPr>
        <w:spacing w:after="0" w:line="121" w:lineRule="exact"/>
        <w:rPr>
          <w:sz w:val="20"/>
          <w:szCs w:val="20"/>
          <w:color w:val="auto"/>
        </w:rPr>
      </w:pPr>
    </w:p>
    <w:p>
      <w:pPr>
        <w:ind w:left="580" w:right="240" w:hanging="191"/>
        <w:spacing w:after="0" w:line="257"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Single-tenant retail or other commercial, double or triple net leased, properties that are typically stabilized and located in what we believe to be faster growing, business-friendly markets exhibiting accommodative business tax policies and outsized relative job and population growth that are compliant with our commitments under the ROFO Agreement (as defined below);</w:t>
      </w:r>
    </w:p>
    <w:p>
      <w:pPr>
        <w:spacing w:after="0" w:line="76" w:lineRule="exact"/>
        <w:rPr>
          <w:rFonts w:ascii="Times New Roman" w:cs="Times New Roman" w:eastAsia="Times New Roman" w:hAnsi="Times New Roman"/>
          <w:sz w:val="20"/>
          <w:szCs w:val="20"/>
          <w:color w:val="auto"/>
        </w:rPr>
      </w:pPr>
    </w:p>
    <w:p>
      <w:pPr>
        <w:ind w:left="580" w:right="600" w:hanging="191"/>
        <w:spacing w:after="0" w:line="279"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whether purchased or originated by the Company, that are compliant with our commitments under the ROFO Agreement;</w:t>
      </w:r>
    </w:p>
    <w:p>
      <w:pPr>
        <w:spacing w:after="0" w:line="55"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Self-developed retail or other commercial properties;</w:t>
      </w:r>
    </w:p>
    <w:p>
      <w:pPr>
        <w:spacing w:after="0" w:line="125" w:lineRule="exact"/>
        <w:rPr>
          <w:rFonts w:ascii="Times New Roman" w:cs="Times New Roman" w:eastAsia="Times New Roman" w:hAnsi="Times New Roman"/>
          <w:sz w:val="20"/>
          <w:szCs w:val="20"/>
          <w:color w:val="auto"/>
        </w:rPr>
      </w:pPr>
    </w:p>
    <w:p>
      <w:pPr>
        <w:ind w:left="580" w:right="20" w:hanging="191"/>
        <w:spacing w:after="0" w:line="262"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loans and investments, whether purchased or originated by the Company, with loan terms of 1-10 years with strong risk-adjusted yields secured by property types to include hotel, retail, residential, land and industrial;</w:t>
      </w:r>
    </w:p>
    <w:p>
      <w:pPr>
        <w:spacing w:after="0" w:line="72" w:lineRule="exact"/>
        <w:rPr>
          <w:rFonts w:ascii="Times New Roman" w:cs="Times New Roman" w:eastAsia="Times New Roman" w:hAnsi="Times New Roman"/>
          <w:sz w:val="20"/>
          <w:szCs w:val="20"/>
          <w:color w:val="auto"/>
        </w:rPr>
      </w:pPr>
    </w:p>
    <w:p>
      <w:pPr>
        <w:ind w:left="580" w:right="480" w:hanging="191"/>
        <w:spacing w:after="0" w:line="279"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 regional area investments using Company national market knowledge and expertise in an effort to earn strong risk-adjusted yields; and</w:t>
      </w:r>
    </w:p>
    <w:p>
      <w:pPr>
        <w:spacing w:after="0" w:line="57" w:lineRule="exact"/>
        <w:rPr>
          <w:rFonts w:ascii="Times New Roman" w:cs="Times New Roman" w:eastAsia="Times New Roman" w:hAnsi="Times New Roman"/>
          <w:sz w:val="20"/>
          <w:szCs w:val="20"/>
          <w:color w:val="auto"/>
        </w:rPr>
      </w:pPr>
    </w:p>
    <w:p>
      <w:pPr>
        <w:ind w:left="580" w:right="60" w:hanging="191"/>
        <w:spacing w:after="0" w:line="282"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 estate-related investment securities, including commercial mortgage-backed securities, preferred or common equity, and corporate bonds.</w:t>
      </w:r>
    </w:p>
    <w:p>
      <w:pPr>
        <w:spacing w:after="0" w:line="94" w:lineRule="exact"/>
        <w:rPr>
          <w:sz w:val="20"/>
          <w:szCs w:val="20"/>
          <w:color w:val="auto"/>
        </w:rPr>
      </w:pPr>
    </w:p>
    <w:p>
      <w:pPr>
        <w:ind w:right="20" w:firstLine="399"/>
        <w:spacing w:after="0" w:line="253" w:lineRule="auto"/>
        <w:rPr>
          <w:sz w:val="20"/>
          <w:szCs w:val="20"/>
          <w:color w:val="auto"/>
        </w:rPr>
      </w:pPr>
      <w:r>
        <w:rPr>
          <w:rFonts w:ascii="Times New Roman" w:cs="Times New Roman" w:eastAsia="Times New Roman" w:hAnsi="Times New Roman"/>
          <w:sz w:val="20"/>
          <w:szCs w:val="20"/>
          <w:color w:val="auto"/>
        </w:rPr>
        <w:t>Our access to capital includes raising equity or debt financing, and our sources of debt financing primarily includes our borrowing capacity under our revolving credit facility (as amended and restated, the “Credit Facility”) and term loans. Our strategy is to utilize leverage, when appropriate and necessary, and potentially proceeds from sales of income properties, and the disposition or payoffs of our commercial loans and investments to acquire income properties. As our current properties generally have low tax basis, we may seek to have sales of our income properties qualify for income tax deferral through the like-kind exchange provisions under Section 1031 of the Internal Revenue Code of 1986, as amended (the “Code”).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PROPERTIES</w:t>
      </w:r>
    </w:p>
    <w:p>
      <w:pPr>
        <w:spacing w:after="0" w:line="168" w:lineRule="exact"/>
        <w:rPr>
          <w:sz w:val="20"/>
          <w:szCs w:val="20"/>
          <w:color w:val="auto"/>
        </w:rPr>
      </w:pPr>
    </w:p>
    <w:p>
      <w:pPr>
        <w:ind w:right="40" w:firstLine="399"/>
        <w:spacing w:after="0" w:line="264" w:lineRule="auto"/>
        <w:rPr>
          <w:sz w:val="20"/>
          <w:szCs w:val="20"/>
          <w:color w:val="auto"/>
        </w:rPr>
      </w:pPr>
      <w:r>
        <w:rPr>
          <w:rFonts w:ascii="Times New Roman" w:cs="Times New Roman" w:eastAsia="Times New Roman" w:hAnsi="Times New Roman"/>
          <w:sz w:val="20"/>
          <w:szCs w:val="20"/>
          <w:color w:val="auto"/>
        </w:rPr>
        <w:t>We have pursued a strategy of investing in income-producing properties, when possible, by utilizing the proceeds from real estate transactions, including the disposition of income properties, borrowing capacity under the Credit Facility, term loans and issuances of equity and debt securities.</w:t>
      </w:r>
    </w:p>
    <w:p>
      <w:pPr>
        <w:spacing w:after="0" w:line="113"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and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w:t>
      </w:r>
    </w:p>
    <w:p>
      <w:pPr>
        <w:sectPr>
          <w:pgSz w:w="11880" w:h="15480" w:orient="portrait"/>
          <w:cols w:equalWidth="0" w:num="1">
            <w:col w:w="9100"/>
          </w:cols>
          <w:pgMar w:left="1400" w:top="1026" w:right="1380" w:bottom="71" w:gutter="0" w:footer="0" w:header="0"/>
        </w:sect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100"/>
          </w:cols>
          <w:pgMar w:left="1400" w:top="1026" w:right="1380" w:bottom="71" w:gutter="0" w:footer="0" w:header="0"/>
          <w:type w:val="continuous"/>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20"/>
          <w:szCs w:val="20"/>
          <w:color w:val="auto"/>
        </w:rPr>
        <w:t>(e.g.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spacing w:after="0" w:line="117" w:lineRule="exact"/>
        <w:rPr>
          <w:sz w:val="20"/>
          <w:szCs w:val="20"/>
          <w:color w:val="auto"/>
        </w:rPr>
      </w:pPr>
    </w:p>
    <w:p>
      <w:pPr>
        <w:ind w:right="80" w:firstLine="399"/>
        <w:spacing w:after="0" w:line="255" w:lineRule="auto"/>
        <w:rPr>
          <w:sz w:val="20"/>
          <w:szCs w:val="20"/>
          <w:color w:val="auto"/>
        </w:rPr>
      </w:pPr>
      <w:r>
        <w:rPr>
          <w:rFonts w:ascii="Times New Roman" w:cs="Times New Roman" w:eastAsia="Times New Roman" w:hAnsi="Times New Roman"/>
          <w:sz w:val="20"/>
          <w:szCs w:val="20"/>
          <w:color w:val="auto"/>
        </w:rPr>
        <w:t>During the year ended December 31, 2025, the Company acquired two shopping centers for an aggregate purchase price of $144.9 million, or a total acquisition cost of $145.1 million. Of the aggregate $145.1 million acquisition cost, $56.9 million was allocated to land, $73.3 million was allocated to buildings and improvements, $36.6 million was allocated to intangible assets pertaining to the in-place lease value, leasing costs, and above market lease value and $21.7 million was allocated to intangible liabilities for the below market lease value. The weighted average amortization period for the intangible assets and liabilities was 4.6 years at acquisition.</w:t>
      </w:r>
    </w:p>
    <w:p>
      <w:pPr>
        <w:spacing w:after="0" w:line="125"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the Company sold four income properties for an aggregate sales price of $85.1 million and aggregate gains on sales of $21.0 million. The sales consisted of (i) three single-tenant Main Street properties in Daytona Beach, Florida for $7.1 million, generating gains totaling</w:t>
      </w:r>
    </w:p>
    <w:p>
      <w:pPr>
        <w:spacing w:after="0" w:line="3"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20"/>
          <w:szCs w:val="20"/>
          <w:color w:val="auto"/>
        </w:rPr>
        <w:t>$1.2 million, and (ii) one shopping center located in Plano, Texas for $78.0 million, resulting in a gain on sale of $19.8 million.</w:t>
      </w:r>
    </w:p>
    <w:p>
      <w:pPr>
        <w:spacing w:after="0" w:line="94" w:lineRule="exact"/>
        <w:rPr>
          <w:sz w:val="20"/>
          <w:szCs w:val="20"/>
          <w:color w:val="auto"/>
        </w:rPr>
      </w:pPr>
    </w:p>
    <w:p>
      <w:pPr>
        <w:ind w:right="420" w:firstLine="399"/>
        <w:spacing w:after="0" w:line="258" w:lineRule="auto"/>
        <w:rPr>
          <w:sz w:val="20"/>
          <w:szCs w:val="20"/>
          <w:color w:val="auto"/>
        </w:rPr>
      </w:pPr>
      <w:r>
        <w:rPr>
          <w:rFonts w:ascii="Times New Roman" w:cs="Times New Roman" w:eastAsia="Times New Roman" w:hAnsi="Times New Roman"/>
          <w:sz w:val="20"/>
          <w:szCs w:val="20"/>
          <w:color w:val="auto"/>
        </w:rPr>
        <w:t>Our current portfolio of 17 shopping centers generates $102.4 million of revenue from annualized straight-line base lease payments and had a weighted average remaining lease term of 5.0 years as of December 31, 2025. Our current portfolio of 4 other income property assets generates $3.8 million of revenues from annualized straight-line base lease payments and had a weighted average remaining lease term of 3.9 years as of December 31, 2025.</w:t>
      </w:r>
    </w:p>
    <w:p>
      <w:pPr>
        <w:spacing w:after="0" w:line="121"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As a result of entering into the Exclusivity and Right of First Offer Agreement with PINE (the “ROFO Agreement”) which generally prevents us from investing in single-tenant net lease income properties, our income property investment strategy will continue to be focused on shopping centers.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100"/>
          </w:cols>
          <w:pgMar w:left="1400" w:top="1025" w:right="1380" w:bottom="70" w:gutter="0" w:footer="0" w:header="0"/>
          <w:type w:val="continuous"/>
        </w:sectPr>
      </w:pPr>
    </w:p>
    <w:bookmarkStart w:id="11" w:name="page12"/>
    <w:bookmarkEnd w:id="11"/>
    <w:p>
      <w:pPr>
        <w:ind w:right="760" w:firstLine="399"/>
        <w:spacing w:after="0" w:line="284" w:lineRule="auto"/>
        <w:rPr>
          <w:sz w:val="20"/>
          <w:szCs w:val="20"/>
          <w:color w:val="auto"/>
        </w:rPr>
      </w:pPr>
      <w:r>
        <w:rPr>
          <w:rFonts w:ascii="Times New Roman" w:cs="Times New Roman" w:eastAsia="Times New Roman" w:hAnsi="Times New Roman"/>
          <w:sz w:val="20"/>
          <w:szCs w:val="20"/>
          <w:color w:val="auto"/>
        </w:rPr>
        <w:t>As of December 31, 2025, the Company owned 21 income properties in 7 states. Following is a summary of these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Area</w:t>
            </w:r>
          </w:p>
        </w:tc>
      </w:tr>
      <w:tr>
        <w:trPr>
          <w:trHeight w:val="203"/>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Tenant / Property</w:t>
            </w:r>
          </w:p>
        </w:tc>
        <w:tc>
          <w:tcPr>
            <w:tcW w:w="120" w:type="dxa"/>
            <w:vAlign w:val="bottom"/>
          </w:tcPr>
          <w:p>
            <w:pPr>
              <w:spacing w:after="0"/>
              <w:rPr>
                <w:sz w:val="17"/>
                <w:szCs w:val="17"/>
                <w:color w:val="auto"/>
              </w:rPr>
            </w:pPr>
          </w:p>
        </w:tc>
        <w:tc>
          <w:tcPr>
            <w:tcW w:w="196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City</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7"/>
              </w:rPr>
              <w:t>State</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(Square Feet)</w:t>
            </w:r>
          </w:p>
        </w:tc>
      </w:tr>
      <w:tr>
        <w:trPr>
          <w:trHeight w:val="30"/>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83"/>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Granada Plaza . . . . . . . . . . . . . . . . . . . . .</w:t>
            </w:r>
          </w:p>
        </w:tc>
        <w:tc>
          <w:tcPr>
            <w:tcW w:w="20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Dunedin</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FL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74,178</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Exchange at Gwinnett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rPr>
              <w:t>Buford</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GA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97,366</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Millenia Crossing . . .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Orlando</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FL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100,385</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Lake Brandon Village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Brandon</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FL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102,022</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Madison Yards  . . . .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Atlanta</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GA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162,521</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Price Plaza  . . . . . . .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Katy</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TX</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200,576</w:t>
            </w:r>
          </w:p>
        </w:tc>
        <w:tc>
          <w:tcPr>
            <w:tcW w:w="60" w:type="dxa"/>
            <w:vAlign w:val="bottom"/>
          </w:tcPr>
          <w:p>
            <w:pPr>
              <w:spacing w:after="0"/>
              <w:rPr>
                <w:sz w:val="24"/>
                <w:szCs w:val="24"/>
                <w:color w:val="auto"/>
              </w:rPr>
            </w:pPr>
          </w:p>
        </w:tc>
      </w:tr>
      <w:tr>
        <w:trPr>
          <w:trHeight w:val="299"/>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Strand at St. Johns Town Center  . . . . .</w:t>
            </w:r>
          </w:p>
        </w:tc>
        <w:tc>
          <w:tcPr>
            <w:tcW w:w="12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Jacksonville</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FL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211,197</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Crossroads Towne Center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Chandler</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AZ</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221,658</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Ashford Lane . . . . . .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Atlanta</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GA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277,118</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Marketplace at Seminole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Sanford</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FL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320,273</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Beaver Creek Crossings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rPr>
              <w:t>Apex</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NC</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322,113</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West Broad Village . .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Glen Allen</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VA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392,139</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Plaza at Rockwall . . .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Rockwall</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TX</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443,880</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Pompano Citi Centre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Pompano Beach</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FL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508,874</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Ashley Park . . . . . . .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Newnan</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GA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559,465</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Collection at Forsyth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Cumming</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GA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560,919</w:t>
            </w:r>
          </w:p>
        </w:tc>
        <w:tc>
          <w:tcPr>
            <w:tcW w:w="60" w:type="dxa"/>
            <w:vAlign w:val="bottom"/>
          </w:tcPr>
          <w:p>
            <w:pPr>
              <w:spacing w:after="0"/>
              <w:rPr>
                <w:sz w:val="24"/>
                <w:szCs w:val="24"/>
                <w:color w:val="auto"/>
              </w:rPr>
            </w:pPr>
          </w:p>
        </w:tc>
      </w:tr>
      <w:tr>
        <w:trPr>
          <w:trHeight w:val="302"/>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Carolina Pavilion . . .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Charlotte</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NC</w:t>
            </w:r>
          </w:p>
        </w:tc>
        <w:tc>
          <w:tcPr>
            <w:tcW w:w="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693,813</w:t>
            </w:r>
          </w:p>
        </w:tc>
        <w:tc>
          <w:tcPr>
            <w:tcW w:w="60" w:type="dxa"/>
            <w:vAlign w:val="bottom"/>
          </w:tcPr>
          <w:p>
            <w:pPr>
              <w:spacing w:after="0"/>
              <w:rPr>
                <w:sz w:val="24"/>
                <w:szCs w:val="24"/>
                <w:color w:val="auto"/>
              </w:rPr>
            </w:pPr>
          </w:p>
        </w:tc>
      </w:tr>
      <w:tr>
        <w:trPr>
          <w:trHeight w:val="28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17 Shopping Centers </w:t>
            </w:r>
            <w:r>
              <w:rPr>
                <w:rFonts w:ascii="Times New Roman" w:cs="Times New Roman" w:eastAsia="Times New Roman" w:hAnsi="Times New Roman"/>
                <w:sz w:val="20"/>
                <w:szCs w:val="20"/>
                <w:color w:val="auto"/>
              </w:rPr>
              <w:t>. . . . . . . . . . . . . . . . .</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5,248,497</w:t>
            </w:r>
          </w:p>
        </w:tc>
        <w:tc>
          <w:tcPr>
            <w:tcW w:w="60" w:type="dxa"/>
            <w:vAlign w:val="bottom"/>
          </w:tcPr>
          <w:p>
            <w:pPr>
              <w:spacing w:after="0"/>
              <w:rPr>
                <w:sz w:val="24"/>
                <w:szCs w:val="24"/>
                <w:color w:val="auto"/>
              </w:rPr>
            </w:pPr>
          </w:p>
        </w:tc>
      </w:tr>
      <w:tr>
        <w:trPr>
          <w:trHeight w:val="286"/>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Crabby’s Oceanside . .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Single-Tenant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Daytona Beach</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FL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5,780</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LandShark Bar &amp; Grill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Single-Tenant</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Daytona Beach</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FL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6,264</w:t>
            </w:r>
          </w:p>
        </w:tc>
        <w:tc>
          <w:tcPr>
            <w:tcW w:w="60" w:type="dxa"/>
            <w:vAlign w:val="bottom"/>
          </w:tcPr>
          <w:p>
            <w:pPr>
              <w:spacing w:after="0"/>
              <w:rPr>
                <w:sz w:val="24"/>
                <w:szCs w:val="24"/>
                <w:color w:val="auto"/>
              </w:rPr>
            </w:pPr>
          </w:p>
        </w:tc>
      </w:tr>
      <w:tr>
        <w:trPr>
          <w:trHeight w:val="29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369 N. New York Ave.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Multi-Tenant/Other</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rPr>
              <w:t>Winter Park</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FL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27,948</w:t>
            </w:r>
          </w:p>
        </w:tc>
        <w:tc>
          <w:tcPr>
            <w:tcW w:w="60" w:type="dxa"/>
            <w:vAlign w:val="bottom"/>
          </w:tcPr>
          <w:p>
            <w:pPr>
              <w:spacing w:after="0"/>
              <w:rPr>
                <w:sz w:val="24"/>
                <w:szCs w:val="24"/>
                <w:color w:val="auto"/>
              </w:rPr>
            </w:pPr>
          </w:p>
        </w:tc>
      </w:tr>
      <w:tr>
        <w:trPr>
          <w:trHeight w:val="302"/>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5401 Watson Dr. SE . . . . . . . . . . . . . . . . .</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Multi-Tenant/Office</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Albuquerque</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NM</w:t>
            </w:r>
          </w:p>
        </w:tc>
        <w:tc>
          <w:tcPr>
            <w:tcW w:w="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212,409</w:t>
            </w:r>
          </w:p>
        </w:tc>
        <w:tc>
          <w:tcPr>
            <w:tcW w:w="60" w:type="dxa"/>
            <w:vAlign w:val="bottom"/>
          </w:tcPr>
          <w:p>
            <w:pPr>
              <w:spacing w:after="0"/>
              <w:rPr>
                <w:sz w:val="24"/>
                <w:szCs w:val="24"/>
                <w:color w:val="auto"/>
              </w:rPr>
            </w:pPr>
          </w:p>
        </w:tc>
      </w:tr>
      <w:tr>
        <w:trPr>
          <w:trHeight w:val="28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4 Other Properties  </w:t>
            </w:r>
            <w:r>
              <w:rPr>
                <w:rFonts w:ascii="Times New Roman" w:cs="Times New Roman" w:eastAsia="Times New Roman" w:hAnsi="Times New Roman"/>
                <w:sz w:val="20"/>
                <w:szCs w:val="20"/>
                <w:color w:val="auto"/>
              </w:rPr>
              <w:t>. . . . . . . . . . . . . . . . . .</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252,401</w:t>
            </w:r>
          </w:p>
        </w:tc>
        <w:tc>
          <w:tcPr>
            <w:tcW w:w="60" w:type="dxa"/>
            <w:vAlign w:val="bottom"/>
          </w:tcPr>
          <w:p>
            <w:pPr>
              <w:spacing w:after="0"/>
              <w:rPr>
                <w:sz w:val="24"/>
                <w:szCs w:val="24"/>
                <w:color w:val="auto"/>
              </w:rPr>
            </w:pPr>
          </w:p>
        </w:tc>
      </w:tr>
      <w:tr>
        <w:trPr>
          <w:trHeight w:val="289"/>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21 Total Properties </w:t>
            </w:r>
            <w:r>
              <w:rPr>
                <w:rFonts w:ascii="Times New Roman" w:cs="Times New Roman" w:eastAsia="Times New Roman" w:hAnsi="Times New Roman"/>
                <w:sz w:val="20"/>
                <w:szCs w:val="20"/>
                <w:color w:val="auto"/>
              </w:rPr>
              <w:t>. . . . . . . . . . . . . . . . . .</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5,500,898</w:t>
            </w:r>
          </w:p>
        </w:tc>
        <w:tc>
          <w:tcPr>
            <w:tcW w:w="60" w:type="dxa"/>
            <w:vAlign w:val="bottom"/>
          </w:tcPr>
          <w:p>
            <w:pPr>
              <w:spacing w:after="0"/>
              <w:rPr>
                <w:sz w:val="24"/>
                <w:szCs w:val="24"/>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0" w:lineRule="exact"/>
        <w:rPr>
          <w:sz w:val="20"/>
          <w:szCs w:val="20"/>
          <w:color w:val="auto"/>
        </w:rPr>
      </w:pPr>
    </w:p>
    <w:p>
      <w:pPr>
        <w:ind w:firstLine="399"/>
        <w:spacing w:after="0" w:line="284" w:lineRule="auto"/>
        <w:rPr>
          <w:sz w:val="20"/>
          <w:szCs w:val="20"/>
          <w:color w:val="auto"/>
        </w:rPr>
      </w:pPr>
      <w:r>
        <w:rPr>
          <w:rFonts w:ascii="Times New Roman" w:cs="Times New Roman" w:eastAsia="Times New Roman" w:hAnsi="Times New Roman"/>
          <w:sz w:val="20"/>
          <w:szCs w:val="20"/>
          <w:color w:val="auto"/>
        </w:rPr>
        <w:t>The weighted average economic and physical occupancy rates of our income properties at December 31st for each of the last three years on a portfolio basis are as follows:</w:t>
      </w:r>
    </w:p>
    <w:p>
      <w:pPr>
        <w:spacing w:after="0" w:line="86"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Shopping Centers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Other Properties</w:t>
            </w:r>
          </w:p>
        </w:tc>
      </w:tr>
      <w:tr>
        <w:trPr>
          <w:trHeight w:val="180"/>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Economic / Leased</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Economic / Leased</w:t>
            </w:r>
          </w:p>
        </w:tc>
      </w:tr>
      <w:tr>
        <w:trPr>
          <w:trHeight w:val="213"/>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Occupancy</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Occupancy</w:t>
            </w:r>
          </w:p>
        </w:tc>
      </w:tr>
      <w:tr>
        <w:trPr>
          <w:trHeight w:val="283"/>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2023 . . . . . . . . . . . . . . . . . . . . . . . . . . . . . . . . . . . . . . . . .</w:t>
            </w:r>
          </w:p>
        </w:tc>
        <w:tc>
          <w:tcPr>
            <w:tcW w:w="148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89% / 93%</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100% / 100%</w:t>
            </w:r>
          </w:p>
        </w:tc>
      </w:tr>
      <w:tr>
        <w:trPr>
          <w:trHeight w:val="279"/>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2024 . . . . . . . . . . . . . . . . . . . . . . . . . . . . . . . . . . . . . . . . .</w:t>
            </w:r>
          </w:p>
        </w:tc>
        <w:tc>
          <w:tcPr>
            <w:tcW w:w="148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90% / 93%</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100% / 100%</w:t>
            </w:r>
          </w:p>
        </w:tc>
      </w:tr>
      <w:tr>
        <w:trPr>
          <w:trHeight w:val="279"/>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2025 . . . . . . . . . . . . . . . . . . . . . . . . . . . . . . . . . . . . . . . . .</w:t>
            </w:r>
          </w:p>
        </w:tc>
        <w:tc>
          <w:tcPr>
            <w:tcW w:w="148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92% / 96%</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61% / 100%</w:t>
            </w:r>
          </w:p>
        </w:tc>
      </w:tr>
    </w:tbl>
    <w:p>
      <w:pPr>
        <w:spacing w:after="0" w:line="200" w:lineRule="exact"/>
        <w:rPr>
          <w:sz w:val="20"/>
          <w:szCs w:val="20"/>
          <w:color w:val="auto"/>
        </w:rPr>
      </w:pP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100"/>
          </w:cols>
          <w:pgMar w:left="1400" w:top="1025" w:right="1380" w:bottom="70" w:gutter="0" w:footer="0" w:header="0"/>
          <w:type w:val="continuous"/>
        </w:sectPr>
      </w:pPr>
    </w:p>
    <w:bookmarkStart w:id="12" w:name="page13"/>
    <w:bookmarkEnd w:id="12"/>
    <w:p>
      <w:pPr>
        <w:ind w:left="10" w:right="240" w:firstLine="399"/>
        <w:spacing w:after="0" w:line="279" w:lineRule="auto"/>
        <w:rPr>
          <w:sz w:val="20"/>
          <w:szCs w:val="20"/>
          <w:color w:val="auto"/>
        </w:rPr>
      </w:pPr>
      <w:r>
        <w:rPr>
          <w:rFonts w:ascii="Times New Roman" w:cs="Times New Roman" w:eastAsia="Times New Roman" w:hAnsi="Times New Roman"/>
          <w:sz w:val="20"/>
          <w:szCs w:val="20"/>
          <w:color w:val="auto"/>
        </w:rPr>
        <w:t>The information on lease expirations of our total income property portfolio for each of the ten years starting with 2026 is as follows:</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r>
      <w:tr>
        <w:trPr>
          <w:trHeight w:val="172"/>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w w:val="93"/>
              </w:rPr>
              <w:t>Annual Rents</w:t>
            </w:r>
          </w:p>
        </w:tc>
        <w:tc>
          <w:tcPr>
            <w:tcW w:w="120" w:type="dxa"/>
            <w:vAlign w:val="bottom"/>
          </w:tcPr>
          <w:p>
            <w:pPr>
              <w:spacing w:after="0"/>
              <w:rPr>
                <w:sz w:val="14"/>
                <w:szCs w:val="14"/>
                <w:color w:val="auto"/>
              </w:rPr>
            </w:pPr>
          </w:p>
        </w:tc>
        <w:tc>
          <w:tcPr>
            <w:tcW w:w="92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Gross</w:t>
            </w:r>
          </w:p>
        </w:tc>
      </w:tr>
      <w:tr>
        <w:trPr>
          <w:trHeight w:val="180"/>
        </w:trPr>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 of Tenant Leases</w:t>
            </w:r>
          </w:p>
        </w:tc>
        <w:tc>
          <w:tcPr>
            <w:tcW w:w="150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Square Feet</w:t>
            </w:r>
          </w:p>
        </w:tc>
        <w:tc>
          <w:tcPr>
            <w:tcW w:w="100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Expiring</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3"/>
              </w:rPr>
              <w:t>Annual Rents</w:t>
            </w:r>
          </w:p>
        </w:tc>
      </w:tr>
      <w:tr>
        <w:trPr>
          <w:trHeight w:val="240"/>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Expiring</w:t>
            </w:r>
          </w:p>
        </w:tc>
        <w:tc>
          <w:tcPr>
            <w:tcW w:w="24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of Leases Expiring</w:t>
            </w:r>
          </w:p>
        </w:tc>
        <w:tc>
          <w:tcPr>
            <w:tcW w:w="2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($000’s)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Expiring</w:t>
            </w:r>
            <w:r>
              <w:rPr>
                <w:rFonts w:ascii="Times New Roman" w:cs="Times New Roman" w:eastAsia="Times New Roman" w:hAnsi="Times New Roman"/>
                <w:sz w:val="19"/>
                <w:szCs w:val="19"/>
                <w:b w:val="1"/>
                <w:bCs w:val="1"/>
                <w:color w:val="auto"/>
                <w:w w:val="95"/>
                <w:vertAlign w:val="superscript"/>
              </w:rPr>
              <w:t>(1)</w:t>
            </w:r>
          </w:p>
        </w:tc>
      </w:tr>
      <w:tr>
        <w:trPr>
          <w:trHeight w:val="283"/>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w:t>
            </w:r>
          </w:p>
        </w:tc>
        <w:tc>
          <w:tcPr>
            <w:tcW w:w="152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68</w:t>
            </w:r>
          </w:p>
        </w:tc>
        <w:tc>
          <w:tcPr>
            <w:tcW w:w="240" w:type="dxa"/>
            <w:vAlign w:val="bottom"/>
          </w:tcPr>
          <w:p>
            <w:pPr>
              <w:spacing w:after="0"/>
              <w:rPr>
                <w:sz w:val="24"/>
                <w:szCs w:val="24"/>
                <w:color w:val="auto"/>
              </w:rPr>
            </w:pP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389,985</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$ 8,919</w:t>
            </w: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8.5%</w:t>
            </w:r>
          </w:p>
        </w:tc>
      </w:tr>
      <w:tr>
        <w:trPr>
          <w:trHeight w:val="29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w:t>
            </w:r>
          </w:p>
        </w:tc>
        <w:tc>
          <w:tcPr>
            <w:tcW w:w="152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79</w:t>
            </w:r>
          </w:p>
        </w:tc>
        <w:tc>
          <w:tcPr>
            <w:tcW w:w="240" w:type="dxa"/>
            <w:vAlign w:val="bottom"/>
          </w:tcPr>
          <w:p>
            <w:pPr>
              <w:spacing w:after="0"/>
              <w:rPr>
                <w:sz w:val="24"/>
                <w:szCs w:val="24"/>
                <w:color w:val="auto"/>
              </w:rPr>
            </w:pP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599,120</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$10,390</w:t>
            </w: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r>
      <w:tr>
        <w:trPr>
          <w:trHeight w:val="29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2028 . . . . . . . . . . . . . . . . . . . . . . . . . . . .</w:t>
            </w:r>
          </w:p>
        </w:tc>
        <w:tc>
          <w:tcPr>
            <w:tcW w:w="152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87</w:t>
            </w:r>
          </w:p>
        </w:tc>
        <w:tc>
          <w:tcPr>
            <w:tcW w:w="240" w:type="dxa"/>
            <w:vAlign w:val="bottom"/>
          </w:tcPr>
          <w:p>
            <w:pPr>
              <w:spacing w:after="0"/>
              <w:rPr>
                <w:sz w:val="24"/>
                <w:szCs w:val="24"/>
                <w:color w:val="auto"/>
              </w:rPr>
            </w:pP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1,031,509</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$20,706</w:t>
            </w: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19.9%</w:t>
            </w:r>
          </w:p>
        </w:tc>
      </w:tr>
      <w:tr>
        <w:trPr>
          <w:trHeight w:val="29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2029 . . . . . . . . . . . . . . . . . . . . . . . . . . . .</w:t>
            </w:r>
          </w:p>
        </w:tc>
        <w:tc>
          <w:tcPr>
            <w:tcW w:w="152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72</w:t>
            </w:r>
          </w:p>
        </w:tc>
        <w:tc>
          <w:tcPr>
            <w:tcW w:w="240" w:type="dxa"/>
            <w:vAlign w:val="bottom"/>
          </w:tcPr>
          <w:p>
            <w:pPr>
              <w:spacing w:after="0"/>
              <w:rPr>
                <w:sz w:val="24"/>
                <w:szCs w:val="24"/>
                <w:color w:val="auto"/>
              </w:rPr>
            </w:pP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646,231</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$10,421</w:t>
            </w: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r>
      <w:tr>
        <w:trPr>
          <w:trHeight w:val="29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2030 . . . . . . . . . . . . . . . . . . . . . . . . . . . .</w:t>
            </w:r>
          </w:p>
        </w:tc>
        <w:tc>
          <w:tcPr>
            <w:tcW w:w="152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77</w:t>
            </w:r>
          </w:p>
        </w:tc>
        <w:tc>
          <w:tcPr>
            <w:tcW w:w="240" w:type="dxa"/>
            <w:vAlign w:val="bottom"/>
          </w:tcPr>
          <w:p>
            <w:pPr>
              <w:spacing w:after="0"/>
              <w:rPr>
                <w:sz w:val="24"/>
                <w:szCs w:val="24"/>
                <w:color w:val="auto"/>
              </w:rPr>
            </w:pP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452,514</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$10,628</w:t>
            </w: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10.2%</w:t>
            </w:r>
          </w:p>
        </w:tc>
      </w:tr>
      <w:tr>
        <w:trPr>
          <w:trHeight w:val="29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2031 . . . . . . . . . . . . . . . . . . . . . . . . . . . .</w:t>
            </w:r>
          </w:p>
        </w:tc>
        <w:tc>
          <w:tcPr>
            <w:tcW w:w="152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58</w:t>
            </w:r>
          </w:p>
        </w:tc>
        <w:tc>
          <w:tcPr>
            <w:tcW w:w="240" w:type="dxa"/>
            <w:vAlign w:val="bottom"/>
          </w:tcPr>
          <w:p>
            <w:pPr>
              <w:spacing w:after="0"/>
              <w:rPr>
                <w:sz w:val="24"/>
                <w:szCs w:val="24"/>
                <w:color w:val="auto"/>
              </w:rPr>
            </w:pP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530,928</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$11,278</w:t>
            </w: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10.8%</w:t>
            </w:r>
          </w:p>
        </w:tc>
      </w:tr>
      <w:tr>
        <w:trPr>
          <w:trHeight w:val="29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2032 . . . . . . . . . . . . . . . . . . . . . . . . . . . .</w:t>
            </w:r>
          </w:p>
        </w:tc>
        <w:tc>
          <w:tcPr>
            <w:tcW w:w="152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43</w:t>
            </w:r>
          </w:p>
        </w:tc>
        <w:tc>
          <w:tcPr>
            <w:tcW w:w="240" w:type="dxa"/>
            <w:vAlign w:val="bottom"/>
          </w:tcPr>
          <w:p>
            <w:pPr>
              <w:spacing w:after="0"/>
              <w:rPr>
                <w:sz w:val="24"/>
                <w:szCs w:val="24"/>
                <w:color w:val="auto"/>
              </w:rPr>
            </w:pP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332,546</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$ 7,144</w:t>
            </w: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6.9%</w:t>
            </w:r>
          </w:p>
        </w:tc>
      </w:tr>
      <w:tr>
        <w:trPr>
          <w:trHeight w:val="29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2033 . . . . . . . . . . . . . . . . . . . . . . . . . . . .</w:t>
            </w:r>
          </w:p>
        </w:tc>
        <w:tc>
          <w:tcPr>
            <w:tcW w:w="152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37</w:t>
            </w:r>
          </w:p>
        </w:tc>
        <w:tc>
          <w:tcPr>
            <w:tcW w:w="240" w:type="dxa"/>
            <w:vAlign w:val="bottom"/>
          </w:tcPr>
          <w:p>
            <w:pPr>
              <w:spacing w:after="0"/>
              <w:rPr>
                <w:sz w:val="24"/>
                <w:szCs w:val="24"/>
                <w:color w:val="auto"/>
              </w:rPr>
            </w:pP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182,537</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$ 5,175</w:t>
            </w: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r>
      <w:tr>
        <w:trPr>
          <w:trHeight w:val="29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2034 . . . . . . . . . . . . . . . . . . . . . . . . . . . .</w:t>
            </w:r>
          </w:p>
        </w:tc>
        <w:tc>
          <w:tcPr>
            <w:tcW w:w="152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30</w:t>
            </w:r>
          </w:p>
        </w:tc>
        <w:tc>
          <w:tcPr>
            <w:tcW w:w="240" w:type="dxa"/>
            <w:vAlign w:val="bottom"/>
          </w:tcPr>
          <w:p>
            <w:pPr>
              <w:spacing w:after="0"/>
              <w:rPr>
                <w:sz w:val="24"/>
                <w:szCs w:val="24"/>
                <w:color w:val="auto"/>
              </w:rPr>
            </w:pP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238,147</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$ 5,770</w:t>
            </w: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5.5%</w:t>
            </w:r>
          </w:p>
        </w:tc>
      </w:tr>
      <w:tr>
        <w:trPr>
          <w:trHeight w:val="29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2035 . . . . . . . . . . . . . . . . . . . . . . . . . . . .</w:t>
            </w:r>
          </w:p>
        </w:tc>
        <w:tc>
          <w:tcPr>
            <w:tcW w:w="152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37</w:t>
            </w:r>
          </w:p>
        </w:tc>
        <w:tc>
          <w:tcPr>
            <w:tcW w:w="240" w:type="dxa"/>
            <w:vAlign w:val="bottom"/>
          </w:tcPr>
          <w:p>
            <w:pPr>
              <w:spacing w:after="0"/>
              <w:rPr>
                <w:sz w:val="24"/>
                <w:szCs w:val="24"/>
                <w:color w:val="auto"/>
              </w:rPr>
            </w:pP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309,105</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$ 7,552</w:t>
            </w: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13684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107.75pt,11.3pt" o:allowincell="f" strokecolor="#000000" strokeweight="0.499pt"/>
            </w:pict>
          </mc:Fallback>
        </mc:AlternateContent>
      </w:r>
    </w:p>
    <w:p>
      <w:pPr>
        <w:spacing w:after="0" w:line="326" w:lineRule="exact"/>
        <w:rPr>
          <w:sz w:val="20"/>
          <w:szCs w:val="20"/>
          <w:color w:val="auto"/>
        </w:rPr>
      </w:pPr>
    </w:p>
    <w:p>
      <w:pPr>
        <w:ind w:left="390" w:hanging="390"/>
        <w:spacing w:after="0"/>
        <w:tabs>
          <w:tab w:leader="none" w:pos="39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Rents consist of the in-place base rent to be received pursuant to each lease agreement (i.e. not on a straight-line basis).</w:t>
      </w:r>
    </w:p>
    <w:p>
      <w:pPr>
        <w:spacing w:after="0" w:line="175" w:lineRule="exact"/>
        <w:rPr>
          <w:sz w:val="20"/>
          <w:szCs w:val="20"/>
          <w:color w:val="auto"/>
        </w:rPr>
      </w:pPr>
    </w:p>
    <w:p>
      <w:pPr>
        <w:ind w:left="10" w:right="60" w:firstLine="399"/>
        <w:spacing w:after="0" w:line="282" w:lineRule="auto"/>
        <w:rPr>
          <w:sz w:val="20"/>
          <w:szCs w:val="20"/>
          <w:color w:val="auto"/>
        </w:rPr>
      </w:pPr>
      <w:r>
        <w:rPr>
          <w:rFonts w:ascii="Times New Roman" w:cs="Times New Roman" w:eastAsia="Times New Roman" w:hAnsi="Times New Roman"/>
          <w:sz w:val="20"/>
          <w:szCs w:val="20"/>
          <w:color w:val="auto"/>
        </w:rPr>
        <w:t>The majority of leases have additional option periods beyond the original term of the lease, which typically are exercisable at the tenant’s option.</w:t>
      </w:r>
    </w:p>
    <w:p>
      <w:pPr>
        <w:spacing w:after="0" w:line="94" w:lineRule="exact"/>
        <w:rPr>
          <w:sz w:val="20"/>
          <w:szCs w:val="20"/>
          <w:color w:val="auto"/>
        </w:rPr>
      </w:pPr>
    </w:p>
    <w:p>
      <w:pPr>
        <w:ind w:left="10" w:right="60" w:firstLine="399"/>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Provision for Impairment — Income Properties. </w:t>
      </w:r>
      <w:r>
        <w:rPr>
          <w:rFonts w:ascii="Times New Roman" w:cs="Times New Roman" w:eastAsia="Times New Roman" w:hAnsi="Times New Roman"/>
          <w:sz w:val="20"/>
          <w:szCs w:val="20"/>
          <w:color w:val="auto"/>
        </w:rPr>
        <w:t>The Company assesses the impairment of long-lived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24" w:lineRule="exact"/>
        <w:rPr>
          <w:sz w:val="20"/>
          <w:szCs w:val="20"/>
          <w:color w:val="auto"/>
        </w:rPr>
      </w:pPr>
    </w:p>
    <w:p>
      <w:pPr>
        <w:ind w:left="10" w:right="680" w:firstLine="399"/>
        <w:spacing w:after="0" w:line="282" w:lineRule="auto"/>
        <w:rPr>
          <w:sz w:val="20"/>
          <w:szCs w:val="20"/>
          <w:color w:val="auto"/>
        </w:rPr>
      </w:pPr>
      <w:r>
        <w:rPr>
          <w:rFonts w:ascii="Times New Roman" w:cs="Times New Roman" w:eastAsia="Times New Roman" w:hAnsi="Times New Roman"/>
          <w:sz w:val="20"/>
          <w:szCs w:val="20"/>
          <w:color w:val="auto"/>
        </w:rPr>
        <w:t>There were no impairment charges on the Company’s income property portfolio during each of the years ended December 31, 2025 or 2024.</w:t>
      </w:r>
    </w:p>
    <w:p>
      <w:pPr>
        <w:spacing w:after="0" w:line="94" w:lineRule="exact"/>
        <w:rPr>
          <w:sz w:val="20"/>
          <w:szCs w:val="20"/>
          <w:color w:val="auto"/>
        </w:rPr>
      </w:pPr>
    </w:p>
    <w:p>
      <w:pPr>
        <w:ind w:left="10" w:firstLine="399"/>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MANAGEMENT SERVICES BUSINESS</w:t>
      </w:r>
    </w:p>
    <w:p>
      <w:pPr>
        <w:spacing w:after="0" w:line="168" w:lineRule="exact"/>
        <w:rPr>
          <w:sz w:val="20"/>
          <w:szCs w:val="20"/>
          <w:color w:val="auto"/>
        </w:rPr>
      </w:pPr>
    </w:p>
    <w:p>
      <w:pPr>
        <w:ind w:left="390"/>
        <w:spacing w:after="0"/>
        <w:tabs>
          <w:tab w:leader="none" w:pos="3689" w:val="left"/>
        </w:tabs>
        <w:rPr>
          <w:sz w:val="20"/>
          <w:szCs w:val="20"/>
          <w:color w:val="auto"/>
        </w:rPr>
      </w:pPr>
      <w:r>
        <w:rPr>
          <w:rFonts w:ascii="Times New Roman" w:cs="Times New Roman" w:eastAsia="Times New Roman" w:hAnsi="Times New Roman"/>
          <w:sz w:val="20"/>
          <w:szCs w:val="20"/>
          <w:i w:val="1"/>
          <w:iCs w:val="1"/>
          <w:color w:val="auto"/>
        </w:rPr>
        <w:t>Related Party Management of PINE.</w:t>
      </w:r>
      <w:r>
        <w:rPr>
          <w:sz w:val="20"/>
          <w:szCs w:val="20"/>
          <w:color w:val="auto"/>
        </w:rPr>
        <w:tab/>
      </w:r>
      <w:r>
        <w:rPr>
          <w:rFonts w:ascii="Times New Roman" w:cs="Times New Roman" w:eastAsia="Times New Roman" w:hAnsi="Times New Roman"/>
          <w:sz w:val="20"/>
          <w:szCs w:val="20"/>
          <w:color w:val="auto"/>
        </w:rPr>
        <w:t>Our business plan includes generating revenue from managing</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PINE. Pursuant to the management agreement with PINE, the Company generates a base management fee</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equal to 1.5% of PINE’s “total equity” (as defined in the management agreement).We have waived a</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portion of the base management fee attributable to the inclusion of the net cash proceeds from the issuance</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of PINE’s Series A Preferred Stock in PINE’s “total equity” (the “Incremental Equity Base”), such that</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base management fee rate on the Incremental Equity Base is equal to 0.75% per annum, instead of 1.50%</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per annum, as provided in the Management Agreement. The Company also has an opportunity to achieve</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additional cash flows as manager of PINE pursuant to the terms of an annual incentive fee, as further</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described in Note 5, “Management Services Business” in the notes to the consolidated financial statements</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 Item 8.</w:t>
      </w:r>
    </w:p>
    <w:p>
      <w:pPr>
        <w:spacing w:after="0" w:line="167" w:lineRule="exact"/>
        <w:rPr>
          <w:sz w:val="20"/>
          <w:szCs w:val="20"/>
          <w:color w:val="auto"/>
        </w:rPr>
      </w:pPr>
    </w:p>
    <w:p>
      <w:pPr>
        <w:ind w:left="10" w:right="60" w:firstLine="399"/>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Portfolio Management Agreement. </w:t>
      </w:r>
      <w:r>
        <w:rPr>
          <w:rFonts w:ascii="Times New Roman" w:cs="Times New Roman" w:eastAsia="Times New Roman" w:hAnsi="Times New Roman"/>
          <w:sz w:val="20"/>
          <w:szCs w:val="20"/>
          <w:color w:val="auto"/>
        </w:rPr>
        <w:t>On December 4, 2023, the Company entered into an asset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agreement with a third party to manage a portfolio of multi-tenant and single-tenant assets (the “Portfolio Management Agreement”). Although the Company has no direct relationship with the third party, PINE is a lender to the third-party pursuant to a mortgage note originated by PINE which is</w:t>
      </w:r>
    </w:p>
    <w:p>
      <w:pPr>
        <w:sectPr>
          <w:pgSz w:w="11880" w:h="15480" w:orient="portrait"/>
          <w:cols w:equalWidth="0" w:num="1">
            <w:col w:w="9110"/>
          </w:cols>
          <w:pgMar w:left="1390" w:top="1025" w:right="1380" w:bottom="70" w:gutter="0" w:footer="0" w:header="0"/>
        </w:sectPr>
      </w:pPr>
    </w:p>
    <w:p>
      <w:pPr>
        <w:spacing w:after="0" w:line="27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110"/>
          </w:cols>
          <w:pgMar w:left="1390" w:top="1025" w:right="1380" w:bottom="70" w:gutter="0" w:footer="0" w:header="0"/>
          <w:type w:val="continuous"/>
        </w:sectPr>
      </w:pPr>
    </w:p>
    <w:bookmarkStart w:id="13" w:name="page14"/>
    <w:bookmarkEnd w:id="13"/>
    <w:p>
      <w:pPr>
        <w:ind w:right="40"/>
        <w:spacing w:after="0" w:line="250" w:lineRule="auto"/>
        <w:rPr>
          <w:sz w:val="20"/>
          <w:szCs w:val="20"/>
          <w:color w:val="auto"/>
        </w:rPr>
      </w:pPr>
      <w:r>
        <w:rPr>
          <w:rFonts w:ascii="Times New Roman" w:cs="Times New Roman" w:eastAsia="Times New Roman" w:hAnsi="Times New Roman"/>
          <w:sz w:val="20"/>
          <w:szCs w:val="20"/>
          <w:color w:val="auto"/>
        </w:rPr>
        <w:t>secured by the portfolio. The Company receives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Management fee income earned pursuant to the Portfolio Management Agreement, is included in management fee income on the Company’s consolidated statement of operations and is further described in Note 5, “Management Services Business” in the notes to the consolidated financial statements in Item 8.</w:t>
      </w:r>
    </w:p>
    <w:p>
      <w:pPr>
        <w:spacing w:after="0" w:line="127" w:lineRule="exact"/>
        <w:rPr>
          <w:sz w:val="20"/>
          <w:szCs w:val="20"/>
          <w:color w:val="auto"/>
        </w:rPr>
      </w:pPr>
    </w:p>
    <w:p>
      <w:pPr>
        <w:ind w:right="60" w:firstLine="399"/>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Asset Management Agreement. </w:t>
      </w:r>
      <w:r>
        <w:rPr>
          <w:rFonts w:ascii="Times New Roman" w:cs="Times New Roman" w:eastAsia="Times New Roman" w:hAnsi="Times New Roman"/>
          <w:sz w:val="20"/>
          <w:szCs w:val="20"/>
          <w:color w:val="auto"/>
        </w:rPr>
        <w:t>On February 16, 2024, the Company entered into the Subsurface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Agreement with a third party in conjunction with the sale of the Company’s remaining Subsurface Interests as further described in Note 6, “Real Estate Operations” below. The Company receives management fees and may receive other fees pursuant to the Subsurface Management Agreement. Management fee income earned pursuant to the Subsurface Management Agreement is included in management fee income on the Company’s consolidated statement of operations and is further described in Note 5, “Management Services Business” in the notes to the consolidated financial statements in Item 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LOANS AND INVESTMENTS</w:t>
      </w:r>
    </w:p>
    <w:p>
      <w:pPr>
        <w:spacing w:after="0" w:line="168"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are current or performing with either a fixed or floating rate. Some of these loans may be syndicated in either a pari-passu or senior/ 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35" w:lineRule="exact"/>
        <w:rPr>
          <w:sz w:val="20"/>
          <w:szCs w:val="20"/>
          <w:color w:val="auto"/>
        </w:rPr>
      </w:pPr>
    </w:p>
    <w:p>
      <w:pPr>
        <w:ind w:left="380"/>
        <w:spacing w:after="0"/>
        <w:tabs>
          <w:tab w:leader="none" w:pos="4780" w:val="left"/>
        </w:tabs>
        <w:rPr>
          <w:sz w:val="20"/>
          <w:szCs w:val="20"/>
          <w:color w:val="auto"/>
        </w:rPr>
      </w:pPr>
      <w:r>
        <w:rPr>
          <w:rFonts w:ascii="Times New Roman" w:cs="Times New Roman" w:eastAsia="Times New Roman" w:hAnsi="Times New Roman"/>
          <w:sz w:val="20"/>
          <w:szCs w:val="20"/>
          <w:i w:val="1"/>
          <w:iCs w:val="1"/>
          <w:color w:val="auto"/>
        </w:rPr>
        <w:t>2025 Commercial Loans and Investments Portfolio</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During the year ended December 31, 2025,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originated $21.0 million of commercial loans and investments, including an amendment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$16.0 million upsize of an existing loan, of which none was funded, and a $5.0 million mortgage note, for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weighted average interest rate of 10.7% (including paid-in-kind interest). The Company earned $0.3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origination fees from these investments. During the same period, the Company funded $9.3 million under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construction loan commitments, net of origination fees received, and received principal repayments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totaling $15.2 million. As of December 31, 2025, the Company’s commercial loans and investments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portfolio included four commercial loan investments and two preferred equity investments with a carrying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value of $104.8 million.</w:t>
      </w:r>
    </w:p>
    <w:p>
      <w:pPr>
        <w:spacing w:after="0" w:line="167"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i w:val="1"/>
          <w:iCs w:val="1"/>
          <w:color w:val="auto"/>
        </w:rPr>
        <w:t>2024 Commercial Loans and Investments Portfolio</w:t>
      </w:r>
      <w:r>
        <w:rPr>
          <w:rFonts w:ascii="Times New Roman" w:cs="Times New Roman" w:eastAsia="Times New Roman" w:hAnsi="Times New Roman"/>
          <w:sz w:val="20"/>
          <w:szCs w:val="20"/>
          <w:color w:val="auto"/>
        </w:rPr>
        <w:t>. During the year ended December 31, 2024,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originated four commercial loan investments totaling $104.0 million at a weighted average initial cash yield of 11.7%, of which $63.9 million had been funded as of December 31, 2024. One of these investments, totaling $10.0 million, was structured as preferred equity and is further described below. During the year ended December 31, 2024, the Company received principal repayments totaling $20.3 million. As of December 31, 2024, the Company’s commercial loans and investments portfolio included five commercial loan investments and two preferred equity investments with a carrying value of $105.0 million.</w:t>
      </w:r>
    </w:p>
    <w:p>
      <w:pPr>
        <w:spacing w:after="0" w:line="125" w:lineRule="exact"/>
        <w:rPr>
          <w:sz w:val="20"/>
          <w:szCs w:val="20"/>
          <w:color w:val="auto"/>
        </w:rPr>
      </w:pPr>
    </w:p>
    <w:p>
      <w:pPr>
        <w:ind w:left="380"/>
        <w:spacing w:after="0"/>
        <w:tabs>
          <w:tab w:leader="none" w:pos="4780" w:val="left"/>
        </w:tabs>
        <w:rPr>
          <w:sz w:val="20"/>
          <w:szCs w:val="20"/>
          <w:color w:val="auto"/>
        </w:rPr>
      </w:pPr>
      <w:r>
        <w:rPr>
          <w:rFonts w:ascii="Times New Roman" w:cs="Times New Roman" w:eastAsia="Times New Roman" w:hAnsi="Times New Roman"/>
          <w:sz w:val="20"/>
          <w:szCs w:val="20"/>
          <w:i w:val="1"/>
          <w:iCs w:val="1"/>
          <w:color w:val="auto"/>
        </w:rPr>
        <w:t>2023 Commercial Loans and Investments Portfolio</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During the year ended December 31, 2023,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originated two loans for a total investment of $30.4 million and received cash repayments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totaling $1.0 million. Including the two originations and fundings on our construction loans,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$32.9 million was funded during the year ended December 31, 2023. As of December 31, 2023, the Company’s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commercial loans and investments portfolio included four commercial loan investments and one preferred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investment with a carrying value of $61.8 million.</w:t>
      </w:r>
    </w:p>
    <w:p>
      <w:pPr>
        <w:spacing w:after="0" w:line="167" w:lineRule="exact"/>
        <w:rPr>
          <w:sz w:val="20"/>
          <w:szCs w:val="20"/>
          <w:color w:val="auto"/>
        </w:rPr>
      </w:pPr>
    </w:p>
    <w:p>
      <w:pPr>
        <w:ind w:right="260" w:firstLine="399"/>
        <w:spacing w:after="0" w:line="282" w:lineRule="auto"/>
        <w:rPr>
          <w:sz w:val="20"/>
          <w:szCs w:val="20"/>
          <w:color w:val="auto"/>
        </w:rPr>
      </w:pPr>
      <w:r>
        <w:rPr>
          <w:rFonts w:ascii="Times New Roman" w:cs="Times New Roman" w:eastAsia="Times New Roman" w:hAnsi="Times New Roman"/>
          <w:sz w:val="20"/>
          <w:szCs w:val="20"/>
          <w:i w:val="1"/>
          <w:iCs w:val="1"/>
          <w:color w:val="auto"/>
        </w:rPr>
        <w:t xml:space="preserve">Provision for Impairment — Commercial Loans and Investments. </w:t>
      </w:r>
      <w:r>
        <w:rPr>
          <w:rFonts w:ascii="Times New Roman" w:cs="Times New Roman" w:eastAsia="Times New Roman" w:hAnsi="Times New Roman"/>
          <w:sz w:val="20"/>
          <w:szCs w:val="20"/>
          <w:color w:val="auto"/>
        </w:rPr>
        <w:t>Pursuant to ASC 326,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Instruments — Credit Losses, the Company measures and records a provision for current expected credit</w:t>
      </w:r>
    </w:p>
    <w:p>
      <w:pPr>
        <w:sectPr>
          <w:pgSz w:w="11880" w:h="15480" w:orient="portrait"/>
          <w:cols w:equalWidth="0" w:num="1">
            <w:col w:w="9100"/>
          </w:cols>
          <w:pgMar w:left="1400" w:top="1025" w:right="1380" w:bottom="71"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100"/>
          </w:cols>
          <w:pgMar w:left="1400" w:top="1025" w:right="1380" w:bottom="71" w:gutter="0" w:footer="0" w:header="0"/>
          <w:type w:val="continuous"/>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20"/>
          <w:szCs w:val="20"/>
          <w:color w:val="auto"/>
        </w:rPr>
        <w:t>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367" w:lineRule="exact"/>
        <w:rPr>
          <w:sz w:val="20"/>
          <w:szCs w:val="20"/>
          <w:color w:val="auto"/>
        </w:rPr>
      </w:pPr>
    </w:p>
    <w:p>
      <w:pPr>
        <w:ind w:right="60" w:firstLine="399"/>
        <w:spacing w:after="0" w:line="269" w:lineRule="auto"/>
        <w:rPr>
          <w:sz w:val="20"/>
          <w:szCs w:val="20"/>
          <w:color w:val="auto"/>
        </w:rPr>
      </w:pPr>
      <w:r>
        <w:rPr>
          <w:rFonts w:ascii="Times New Roman" w:cs="Times New Roman" w:eastAsia="Times New Roman" w:hAnsi="Times New Roman"/>
          <w:sz w:val="20"/>
          <w:szCs w:val="20"/>
          <w:color w:val="auto"/>
        </w:rPr>
        <w:t>The Company recorded impairment charges of $0.1 million, $0.7 million and $0.6 million related to its commercial loans and investments portfolio during the years ended December 31, 2025, 2024 and 2023,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REAL ESTATE OPERATIONS</w:t>
      </w:r>
    </w:p>
    <w:p>
      <w:pPr>
        <w:spacing w:after="0" w:line="168"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Mitigation Credits and Mitigation Credit Rights. </w:t>
      </w:r>
      <w:r>
        <w:rPr>
          <w:rFonts w:ascii="Times New Roman" w:cs="Times New Roman" w:eastAsia="Times New Roman" w:hAnsi="Times New Roman"/>
          <w:sz w:val="20"/>
          <w:szCs w:val="20"/>
          <w:color w:val="auto"/>
        </w:rPr>
        <w:t>Revenues and the cost of sales of mitigation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sales are reported as revenues from, and direct costs of, real estate operations, respectively, in the consolidated statements of operations. During the year ended December 31, 2024, the Company sold all of its remaining 14.99 mitigation credits for $1.8 million with a cost basis of $1.3 million. During the year ended December 31, 2023, the Company sold 20 mitigation credits for proceeds of $2.3 million with a cost basis of $1.5 million. As of December 31, 2025, the Company did not own any mitigation credits.</w:t>
      </w:r>
    </w:p>
    <w:p>
      <w:pPr>
        <w:spacing w:after="0" w:line="123" w:lineRule="exact"/>
        <w:rPr>
          <w:sz w:val="20"/>
          <w:szCs w:val="20"/>
          <w:color w:val="auto"/>
        </w:rPr>
      </w:pPr>
    </w:p>
    <w:p>
      <w:pPr>
        <w:jc w:val="both"/>
        <w:ind w:right="180" w:firstLine="399"/>
        <w:spacing w:after="0" w:line="267" w:lineRule="auto"/>
        <w:rPr>
          <w:sz w:val="20"/>
          <w:szCs w:val="20"/>
          <w:color w:val="auto"/>
        </w:rPr>
      </w:pPr>
      <w:r>
        <w:rPr>
          <w:rFonts w:ascii="Times New Roman" w:cs="Times New Roman" w:eastAsia="Times New Roman" w:hAnsi="Times New Roman"/>
          <w:sz w:val="20"/>
          <w:szCs w:val="20"/>
          <w:i w:val="1"/>
          <w:iCs w:val="1"/>
          <w:color w:val="auto"/>
        </w:rPr>
        <w:t xml:space="preserve">Subsurface Interests. </w:t>
      </w:r>
      <w:r>
        <w:rPr>
          <w:rFonts w:ascii="Times New Roman" w:cs="Times New Roman" w:eastAsia="Times New Roman" w:hAnsi="Times New Roman"/>
          <w:sz w:val="20"/>
          <w:szCs w:val="20"/>
          <w:color w:val="auto"/>
        </w:rPr>
        <w:t>The Company sold its remaining acres of Subsurface Interests during the year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ended December 31, 2024 for $5.0 million, or a gain on sale of $4.5 million. As of December 31, 2025, the Company did not own any Subsurface Interests.</w:t>
      </w:r>
    </w:p>
    <w:p>
      <w:pPr>
        <w:spacing w:after="0" w:line="111"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The Company historically leased certain of the Subsurface Interests to mineral exploration firms for exploration. The Company’s subsurface operations consisted of revenue from the leasing of exploration rights and in some instances, additional revenues from royalties applicable to production from the leased acreage, which revenues are included within real estate operations in the consolidated statements of operations. There were no sales of subsurface oil, gas, and mineral rights during the year ended December 31, 2024. During the year ended December 31, 2023, the Company sold 3,481 acres of Subsurface Interests for a sales price of $1.0 million.</w:t>
      </w:r>
    </w:p>
    <w:p>
      <w:pPr>
        <w:spacing w:after="0" w:line="125" w:lineRule="exact"/>
        <w:rPr>
          <w:sz w:val="20"/>
          <w:szCs w:val="20"/>
          <w:color w:val="auto"/>
        </w:rPr>
      </w:pPr>
    </w:p>
    <w:p>
      <w:pPr>
        <w:ind w:right="40" w:firstLine="399"/>
        <w:spacing w:after="0" w:line="258" w:lineRule="auto"/>
        <w:rPr>
          <w:sz w:val="20"/>
          <w:szCs w:val="20"/>
          <w:color w:val="auto"/>
        </w:rPr>
      </w:pPr>
      <w:r>
        <w:rPr>
          <w:rFonts w:ascii="Times New Roman" w:cs="Times New Roman" w:eastAsia="Times New Roman" w:hAnsi="Times New Roman"/>
          <w:sz w:val="20"/>
          <w:szCs w:val="20"/>
          <w:color w:val="auto"/>
        </w:rPr>
        <w:t>The Company historically released surface entry rights or other rights upon request of a surface owner for a negotiated release fee typically based on a percentage of the surface value. No cash payments were received for the release of surface entry rights for the year ended December 31, 2025. Cash payments for the release of surface entry rights totaled $0.1 million and $0.7 million during the years ended December 31, 2024 and 2023,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REIT CONVERSION AND MERGER</w:t>
      </w:r>
    </w:p>
    <w:p>
      <w:pPr>
        <w:spacing w:after="0" w:line="168"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On September 3, 2020, the Board unanimously approved a plan for the Company to elect to be subject to tax as a REIT for U.S. federal income tax purposes commencing with its taxable year ended December 31, 2020. Subsequently, during a special meeting of stockholders held on November 9, 2020, the Company’s stockholders approved the merger of CTO Realty Growth, Inc., a Florida corporation (“CTO FL”), with and into CTO NEWCO REIT, Inc. (“CTO MD”), a wholly owned Maryland subsidiary of CTO FL (the “Merger”), in order to reincorporate in Maryland and facilitate its ongoing compliance with the REIT requirements by ensuring that certain standard REIT ownership limitations and transfer restrictions apply to CTO’s capital stock.</w:t>
      </w:r>
    </w:p>
    <w:p>
      <w:pPr>
        <w:spacing w:after="0" w:line="365" w:lineRule="exact"/>
        <w:rPr>
          <w:sz w:val="20"/>
          <w:szCs w:val="20"/>
          <w:color w:val="auto"/>
        </w:rPr>
      </w:pPr>
    </w:p>
    <w:p>
      <w:pPr>
        <w:ind w:right="140" w:firstLine="399"/>
        <w:spacing w:after="0" w:line="267" w:lineRule="auto"/>
        <w:rPr>
          <w:sz w:val="20"/>
          <w:szCs w:val="20"/>
          <w:color w:val="auto"/>
        </w:rPr>
      </w:pPr>
      <w:r>
        <w:rPr>
          <w:rFonts w:ascii="Times New Roman" w:cs="Times New Roman" w:eastAsia="Times New Roman" w:hAnsi="Times New Roman"/>
          <w:sz w:val="20"/>
          <w:szCs w:val="20"/>
          <w:color w:val="auto"/>
        </w:rPr>
        <w:t>As of December 31, 2020, the Company had completed certain internal reorganization transactions necessary to begin operating in compliance with the requirements for qualification and taxation as a REIT for U.S. federal income tax purposes for the taxable year ended December 31, 2020.</w:t>
      </w:r>
    </w:p>
    <w:p>
      <w:pPr>
        <w:spacing w:after="0" w:line="111" w:lineRule="exact"/>
        <w:rPr>
          <w:sz w:val="20"/>
          <w:szCs w:val="20"/>
          <w:color w:val="auto"/>
        </w:rPr>
      </w:pPr>
    </w:p>
    <w:p>
      <w:pPr>
        <w:ind w:right="140" w:firstLine="399"/>
        <w:spacing w:after="0" w:line="257" w:lineRule="auto"/>
        <w:rPr>
          <w:sz w:val="20"/>
          <w:szCs w:val="20"/>
          <w:color w:val="auto"/>
        </w:rPr>
      </w:pPr>
      <w:r>
        <w:rPr>
          <w:rFonts w:ascii="Times New Roman" w:cs="Times New Roman" w:eastAsia="Times New Roman" w:hAnsi="Times New Roman"/>
          <w:sz w:val="20"/>
          <w:szCs w:val="20"/>
          <w:color w:val="auto"/>
        </w:rPr>
        <w:t>On January 29, 2021, in connection with the REIT conversion, the Company completed the Merger. As a result of the Merger, existing shares of CTO FL common stock were automatically converted, on a one-for-one basis, into shares of common stock of CTO MD. CTO MD is a corporation organized in the state of Maryland and has been renamed “CTO Realty Growth, Inc.” CTO MD’s charter includes certain standard REIT provisions, including ownership limitations and transfer restrictions applicable to the Company’s capital stock.</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100"/>
          </w:cols>
          <w:pgMar w:left="1400" w:top="1025" w:right="1380" w:bottom="70" w:gutter="0" w:footer="0" w:header="0"/>
          <w:type w:val="continuous"/>
        </w:sectPr>
      </w:pPr>
    </w:p>
    <w:bookmarkStart w:id="15" w:name="page16"/>
    <w:bookmarkEnd w:id="15"/>
    <w:p>
      <w:pPr>
        <w:ind w:right="80" w:firstLine="399"/>
        <w:spacing w:after="0" w:line="261" w:lineRule="auto"/>
        <w:rPr>
          <w:sz w:val="20"/>
          <w:szCs w:val="20"/>
          <w:color w:val="auto"/>
        </w:rPr>
      </w:pPr>
      <w:r>
        <w:rPr>
          <w:rFonts w:ascii="Times New Roman" w:cs="Times New Roman" w:eastAsia="Times New Roman" w:hAnsi="Times New Roman"/>
          <w:sz w:val="20"/>
          <w:szCs w:val="20"/>
          <w:color w:val="auto"/>
        </w:rPr>
        <w:t>In connection with the REIT conversion and the Merger, CTO FL applied to list CTO MD’s common stock on the New York Stock Exchange (the “NYSE”) under CTO FL’s ticker symbol, “CTO.” This application was approved, and CTO MD’s common stock began trading on the NYSE on February 1, 2021 under the ticker symbol “CTO.”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168"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The real estate industry is, in general, a highly competitive industry. Our business plan is focused on investing in commercial real estate that produces income primarily through the leasing of assets to tenants. To identify investment opportunities in income-producing real estate assets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income properties, price is the principal method of competition, with transaction structure and certainty of execution also being significant considerations for potential sellers. Should we need to re-lease our single-tenant income properties or space(s) in our multi-tenant properties, we would compete with many other property owners in the local market based on, among other elements, price, location of our property, potential tenant improvements, and lease term.</w:t>
      </w:r>
    </w:p>
    <w:p>
      <w:pPr>
        <w:spacing w:after="0" w:line="127"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Our business plan also includes investing in commercial real estate through the acquisition or origination of mortgage financings secured by commercial real estate and similar financial instruments. Competition for investing in commercial mortgage loans and similar financial instruments can include financial institutions such as banks, private equity investors, institutional investment funds, debt funds, private credits funds, specialty finance companies, life insurance companies, institutional investors such as pension funds, and other lenders including REITs and high net worth investors. The organizations that we compete with are of varying sizes, ranging from organizations with local operations to organizations with national scale and reach. Competition from these interested parties is based on, amongst other things, pricing or rate, financing structure, and other elements of the typical terms and conditions of a real estate financing.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w:t>
      </w:r>
    </w:p>
    <w:p>
      <w:pPr>
        <w:spacing w:after="0" w:line="168" w:lineRule="exact"/>
        <w:rPr>
          <w:sz w:val="20"/>
          <w:szCs w:val="20"/>
          <w:color w:val="auto"/>
        </w:rPr>
      </w:pPr>
    </w:p>
    <w:p>
      <w:pPr>
        <w:ind w:right="160" w:firstLine="399"/>
        <w:spacing w:after="0" w:line="261" w:lineRule="auto"/>
        <w:rPr>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Our properties are subject to various laws, ordinances and regulations, including those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relating to fire and safety 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spacing w:after="0" w:line="117"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Americans With Disabilities Act. </w:t>
      </w:r>
      <w:r>
        <w:rPr>
          <w:rFonts w:ascii="Times New Roman" w:cs="Times New Roman" w:eastAsia="Times New Roman" w:hAnsi="Times New Roman"/>
          <w:sz w:val="20"/>
          <w:szCs w:val="20"/>
          <w:color w:val="auto"/>
        </w:rPr>
        <w:t>Under Title III of the Americans with Disabilities Act (“ADA”),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rules promulgated 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spacing w:after="0" w:line="128"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100"/>
          </w:cols>
          <w:pgMar w:left="1400" w:top="1025" w:right="1380" w:bottom="7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MATTERS</w:t>
      </w:r>
    </w:p>
    <w:p>
      <w:pPr>
        <w:spacing w:after="0" w:line="168"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 can exceed the value of the property. In addition, some environmental laws may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spacing w:after="0" w:line="377"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spacing w:after="0" w:line="137" w:lineRule="exact"/>
        <w:rPr>
          <w:sz w:val="20"/>
          <w:szCs w:val="20"/>
          <w:color w:val="auto"/>
        </w:rPr>
      </w:pPr>
    </w:p>
    <w:p>
      <w:pPr>
        <w:ind w:right="40" w:firstLine="399"/>
        <w:spacing w:after="0" w:line="252" w:lineRule="auto"/>
        <w:rPr>
          <w:sz w:val="20"/>
          <w:szCs w:val="20"/>
          <w:color w:val="auto"/>
        </w:rPr>
      </w:pPr>
      <w:r>
        <w:rPr>
          <w:rFonts w:ascii="Times New Roman" w:cs="Times New Roman" w:eastAsia="Times New Roman" w:hAnsi="Times New Roman"/>
          <w:sz w:val="20"/>
          <w:szCs w:val="20"/>
          <w:color w:val="auto"/>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spacing w:after="0" w:line="373" w:lineRule="exact"/>
        <w:rPr>
          <w:sz w:val="20"/>
          <w:szCs w:val="20"/>
          <w:color w:val="auto"/>
        </w:rPr>
      </w:pPr>
    </w:p>
    <w:p>
      <w:pPr>
        <w:ind w:right="80" w:firstLine="399"/>
        <w:spacing w:after="0" w:line="255" w:lineRule="auto"/>
        <w:rPr>
          <w:sz w:val="20"/>
          <w:szCs w:val="20"/>
          <w:color w:val="auto"/>
        </w:rPr>
      </w:pPr>
      <w:r>
        <w:rPr>
          <w:rFonts w:ascii="Times New Roman" w:cs="Times New Roman" w:eastAsia="Times New Roman" w:hAnsi="Times New Roman"/>
          <w:sz w:val="20"/>
          <w:szCs w:val="20"/>
          <w:color w:val="auto"/>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w:t>
      </w:r>
    </w:p>
    <w:p>
      <w:pPr>
        <w:sectPr>
          <w:pgSz w:w="11880" w:h="15480" w:orient="portrait"/>
          <w:cols w:equalWidth="0" w:num="1">
            <w:col w:w="9100"/>
          </w:cols>
          <w:pgMar w:left="1400" w:top="1026" w:right="1380" w:bottom="70" w:gutter="0" w:footer="0" w:header="0"/>
        </w:sect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100"/>
          </w:cols>
          <w:pgMar w:left="1400" w:top="1026" w:right="1380" w:bottom="70" w:gutter="0" w:footer="0" w:header="0"/>
          <w:type w:val="continuous"/>
        </w:sectPr>
      </w:pPr>
    </w:p>
    <w:bookmarkStart w:id="17" w:name="page18"/>
    <w:bookmarkEnd w:id="17"/>
    <w:p>
      <w:pPr>
        <w:ind w:right="60"/>
        <w:spacing w:after="0" w:line="261" w:lineRule="auto"/>
        <w:rPr>
          <w:sz w:val="20"/>
          <w:szCs w:val="20"/>
          <w:color w:val="auto"/>
        </w:rPr>
      </w:pPr>
      <w:r>
        <w:rPr>
          <w:rFonts w:ascii="Times New Roman" w:cs="Times New Roman" w:eastAsia="Times New Roman" w:hAnsi="Times New Roman"/>
          <w:sz w:val="20"/>
          <w:szCs w:val="20"/>
          <w:color w:val="auto"/>
        </w:rPr>
        <w:t>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spacing w:after="0" w:line="117"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We obtain Phase I environmental assessments on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spacing w:after="0" w:line="134"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spacing w:after="0" w:line="121"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w:t>
      </w:r>
    </w:p>
    <w:p>
      <w:pPr>
        <w:spacing w:after="0" w:line="168" w:lineRule="exact"/>
        <w:rPr>
          <w:sz w:val="20"/>
          <w:szCs w:val="20"/>
          <w:color w:val="auto"/>
        </w:rPr>
      </w:pPr>
    </w:p>
    <w:p>
      <w:pPr>
        <w:jc w:val="both"/>
        <w:ind w:right="240" w:firstLine="399"/>
        <w:spacing w:after="0" w:line="261" w:lineRule="auto"/>
        <w:rPr>
          <w:sz w:val="20"/>
          <w:szCs w:val="20"/>
          <w:color w:val="auto"/>
        </w:rPr>
      </w:pPr>
      <w:r>
        <w:rPr>
          <w:rFonts w:ascii="Times New Roman" w:cs="Times New Roman" w:eastAsia="Times New Roman" w:hAnsi="Times New Roman"/>
          <w:sz w:val="20"/>
          <w:szCs w:val="20"/>
          <w:color w:val="auto"/>
        </w:rPr>
        <w:t>We believe that our employees are one of our greatest resources. In order to attract and retain high performing individuals, we are committed to partnering with our employees to provide opportunities for their professional development and promote their well-being. To that end, we have undertaken various initiatives, including the following:</w:t>
      </w:r>
    </w:p>
    <w:p>
      <w:pPr>
        <w:spacing w:after="0" w:line="77" w:lineRule="exact"/>
        <w:rPr>
          <w:sz w:val="20"/>
          <w:szCs w:val="20"/>
          <w:color w:val="auto"/>
        </w:rPr>
      </w:pPr>
    </w:p>
    <w:p>
      <w:pPr>
        <w:ind w:left="580" w:hanging="191"/>
        <w:spacing w:after="0"/>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opportunities to participate in industry conferences;</w:t>
      </w:r>
    </w:p>
    <w:p>
      <w:pPr>
        <w:spacing w:after="0" w:line="129" w:lineRule="exact"/>
        <w:rPr>
          <w:rFonts w:ascii="Times New Roman" w:cs="Times New Roman" w:eastAsia="Times New Roman" w:hAnsi="Times New Roman"/>
          <w:sz w:val="20"/>
          <w:szCs w:val="20"/>
          <w:color w:val="auto"/>
        </w:rPr>
      </w:pPr>
    </w:p>
    <w:p>
      <w:pPr>
        <w:ind w:left="580" w:right="600" w:hanging="191"/>
        <w:spacing w:after="0" w:line="284" w:lineRule="auto"/>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regular feedback to assist in employee development and providing opportunities for employees to provide suggestions to management and safely register complaints;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focusing on creating a workplace that values employee health and safety;</w:t>
      </w:r>
    </w:p>
    <w:p>
      <w:pPr>
        <w:spacing w:after="0" w:line="129" w:lineRule="exact"/>
        <w:rPr>
          <w:rFonts w:ascii="Times New Roman" w:cs="Times New Roman" w:eastAsia="Times New Roman" w:hAnsi="Times New Roman"/>
          <w:sz w:val="20"/>
          <w:szCs w:val="20"/>
          <w:color w:val="auto"/>
        </w:rPr>
      </w:pPr>
    </w:p>
    <w:p>
      <w:pPr>
        <w:ind w:left="580" w:hanging="191"/>
        <w:spacing w:after="0" w:line="267" w:lineRule="auto"/>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committing to the full inclusion of all qualified employees and applicants and providing equal employment opportunities to all persons, in accordance with the principles of the Equal Employment Opportunities Commission and the principles of the ADA; and</w:t>
      </w:r>
    </w:p>
    <w:p>
      <w:pPr>
        <w:spacing w:after="0" w:line="70" w:lineRule="exact"/>
        <w:rPr>
          <w:rFonts w:ascii="Times New Roman" w:cs="Times New Roman" w:eastAsia="Times New Roman" w:hAnsi="Times New Roman"/>
          <w:sz w:val="20"/>
          <w:szCs w:val="20"/>
          <w:color w:val="auto"/>
        </w:rPr>
      </w:pPr>
    </w:p>
    <w:p>
      <w:pPr>
        <w:ind w:left="580" w:right="40" w:hanging="191"/>
        <w:spacing w:after="0" w:line="284" w:lineRule="auto"/>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appreciating the many contributions of a diverse workforce, understanding that diverse backgrounds bring diverse perspectives, and result in unique insights.</w:t>
      </w:r>
    </w:p>
    <w:p>
      <w:pPr>
        <w:spacing w:after="0" w:line="94" w:lineRule="exact"/>
        <w:rPr>
          <w:sz w:val="20"/>
          <w:szCs w:val="20"/>
          <w:color w:val="auto"/>
        </w:rPr>
      </w:pPr>
    </w:p>
    <w:p>
      <w:pPr>
        <w:ind w:right="200" w:firstLine="399"/>
        <w:spacing w:after="0" w:line="284" w:lineRule="auto"/>
        <w:rPr>
          <w:sz w:val="20"/>
          <w:szCs w:val="20"/>
          <w:color w:val="auto"/>
        </w:rPr>
      </w:pPr>
      <w:r>
        <w:rPr>
          <w:rFonts w:ascii="Times New Roman" w:cs="Times New Roman" w:eastAsia="Times New Roman" w:hAnsi="Times New Roman"/>
          <w:sz w:val="20"/>
          <w:szCs w:val="20"/>
          <w:color w:val="auto"/>
        </w:rPr>
        <w:t>At December 31, 2025, the Company had 42 full-time employees and considers its employee relations to be satisfactory.</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100"/>
          </w:cols>
          <w:pgMar w:left="1400" w:top="1025" w:right="1380" w:bottom="7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168" w:lineRule="exact"/>
        <w:rPr>
          <w:sz w:val="20"/>
          <w:szCs w:val="20"/>
          <w:color w:val="auto"/>
        </w:rPr>
      </w:pPr>
    </w:p>
    <w:p>
      <w:pPr>
        <w:ind w:right="580" w:firstLine="399"/>
        <w:spacing w:after="0" w:line="288" w:lineRule="auto"/>
        <w:rPr>
          <w:sz w:val="20"/>
          <w:szCs w:val="20"/>
          <w:color w:val="auto"/>
        </w:rPr>
      </w:pPr>
      <w:r>
        <w:rPr>
          <w:rFonts w:ascii="Times New Roman" w:cs="Times New Roman" w:eastAsia="Times New Roman" w:hAnsi="Times New Roman"/>
          <w:sz w:val="20"/>
          <w:szCs w:val="20"/>
          <w:color w:val="auto"/>
        </w:rPr>
        <w:t>The Company’s executive offices are located at 369 N. New York Avenue, Suite 201 Winter Park, Florida, and its telephone number is (407) 904-3324.</w:t>
      </w:r>
    </w:p>
    <w:p>
      <w:pPr>
        <w:spacing w:after="0" w:line="103"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20"/>
          <w:szCs w:val="20"/>
          <w:color w:val="auto"/>
        </w:rPr>
        <w:t>The Company’s website is www.ctoreit.com. The Company intends to comply with the requirements of Item 5.05 of Form 8-K regarding amendments to and waivers under the code of business conduct and ethics applicable to its Chief Executive Officer, Principal Financial Officer and Principal Accounting Officer by providing such information on its website within four days after effecting any amendment to, or granting any waiver under, that code, and we will maintain such information on our website for at least twelve months. The information contained on the Company’s website does not constitute part of this Annual Report on Form 10-K.</w:t>
      </w:r>
    </w:p>
    <w:p>
      <w:pPr>
        <w:spacing w:after="0" w:line="377" w:lineRule="exact"/>
        <w:rPr>
          <w:sz w:val="20"/>
          <w:szCs w:val="20"/>
          <w:color w:val="auto"/>
        </w:rPr>
      </w:pPr>
    </w:p>
    <w:p>
      <w:pPr>
        <w:ind w:right="40" w:firstLine="399"/>
        <w:spacing w:after="0" w:line="260" w:lineRule="auto"/>
        <w:rPr>
          <w:sz w:val="20"/>
          <w:szCs w:val="20"/>
          <w:color w:val="auto"/>
        </w:rPr>
      </w:pPr>
      <w:r>
        <w:rPr>
          <w:rFonts w:ascii="Times New Roman" w:cs="Times New Roman" w:eastAsia="Times New Roman" w:hAnsi="Times New Roman"/>
          <w:sz w:val="20"/>
          <w:szCs w:val="20"/>
          <w:color w:val="auto"/>
        </w:rPr>
        <w:t>On the Company’s website you can also obtain, free of charge, a copy of this Annual Report on Form 10-K, quarterly reports on Form 10-Q, current reports on Form 8-K and amendments to those reports filed or furnished pursuant to Section 13(a) or 15(d) of the Exchange Act, as soon as reasonably practicable, after the Company files such material electronically with, or furnish it to, the Securities and Exchange Commission (“Commission” or “SEC”). The public may read and obtain a copy of any materials the Company files electronically with the Commission at www.sec.gov.</w:t>
      </w:r>
    </w:p>
    <w:p>
      <w:pPr>
        <w:spacing w:after="0" w:line="21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RISK FACTORS</w:t>
      </w:r>
    </w:p>
    <w:p>
      <w:pPr>
        <w:spacing w:after="0" w:line="168" w:lineRule="exact"/>
        <w:rPr>
          <w:sz w:val="20"/>
          <w:szCs w:val="20"/>
          <w:color w:val="auto"/>
        </w:rPr>
      </w:pPr>
    </w:p>
    <w:p>
      <w:pPr>
        <w:ind w:right="20" w:firstLine="399"/>
        <w:spacing w:after="0" w:line="261" w:lineRule="auto"/>
        <w:rPr>
          <w:sz w:val="20"/>
          <w:szCs w:val="20"/>
          <w:color w:val="auto"/>
        </w:rPr>
      </w:pPr>
      <w:r>
        <w:rPr>
          <w:rFonts w:ascii="Times New Roman" w:cs="Times New Roman" w:eastAsia="Times New Roman" w:hAnsi="Times New Roman"/>
          <w:sz w:val="20"/>
          <w:szCs w:val="20"/>
          <w:color w:val="auto"/>
        </w:rPr>
        <w:t>Below is a summary of the principal factors that make an investment in our securities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securities.</w:t>
      </w:r>
    </w:p>
    <w:p>
      <w:pPr>
        <w:spacing w:after="0" w:line="340" w:lineRule="exact"/>
        <w:rPr>
          <w:sz w:val="20"/>
          <w:szCs w:val="20"/>
          <w:color w:val="auto"/>
        </w:rPr>
      </w:pPr>
    </w:p>
    <w:p>
      <w:pPr>
        <w:ind w:left="580" w:right="640" w:hanging="191"/>
        <w:spacing w:after="0" w:line="288"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risks related to the ownership of commercial real estate that could affect the performance and value of our properties.</w:t>
      </w:r>
    </w:p>
    <w:p>
      <w:pPr>
        <w:spacing w:after="0" w:line="70" w:lineRule="exact"/>
        <w:rPr>
          <w:rFonts w:ascii="Times New Roman" w:cs="Times New Roman" w:eastAsia="Times New Roman" w:hAnsi="Times New Roman"/>
          <w:sz w:val="20"/>
          <w:szCs w:val="20"/>
          <w:color w:val="auto"/>
        </w:rPr>
      </w:pPr>
    </w:p>
    <w:p>
      <w:pPr>
        <w:ind w:left="580" w:right="20" w:hanging="191"/>
        <w:spacing w:after="0" w:line="271"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86" w:lineRule="exact"/>
        <w:rPr>
          <w:rFonts w:ascii="Times New Roman" w:cs="Times New Roman" w:eastAsia="Times New Roman" w:hAnsi="Times New Roman"/>
          <w:sz w:val="20"/>
          <w:szCs w:val="20"/>
          <w:color w:val="auto"/>
        </w:rPr>
      </w:pPr>
    </w:p>
    <w:p>
      <w:pPr>
        <w:ind w:left="580" w:right="100" w:hanging="191"/>
        <w:spacing w:after="0" w:line="288"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dependent upon our tenants successfully operating their businesses, and their failure to do so could materially and adversely affect us.</w:t>
      </w:r>
    </w:p>
    <w:p>
      <w:pPr>
        <w:spacing w:after="0" w:line="70" w:lineRule="exact"/>
        <w:rPr>
          <w:rFonts w:ascii="Times New Roman" w:cs="Times New Roman" w:eastAsia="Times New Roman" w:hAnsi="Times New Roman"/>
          <w:sz w:val="20"/>
          <w:szCs w:val="20"/>
          <w:color w:val="auto"/>
        </w:rPr>
      </w:pPr>
    </w:p>
    <w:p>
      <w:pPr>
        <w:ind w:left="580" w:right="260" w:hanging="191"/>
        <w:spacing w:after="0" w:line="288"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revenues from our income property or commercial loans and investments portfolios or certain tenants or borrowers would adversely impact our results of operations and cash flows.</w:t>
      </w:r>
    </w:p>
    <w:p>
      <w:pPr>
        <w:spacing w:after="0" w:line="70" w:lineRule="exact"/>
        <w:rPr>
          <w:rFonts w:ascii="Times New Roman" w:cs="Times New Roman" w:eastAsia="Times New Roman" w:hAnsi="Times New Roman"/>
          <w:sz w:val="20"/>
          <w:szCs w:val="20"/>
          <w:color w:val="auto"/>
        </w:rPr>
      </w:pPr>
    </w:p>
    <w:p>
      <w:pPr>
        <w:ind w:left="580" w:right="100" w:hanging="191"/>
        <w:spacing w:after="0" w:line="265"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Retail properties, particularly those with multiple tenants, often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w:t>
      </w:r>
    </w:p>
    <w:p>
      <w:pPr>
        <w:spacing w:after="0" w:line="93" w:lineRule="exact"/>
        <w:rPr>
          <w:rFonts w:ascii="Times New Roman" w:cs="Times New Roman" w:eastAsia="Times New Roman" w:hAnsi="Times New Roman"/>
          <w:sz w:val="20"/>
          <w:szCs w:val="20"/>
          <w:color w:val="auto"/>
        </w:rPr>
      </w:pPr>
    </w:p>
    <w:p>
      <w:pPr>
        <w:ind w:left="580" w:right="60" w:hanging="191"/>
        <w:spacing w:after="0" w:line="262"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shopping centers.</w:t>
      </w:r>
    </w:p>
    <w:p>
      <w:pPr>
        <w:spacing w:after="0" w:line="97" w:lineRule="exact"/>
        <w:rPr>
          <w:rFonts w:ascii="Times New Roman" w:cs="Times New Roman" w:eastAsia="Times New Roman" w:hAnsi="Times New Roman"/>
          <w:sz w:val="20"/>
          <w:szCs w:val="20"/>
          <w:color w:val="auto"/>
        </w:rPr>
      </w:pPr>
    </w:p>
    <w:p>
      <w:pPr>
        <w:ind w:left="580" w:right="80" w:hanging="191"/>
        <w:spacing w:after="0" w:line="265"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w:t>
      </w:r>
    </w:p>
    <w:p>
      <w:pPr>
        <w:sectPr>
          <w:pgSz w:w="11880" w:h="15480" w:orient="portrait"/>
          <w:cols w:equalWidth="0" w:num="1">
            <w:col w:w="9100"/>
          </w:cols>
          <w:pgMar w:left="1400" w:top="1026" w:right="1380" w:bottom="69"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100"/>
          </w:cols>
          <w:pgMar w:left="1400" w:top="1026" w:right="1380" w:bottom="69" w:gutter="0" w:footer="0" w:header="0"/>
          <w:type w:val="continuous"/>
        </w:sectPr>
      </w:pPr>
    </w:p>
    <w:bookmarkStart w:id="19" w:name="page20"/>
    <w:bookmarkEnd w:id="19"/>
    <w:p>
      <w:pPr>
        <w:ind w:left="540" w:hanging="191"/>
        <w:spacing w:after="0" w:line="26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revenues include receipt of management fees and potentially incentive fees derived from our provision of management services to PINE and the loss or failure, or decline in the business or assets, of PINE could substantially reduce our revenues.</w:t>
      </w:r>
    </w:p>
    <w:p>
      <w:pPr>
        <w:spacing w:after="0" w:line="73" w:lineRule="exact"/>
        <w:rPr>
          <w:rFonts w:ascii="Times New Roman" w:cs="Times New Roman" w:eastAsia="Times New Roman" w:hAnsi="Times New Roman"/>
          <w:sz w:val="20"/>
          <w:szCs w:val="20"/>
          <w:color w:val="auto"/>
        </w:rPr>
      </w:pPr>
    </w:p>
    <w:p>
      <w:pPr>
        <w:ind w:left="540" w:right="40" w:hanging="191"/>
        <w:spacing w:after="0" w:line="26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73" w:lineRule="exact"/>
        <w:rPr>
          <w:rFonts w:ascii="Times New Roman" w:cs="Times New Roman" w:eastAsia="Times New Roman" w:hAnsi="Times New Roman"/>
          <w:sz w:val="20"/>
          <w:szCs w:val="20"/>
          <w:color w:val="auto"/>
        </w:rPr>
      </w:pPr>
    </w:p>
    <w:p>
      <w:pPr>
        <w:ind w:left="540" w:right="40" w:hanging="191"/>
        <w:spacing w:after="0" w:line="26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 of our investment strategy is focused on investing in commercial loans and investments which may involve credit risk or the risk that our borrowers will fail to pay scheduled contractual payments to us when due.</w:t>
      </w:r>
    </w:p>
    <w:p>
      <w:pPr>
        <w:spacing w:after="0" w:line="73" w:lineRule="exact"/>
        <w:rPr>
          <w:rFonts w:ascii="Times New Roman" w:cs="Times New Roman" w:eastAsia="Times New Roman" w:hAnsi="Times New Roman"/>
          <w:sz w:val="20"/>
          <w:szCs w:val="20"/>
          <w:color w:val="auto"/>
        </w:rPr>
      </w:pPr>
    </w:p>
    <w:p>
      <w:pPr>
        <w:ind w:left="540" w:right="40" w:hanging="191"/>
        <w:spacing w:after="0" w:line="265"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invest in fixed-rate loan investments, and an increase in market interest rates may adversely affect the value of these investments, which could adversely impact our financial condition, results of operations and cash flows.</w:t>
      </w:r>
    </w:p>
    <w:p>
      <w:pPr>
        <w:spacing w:after="0" w:line="74" w:lineRule="exact"/>
        <w:rPr>
          <w:rFonts w:ascii="Times New Roman" w:cs="Times New Roman" w:eastAsia="Times New Roman" w:hAnsi="Times New Roman"/>
          <w:sz w:val="20"/>
          <w:szCs w:val="20"/>
          <w:color w:val="auto"/>
        </w:rPr>
      </w:pPr>
    </w:p>
    <w:p>
      <w:pPr>
        <w:ind w:left="540" w:right="100" w:hanging="191"/>
        <w:spacing w:after="0" w:line="267"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commercial loans or similar investments we may acquire that are secured by real estate typically depend on the ability of the property owner to generate income from operating the property. Failure to do so may result in delinquency and/or foreclosure.</w:t>
      </w:r>
    </w:p>
    <w:p>
      <w:pPr>
        <w:spacing w:after="0" w:line="70" w:lineRule="exact"/>
        <w:rPr>
          <w:rFonts w:ascii="Times New Roman" w:cs="Times New Roman" w:eastAsia="Times New Roman" w:hAnsi="Times New Roman"/>
          <w:sz w:val="20"/>
          <w:szCs w:val="20"/>
          <w:color w:val="auto"/>
        </w:rPr>
      </w:pPr>
    </w:p>
    <w:p>
      <w:pPr>
        <w:ind w:left="540" w:right="40" w:hanging="191"/>
        <w:spacing w:after="0" w:line="28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suffer losses when a borrower defaults on a loan and the value of the underlying collateral is less than the amount due.</w:t>
      </w:r>
    </w:p>
    <w:p>
      <w:pPr>
        <w:spacing w:after="0" w:line="54" w:lineRule="exact"/>
        <w:rPr>
          <w:rFonts w:ascii="Times New Roman" w:cs="Times New Roman" w:eastAsia="Times New Roman" w:hAnsi="Times New Roman"/>
          <w:sz w:val="20"/>
          <w:szCs w:val="20"/>
          <w:color w:val="auto"/>
        </w:rPr>
      </w:pPr>
    </w:p>
    <w:p>
      <w:pPr>
        <w:ind w:left="540" w:hanging="191"/>
        <w:spacing w:after="0"/>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real estate investments are generally illiquid.</w:t>
      </w:r>
    </w:p>
    <w:p>
      <w:pPr>
        <w:spacing w:after="0" w:line="129" w:lineRule="exact"/>
        <w:rPr>
          <w:rFonts w:ascii="Times New Roman" w:cs="Times New Roman" w:eastAsia="Times New Roman" w:hAnsi="Times New Roman"/>
          <w:sz w:val="20"/>
          <w:szCs w:val="20"/>
          <w:color w:val="auto"/>
        </w:rPr>
      </w:pPr>
    </w:p>
    <w:p>
      <w:pPr>
        <w:ind w:left="540" w:right="400" w:hanging="191"/>
        <w:spacing w:after="0" w:line="28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a decline in the fair value of our real estate assets or investments which could result in impairments and would impact our financial condition and results of operations.</w:t>
      </w:r>
    </w:p>
    <w:p>
      <w:pPr>
        <w:spacing w:after="0" w:line="54" w:lineRule="exact"/>
        <w:rPr>
          <w:rFonts w:ascii="Times New Roman" w:cs="Times New Roman" w:eastAsia="Times New Roman" w:hAnsi="Times New Roman"/>
          <w:sz w:val="20"/>
          <w:szCs w:val="20"/>
          <w:color w:val="auto"/>
        </w:rPr>
      </w:pPr>
    </w:p>
    <w:p>
      <w:pPr>
        <w:ind w:left="540" w:right="20" w:hanging="191"/>
        <w:spacing w:after="0" w:line="261"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from time to time have stockholders that beneficially own more than 5% of the Company’s outstanding common stock and exercise the related voting rights of those shares. Actions by these stockholders, including trading activity, could have a material adverse impact on the trading price of our stock.</w:t>
      </w:r>
    </w:p>
    <w:p>
      <w:pPr>
        <w:spacing w:after="0" w:line="77" w:lineRule="exact"/>
        <w:rPr>
          <w:rFonts w:ascii="Times New Roman" w:cs="Times New Roman" w:eastAsia="Times New Roman" w:hAnsi="Times New Roman"/>
          <w:sz w:val="20"/>
          <w:szCs w:val="20"/>
          <w:color w:val="auto"/>
        </w:rPr>
      </w:pPr>
    </w:p>
    <w:p>
      <w:pPr>
        <w:ind w:left="540" w:right="560" w:hanging="191"/>
        <w:spacing w:after="0" w:line="267"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be unable to obtain debt or equity capital on favorable terms, if at all, or additional borrowings may impact our liquidity or ability to monetize any assets securing such borrowings.</w:t>
      </w:r>
    </w:p>
    <w:p>
      <w:pPr>
        <w:spacing w:after="0" w:line="70" w:lineRule="exact"/>
        <w:rPr>
          <w:rFonts w:ascii="Times New Roman" w:cs="Times New Roman" w:eastAsia="Times New Roman" w:hAnsi="Times New Roman"/>
          <w:sz w:val="20"/>
          <w:szCs w:val="20"/>
          <w:color w:val="auto"/>
        </w:rPr>
      </w:pPr>
    </w:p>
    <w:p>
      <w:pPr>
        <w:ind w:left="540" w:right="240" w:hanging="191"/>
        <w:spacing w:after="0" w:line="28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Servicing our debt requires a significant amount of cash, and we may not have sufficient cash flow from our business to service or pay our debt.</w:t>
      </w:r>
    </w:p>
    <w:p>
      <w:pPr>
        <w:spacing w:after="0" w:line="54" w:lineRule="exact"/>
        <w:rPr>
          <w:rFonts w:ascii="Times New Roman" w:cs="Times New Roman" w:eastAsia="Times New Roman" w:hAnsi="Times New Roman"/>
          <w:sz w:val="20"/>
          <w:szCs w:val="20"/>
          <w:color w:val="auto"/>
        </w:rPr>
      </w:pPr>
    </w:p>
    <w:p>
      <w:pPr>
        <w:ind w:left="540" w:hanging="191"/>
        <w:spacing w:after="0" w:line="28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operations and properties could be adversely affected in the event of natural disasters, pandemics, or other significant disruptions.</w:t>
      </w:r>
    </w:p>
    <w:p>
      <w:pPr>
        <w:spacing w:after="0" w:line="54" w:lineRule="exact"/>
        <w:rPr>
          <w:rFonts w:ascii="Times New Roman" w:cs="Times New Roman" w:eastAsia="Times New Roman" w:hAnsi="Times New Roman"/>
          <w:sz w:val="20"/>
          <w:szCs w:val="20"/>
          <w:color w:val="auto"/>
        </w:rPr>
      </w:pPr>
    </w:p>
    <w:p>
      <w:pPr>
        <w:ind w:left="540" w:hanging="191"/>
        <w:spacing w:after="0" w:line="267"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environmental problems which require remediation or the incurrence of significant costs to resolve, which could adversely impact our financial condition, results of operations, and cash flows.</w:t>
      </w:r>
    </w:p>
    <w:p>
      <w:pPr>
        <w:spacing w:after="0" w:line="70" w:lineRule="exact"/>
        <w:rPr>
          <w:rFonts w:ascii="Times New Roman" w:cs="Times New Roman" w:eastAsia="Times New Roman" w:hAnsi="Times New Roman"/>
          <w:sz w:val="20"/>
          <w:szCs w:val="20"/>
          <w:color w:val="auto"/>
        </w:rPr>
      </w:pPr>
    </w:p>
    <w:p>
      <w:pPr>
        <w:ind w:left="540" w:right="300" w:hanging="191"/>
        <w:spacing w:after="0" w:line="28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remain qualified as a REIT, would cause us to be taxed as a regular corporation, which would substantially reduce funds available for distributions to our stockholders.</w:t>
      </w:r>
    </w:p>
    <w:p>
      <w:pPr>
        <w:spacing w:after="0" w:line="54" w:lineRule="exact"/>
        <w:rPr>
          <w:rFonts w:ascii="Times New Roman" w:cs="Times New Roman" w:eastAsia="Times New Roman" w:hAnsi="Times New Roman"/>
          <w:sz w:val="20"/>
          <w:szCs w:val="20"/>
          <w:color w:val="auto"/>
        </w:rPr>
      </w:pPr>
    </w:p>
    <w:p>
      <w:pPr>
        <w:ind w:left="540" w:right="180" w:hanging="191"/>
        <w:spacing w:after="0" w:line="28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we qualify as a REIT, we may face other tax liabilities that could reduce our cash flows and negatively impact our results of operations and financial condition.</w:t>
      </w:r>
    </w:p>
    <w:p>
      <w:pPr>
        <w:spacing w:after="0" w:line="54" w:lineRule="exact"/>
        <w:rPr>
          <w:rFonts w:ascii="Times New Roman" w:cs="Times New Roman" w:eastAsia="Times New Roman" w:hAnsi="Times New Roman"/>
          <w:sz w:val="20"/>
          <w:szCs w:val="20"/>
          <w:color w:val="auto"/>
        </w:rPr>
      </w:pPr>
    </w:p>
    <w:p>
      <w:pPr>
        <w:ind w:left="540" w:right="140" w:hanging="191"/>
        <w:spacing w:after="0" w:line="28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failed to distribute our Pre-REIT Conversion Earnings and Profits, we could fail to qualify as a REIT.</w:t>
      </w:r>
    </w:p>
    <w:p>
      <w:pPr>
        <w:spacing w:after="0" w:line="54" w:lineRule="exact"/>
        <w:rPr>
          <w:rFonts w:ascii="Times New Roman" w:cs="Times New Roman" w:eastAsia="Times New Roman" w:hAnsi="Times New Roman"/>
          <w:sz w:val="20"/>
          <w:szCs w:val="20"/>
          <w:color w:val="auto"/>
        </w:rPr>
      </w:pPr>
    </w:p>
    <w:p>
      <w:pPr>
        <w:ind w:left="540" w:hanging="191"/>
        <w:spacing w:after="0"/>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make required distributions would subject us to U.S. federal corporate income tax.</w:t>
      </w:r>
    </w:p>
    <w:p>
      <w:pPr>
        <w:spacing w:after="0" w:line="129" w:lineRule="exact"/>
        <w:rPr>
          <w:rFonts w:ascii="Times New Roman" w:cs="Times New Roman" w:eastAsia="Times New Roman" w:hAnsi="Times New Roman"/>
          <w:sz w:val="20"/>
          <w:szCs w:val="20"/>
          <w:color w:val="auto"/>
        </w:rPr>
      </w:pPr>
    </w:p>
    <w:p>
      <w:pPr>
        <w:ind w:left="540" w:right="80" w:hanging="191"/>
        <w:spacing w:after="0" w:line="28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REIT requirements may limit our ability to hedge our liabilities effectively and may cause us to incur tax liabilities.</w:t>
      </w:r>
    </w:p>
    <w:p>
      <w:pPr>
        <w:spacing w:after="0" w:line="54" w:lineRule="exact"/>
        <w:rPr>
          <w:rFonts w:ascii="Times New Roman" w:cs="Times New Roman" w:eastAsia="Times New Roman" w:hAnsi="Times New Roman"/>
          <w:sz w:val="20"/>
          <w:szCs w:val="20"/>
          <w:color w:val="auto"/>
        </w:rPr>
      </w:pPr>
    </w:p>
    <w:p>
      <w:pPr>
        <w:ind w:left="540" w:hanging="191"/>
        <w:spacing w:after="0"/>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prohibited transactions tax may limit our ability to dispose of our properties.</w:t>
      </w:r>
    </w:p>
    <w:p>
      <w:pPr>
        <w:spacing w:after="0" w:line="129" w:lineRule="exact"/>
        <w:rPr>
          <w:rFonts w:ascii="Times New Roman" w:cs="Times New Roman" w:eastAsia="Times New Roman" w:hAnsi="Times New Roman"/>
          <w:sz w:val="20"/>
          <w:szCs w:val="20"/>
          <w:color w:val="auto"/>
        </w:rPr>
      </w:pPr>
    </w:p>
    <w:p>
      <w:pPr>
        <w:ind w:left="540" w:right="160" w:hanging="191"/>
        <w:spacing w:after="0" w:line="284" w:lineRule="auto"/>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to revoke our REIT qualification without stockholder approval may cause adverse consequences to our stockholders.</w:t>
      </w:r>
    </w:p>
    <w:p>
      <w:pPr>
        <w:sectPr>
          <w:pgSz w:w="11880" w:h="15480" w:orient="portrait"/>
          <w:cols w:equalWidth="0" w:num="1">
            <w:col w:w="9060"/>
          </w:cols>
          <w:pgMar w:left="1440" w:top="1025" w:right="1380" w:bottom="70"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060"/>
          </w:cols>
          <w:pgMar w:left="1440" w:top="1025" w:right="1380" w:bottom="70" w:gutter="0" w:footer="0" w:header="0"/>
          <w:type w:val="continuous"/>
        </w:sectPr>
      </w:pPr>
    </w:p>
    <w:bookmarkStart w:id="20" w:name="page21"/>
    <w:bookmarkEnd w:id="20"/>
    <w:p>
      <w:pPr>
        <w:ind w:left="580" w:right="20" w:hanging="191"/>
        <w:spacing w:after="0" w:line="264" w:lineRule="auto"/>
        <w:tabs>
          <w:tab w:leader="none" w:pos="5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transaction intended to qualify as a Section 1031 like-kind exchange is later determined to be taxable, or if we are unable to identify and complete the acquisition of suitable replacement property to effect a Section 1031 like-kind exchange, we may face adverse consequences.</w:t>
      </w:r>
    </w:p>
    <w:p>
      <w:pPr>
        <w:spacing w:after="0" w:line="73"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payable by REITs do not qualify for the reduced tax rates available for some dividends.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FACTORS</w:t>
      </w:r>
    </w:p>
    <w:p>
      <w:pPr>
        <w:spacing w:after="0" w:line="168"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Our business is subject to a number of significant risks. The risks described below may not be the only risks which potentially could impact our business. These additional risks include those which are unknown now or that are currently considered immaterial. If any of the circumstances, events, or developments described below actually occur to a significant degree, our business, financial condition, results of operations, and/or cash flows could be materially adversely affected, and the trading price of our common stock and preferred stock could decline. You should carefully consider the following risks and all the other information set forth in this Annual Report on Form 10-K, including the consolidated financial statements and the notes thereto.</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Business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Property Operations</w:t>
      </w:r>
    </w:p>
    <w:p>
      <w:pPr>
        <w:spacing w:after="0" w:line="172" w:lineRule="exact"/>
        <w:rPr>
          <w:sz w:val="20"/>
          <w:szCs w:val="20"/>
          <w:color w:val="auto"/>
        </w:rPr>
      </w:pPr>
    </w:p>
    <w:p>
      <w:pPr>
        <w:ind w:firstLine="399"/>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related to the ownership of commercial real estate that could affect the performance and value of our properties.</w:t>
      </w:r>
    </w:p>
    <w:p>
      <w:pPr>
        <w:spacing w:after="0" w:line="99"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20"/>
          <w:szCs w:val="20"/>
          <w:color w:val="auto"/>
        </w:rPr>
        <w:t>Factors beyond our control can affect the performance and value of our properties. Our core business is the ownership of commercial properties that generate lease revenue from either multiple tenants occupying a single structure or multiple structures or a single tenant in a stand-alone property. Accordingly, our performance is subject to risks incident to the ownership of commercial real estate, including:</w:t>
      </w:r>
    </w:p>
    <w:p>
      <w:pPr>
        <w:spacing w:after="0" w:line="77" w:lineRule="exact"/>
        <w:rPr>
          <w:sz w:val="20"/>
          <w:szCs w:val="20"/>
          <w:color w:val="auto"/>
        </w:rPr>
      </w:pPr>
    </w:p>
    <w:p>
      <w:pPr>
        <w:ind w:left="580" w:hanging="191"/>
        <w:spacing w:after="0"/>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collect rents from tenants due to financial hardship, including bankruptcy;</w:t>
      </w:r>
    </w:p>
    <w:p>
      <w:pPr>
        <w:spacing w:after="0" w:line="129" w:lineRule="exact"/>
        <w:rPr>
          <w:rFonts w:ascii="Times New Roman" w:cs="Times New Roman" w:eastAsia="Times New Roman" w:hAnsi="Times New Roman"/>
          <w:sz w:val="20"/>
          <w:szCs w:val="20"/>
          <w:color w:val="auto"/>
        </w:rPr>
      </w:pPr>
    </w:p>
    <w:p>
      <w:pPr>
        <w:ind w:left="580" w:right="120" w:hanging="191"/>
        <w:spacing w:after="0" w:line="284" w:lineRule="auto"/>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local real estate conditions in the markets where our properties are located, including the availability and demand for the properties we own;</w:t>
      </w:r>
    </w:p>
    <w:p>
      <w:pPr>
        <w:spacing w:after="0" w:line="54" w:lineRule="exact"/>
        <w:rPr>
          <w:rFonts w:ascii="Times New Roman" w:cs="Times New Roman" w:eastAsia="Times New Roman" w:hAnsi="Times New Roman"/>
          <w:sz w:val="20"/>
          <w:szCs w:val="20"/>
          <w:color w:val="auto"/>
        </w:rPr>
      </w:pPr>
    </w:p>
    <w:p>
      <w:pPr>
        <w:ind w:left="580" w:right="60" w:hanging="191"/>
        <w:spacing w:after="0" w:line="284" w:lineRule="auto"/>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consumer trends and preferences that affect the demand for products and services offered by our tenants;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national, regional and local economic conditions;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lease or sell properties upon expiration or termination of existing leases;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risks, including the presence of hazardous or toxic substances on our properties;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subjectivity of real estate valuations and changes in such valuations over time;</w:t>
      </w:r>
    </w:p>
    <w:p>
      <w:pPr>
        <w:spacing w:after="0" w:line="129" w:lineRule="exact"/>
        <w:rPr>
          <w:rFonts w:ascii="Times New Roman" w:cs="Times New Roman" w:eastAsia="Times New Roman" w:hAnsi="Times New Roman"/>
          <w:sz w:val="20"/>
          <w:szCs w:val="20"/>
          <w:color w:val="auto"/>
        </w:rPr>
      </w:pPr>
    </w:p>
    <w:p>
      <w:pPr>
        <w:ind w:left="580" w:right="80" w:hanging="191"/>
        <w:spacing w:after="0" w:line="284" w:lineRule="auto"/>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illiquidity of real estate investments, which may limit our ability to modify our portfolio promptly in response to changes in economic or other conditions;</w:t>
      </w:r>
    </w:p>
    <w:p>
      <w:pPr>
        <w:spacing w:after="0" w:line="54" w:lineRule="exact"/>
        <w:rPr>
          <w:rFonts w:ascii="Times New Roman" w:cs="Times New Roman" w:eastAsia="Times New Roman" w:hAnsi="Times New Roman"/>
          <w:sz w:val="20"/>
          <w:szCs w:val="20"/>
          <w:color w:val="auto"/>
        </w:rPr>
      </w:pPr>
    </w:p>
    <w:p>
      <w:pPr>
        <w:ind w:left="580" w:right="460" w:hanging="191"/>
        <w:spacing w:after="0" w:line="284" w:lineRule="auto"/>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zoning or other local regulatory restrictions, or other factors pertaining to the local government institutions which inhibit interest in the markets in which our properties are located;</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interest rates and the availability of financing;</w:t>
      </w:r>
    </w:p>
    <w:p>
      <w:pPr>
        <w:spacing w:after="0" w:line="129" w:lineRule="exact"/>
        <w:rPr>
          <w:rFonts w:ascii="Times New Roman" w:cs="Times New Roman" w:eastAsia="Times New Roman" w:hAnsi="Times New Roman"/>
          <w:sz w:val="20"/>
          <w:szCs w:val="20"/>
          <w:color w:val="auto"/>
        </w:rPr>
      </w:pPr>
    </w:p>
    <w:p>
      <w:pPr>
        <w:ind w:left="580" w:right="20" w:hanging="191"/>
        <w:spacing w:after="0" w:line="267" w:lineRule="auto"/>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from other real estate companies similar to ours and competition for tenants, including competition based on rental rates, age and location of properties and the quality of maintenance, insurance and management services;</w:t>
      </w:r>
    </w:p>
    <w:p>
      <w:pPr>
        <w:spacing w:after="0" w:line="70" w:lineRule="exact"/>
        <w:rPr>
          <w:rFonts w:ascii="Times New Roman" w:cs="Times New Roman" w:eastAsia="Times New Roman" w:hAnsi="Times New Roman"/>
          <w:sz w:val="20"/>
          <w:szCs w:val="20"/>
          <w:color w:val="auto"/>
        </w:rPr>
      </w:pPr>
    </w:p>
    <w:p>
      <w:pPr>
        <w:ind w:left="580" w:right="520" w:hanging="191"/>
        <w:spacing w:after="0" w:line="284" w:lineRule="auto"/>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acts of God, including natural disasters and global pandemics, which impact the United States, which may result in uninsured losses;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acts of war or terrorism, including consequences of terrorist attacks;</w:t>
      </w:r>
    </w:p>
    <w:p>
      <w:pPr>
        <w:spacing w:after="0" w:line="129" w:lineRule="exact"/>
        <w:rPr>
          <w:rFonts w:ascii="Times New Roman" w:cs="Times New Roman" w:eastAsia="Times New Roman" w:hAnsi="Times New Roman"/>
          <w:sz w:val="20"/>
          <w:szCs w:val="20"/>
          <w:color w:val="auto"/>
        </w:rPr>
      </w:pPr>
    </w:p>
    <w:p>
      <w:pPr>
        <w:ind w:left="580" w:right="280" w:hanging="191"/>
        <w:spacing w:after="0" w:line="284" w:lineRule="auto"/>
        <w:tabs>
          <w:tab w:leader="none" w:pos="5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tenant preferences that reduce the attractiveness and marketability of our properties to tenants or cause decreases in market rental rates;</w:t>
      </w:r>
    </w:p>
    <w:p>
      <w:pPr>
        <w:sectPr>
          <w:pgSz w:w="11880" w:h="15480" w:orient="portrait"/>
          <w:cols w:equalWidth="0" w:num="1">
            <w:col w:w="9100"/>
          </w:cols>
          <w:pgMar w:left="1400" w:top="1025" w:right="1380" w:bottom="70" w:gutter="0" w:footer="0" w:header="0"/>
        </w:sect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100"/>
          </w:cols>
          <w:pgMar w:left="1400" w:top="1025" w:right="1380" w:bottom="70" w:gutter="0" w:footer="0" w:header="0"/>
          <w:type w:val="continuous"/>
        </w:sectPr>
      </w:pPr>
    </w:p>
    <w:bookmarkStart w:id="21" w:name="page22"/>
    <w:bookmarkEnd w:id="21"/>
    <w:p>
      <w:pPr>
        <w:ind w:left="580" w:hanging="191"/>
        <w:spacing w:after="0"/>
        <w:tabs>
          <w:tab w:leader="none" w:pos="5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the need to periodically repair, renovate or re-lease our properties;</w:t>
      </w:r>
    </w:p>
    <w:p>
      <w:pPr>
        <w:spacing w:after="0" w:line="131" w:lineRule="exact"/>
        <w:rPr>
          <w:rFonts w:ascii="Times New Roman" w:cs="Times New Roman" w:eastAsia="Times New Roman" w:hAnsi="Times New Roman"/>
          <w:sz w:val="20"/>
          <w:szCs w:val="20"/>
          <w:color w:val="auto"/>
        </w:rPr>
      </w:pPr>
    </w:p>
    <w:p>
      <w:pPr>
        <w:ind w:left="580" w:right="40" w:hanging="191"/>
        <w:spacing w:after="0" w:line="269" w:lineRule="auto"/>
        <w:tabs>
          <w:tab w:leader="none" w:pos="5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of our operations, particularly maintenance, insurance or real estate taxes which may occur even when circumstances such as market factors and competition cause a reduction in our revenues;</w:t>
      </w:r>
    </w:p>
    <w:p>
      <w:pPr>
        <w:spacing w:after="0" w:line="70" w:lineRule="exact"/>
        <w:rPr>
          <w:rFonts w:ascii="Times New Roman" w:cs="Times New Roman" w:eastAsia="Times New Roman" w:hAnsi="Times New Roman"/>
          <w:sz w:val="20"/>
          <w:szCs w:val="20"/>
          <w:color w:val="auto"/>
        </w:rPr>
      </w:pPr>
    </w:p>
    <w:p>
      <w:pPr>
        <w:ind w:left="580" w:right="20" w:hanging="191"/>
        <w:spacing w:after="0" w:line="263" w:lineRule="auto"/>
        <w:tabs>
          <w:tab w:leader="none" w:pos="5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governmental laws and regulations, fiscal policies and zoning ordinances and the related costs of compliance with laws and regulations, fiscal policies and ordinances including in response to global pandemics whereby our tenants’ businesses are forced to close or remain open on a limited basis only; and</w:t>
      </w:r>
    </w:p>
    <w:p>
      <w:pPr>
        <w:spacing w:after="0" w:line="77"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commodities prices.</w:t>
      </w:r>
    </w:p>
    <w:p>
      <w:pPr>
        <w:spacing w:after="0" w:line="171" w:lineRule="exact"/>
        <w:rPr>
          <w:sz w:val="20"/>
          <w:szCs w:val="20"/>
          <w:color w:val="auto"/>
        </w:rPr>
      </w:pPr>
    </w:p>
    <w:p>
      <w:pPr>
        <w:ind w:right="620" w:firstLine="399"/>
        <w:spacing w:after="0" w:line="286" w:lineRule="auto"/>
        <w:rPr>
          <w:sz w:val="20"/>
          <w:szCs w:val="20"/>
          <w:color w:val="auto"/>
        </w:rPr>
      </w:pPr>
      <w:r>
        <w:rPr>
          <w:rFonts w:ascii="Times New Roman" w:cs="Times New Roman" w:eastAsia="Times New Roman" w:hAnsi="Times New Roman"/>
          <w:sz w:val="20"/>
          <w:szCs w:val="20"/>
          <w:color w:val="auto"/>
        </w:rPr>
        <w:t>The occurrence of any of the risks described above may cause the performance and value of our properties to decline, which could materially and adversely affect us.</w:t>
      </w:r>
    </w:p>
    <w:p>
      <w:pPr>
        <w:spacing w:after="0" w:line="95" w:lineRule="exact"/>
        <w:rPr>
          <w:sz w:val="20"/>
          <w:szCs w:val="20"/>
          <w:color w:val="auto"/>
        </w:rPr>
      </w:pPr>
    </w:p>
    <w:p>
      <w:pPr>
        <w:ind w:right="460" w:firstLine="399"/>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16"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higher interest rates, increased tax rates and increasing fuel and energy costs may have an impact</w:t>
      </w:r>
    </w:p>
    <w:p>
      <w:pPr>
        <w:spacing w:after="0" w:line="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w:t>
      </w:r>
    </w:p>
    <w:p>
      <w:pPr>
        <w:spacing w:after="0" w:line="122" w:lineRule="exact"/>
        <w:rPr>
          <w:sz w:val="20"/>
          <w:szCs w:val="20"/>
          <w:color w:val="auto"/>
        </w:rPr>
      </w:pPr>
    </w:p>
    <w:p>
      <w:pPr>
        <w:ind w:right="180" w:firstLine="399"/>
        <w:spacing w:after="0" w:line="310" w:lineRule="auto"/>
        <w:rPr>
          <w:sz w:val="20"/>
          <w:szCs w:val="20"/>
          <w:color w:val="auto"/>
        </w:rPr>
      </w:pPr>
      <w:r>
        <w:rPr>
          <w:rFonts w:ascii="Times New Roman" w:cs="Times New Roman" w:eastAsia="Times New Roman" w:hAnsi="Times New Roman"/>
          <w:sz w:val="19"/>
          <w:szCs w:val="19"/>
          <w:b w:val="1"/>
          <w:bCs w:val="1"/>
          <w:i w:val="1"/>
          <w:iCs w:val="1"/>
          <w:color w:val="auto"/>
        </w:rPr>
        <w:t>Global trade disruption, significant introductions of trade barriers and bilateral trade frictions, together with any future downturns in the global economy resulting therefrom, could adversely affect our performance.</w:t>
      </w:r>
    </w:p>
    <w:p>
      <w:pPr>
        <w:spacing w:after="0" w:line="77"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including China,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our performance.</w:t>
      </w:r>
    </w:p>
    <w:p>
      <w:pPr>
        <w:spacing w:after="0" w:line="131" w:lineRule="exact"/>
        <w:rPr>
          <w:sz w:val="20"/>
          <w:szCs w:val="20"/>
          <w:color w:val="auto"/>
        </w:rPr>
      </w:pPr>
    </w:p>
    <w:p>
      <w:pPr>
        <w:ind w:right="140" w:firstLine="399"/>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Our business is dependent upon our tenants successfully operating their businesses, and their failure to do so could materially and adversely affect us.</w:t>
      </w:r>
    </w:p>
    <w:p>
      <w:pPr>
        <w:spacing w:after="0" w:line="99"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The success of our investments in our income properties is materially dependent upon the performance of our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inflation, higher interest rates, supply chain issues (including those potentially caused by global trade uncertainty or tariffs), unfavorable economic conditions in general, changes in consumer trends and preferences that decrease demand for a tenant’s products or services or other factors, including the impact of a global pandemic which affects the United States, over which neither they nor we have control. To the extent we own multiple properties operated by one tenant, the general failure of that single tenant or a loss or significant decline in its business could materially and adversely affect us.</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100"/>
          </w:cols>
          <w:pgMar w:left="1400" w:top="1025" w:right="1380" w:bottom="70" w:gutter="0" w:footer="0" w:header="0"/>
          <w:type w:val="continuous"/>
        </w:sectPr>
      </w:pPr>
    </w:p>
    <w:bookmarkStart w:id="22" w:name="page23"/>
    <w:bookmarkEnd w:id="22"/>
    <w:p>
      <w:pPr>
        <w:ind w:firstLine="399"/>
        <w:spacing w:after="0" w:line="259" w:lineRule="auto"/>
        <w:rPr>
          <w:sz w:val="20"/>
          <w:szCs w:val="20"/>
          <w:color w:val="auto"/>
        </w:rPr>
      </w:pPr>
      <w:r>
        <w:rPr>
          <w:rFonts w:ascii="Times New Roman" w:cs="Times New Roman" w:eastAsia="Times New Roman" w:hAnsi="Times New Roman"/>
          <w:sz w:val="20"/>
          <w:szCs w:val="20"/>
          <w:color w:val="auto"/>
        </w:rPr>
        <w:t>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filing for bankruptcy protection. We depend on our tenants to 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 adversely affected if a tenant representing a significant portion of our operating results or a number of our tenants were unable to meet their obligations to us.</w:t>
      </w:r>
    </w:p>
    <w:p>
      <w:pPr>
        <w:spacing w:after="0" w:line="128" w:lineRule="exact"/>
        <w:rPr>
          <w:sz w:val="20"/>
          <w:szCs w:val="20"/>
          <w:color w:val="auto"/>
        </w:rPr>
      </w:pPr>
    </w:p>
    <w:p>
      <w:pPr>
        <w:ind w:right="140" w:firstLine="399"/>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Retail properties, particularly those with multiple tenants, often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w:t>
      </w:r>
    </w:p>
    <w:p>
      <w:pPr>
        <w:spacing w:after="0" w:line="121"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Retail properties, like other properties, are subject to the risk that tenants may be unable to make their lease payments or may decline to extend a lease upon its expiration. A shopping center is particularly sensitive to the risk that a tenant that occupies a large area of the property (commonly referred to as an anchor tenant) is unable to make their lease payments, does not extend their lease upon its expiration, or otherwise vacates their rented space. A lease termination by an anchor tenant or tenants could impact leases of other tenants. Other tenants may be entitled to modify the terms of their existing leases in the event of a lease termination by an anchor tenant, or the closure of the business of an anchor tenant that leaves its space vacant even if the anchor tenant continues to pay rent. Any such modifications or conditions could be unfavorable to us as the property owner and could decrease rents or expense recoveries. Additionally, should an anchor tenant vacate their leased space, customer traffic to the property may be decreased, which could lead to decreased sales at other stores thus adversely impacting the tenant’s operations and impacting their ability to pay rent to us. In the event of default by a tenant, we may experience delays and costs in enforcing our rights as landlord to recover amounts due to us under the terms of our agreements with that tenant.</w:t>
      </w:r>
    </w:p>
    <w:p>
      <w:pPr>
        <w:spacing w:after="0" w:line="125" w:lineRule="exact"/>
        <w:rPr>
          <w:sz w:val="20"/>
          <w:szCs w:val="20"/>
          <w:color w:val="auto"/>
        </w:rPr>
      </w:pPr>
    </w:p>
    <w:p>
      <w:pPr>
        <w:ind w:firstLine="399"/>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properties.</w:t>
      </w:r>
    </w:p>
    <w:p>
      <w:pPr>
        <w:spacing w:after="0" w:line="119"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A significant portion of the properties in our income property portfolio are commercial properties that were developed to be occupied by retail tenants and thus we are subject to the risks that affect the retail sector generally, as well as the market for retail space. The business environment for retail operators and the market for retail space have previously been, and could again be, adversely affected by weakness in the national, regional and local economies, the level of consumer spending and consumer confidence, the adverse financial condition of some large retail companies, the consolidation of operators that occurs from time to time in the retail sector, any excess amount of retail space in a number of markets and increasing competition from discount retail operators, outlet malls, internet or e-commerce retail businesses and other online businesses. Increases in consumer spending through e-commerce channels may significantly affect our retail tenants’ ability to generate sales in their stores and could affect the way future tenants lease space. In addition, new and enhanced technologies, including new digital technologies, new web services technologies and artificial intelligence, may increase competition for certain of our retail tenants. We cannot predict with certainty what future tenants will require to operate their businesses, what demands will be made for the build out of future retail spaces and how much revenue will be generated at traditional “brick and mortar” locations. If we are unable to anticipate and respond promptly to trends in the market, our occupancy levels and rental income may decline.</w:t>
      </w:r>
    </w:p>
    <w:p>
      <w:pPr>
        <w:spacing w:after="0" w:line="375" w:lineRule="exact"/>
        <w:rPr>
          <w:sz w:val="20"/>
          <w:szCs w:val="20"/>
          <w:color w:val="auto"/>
        </w:rPr>
      </w:pPr>
    </w:p>
    <w:p>
      <w:pPr>
        <w:ind w:right="60" w:firstLine="399"/>
        <w:spacing w:after="0" w:line="288" w:lineRule="auto"/>
        <w:rPr>
          <w:sz w:val="20"/>
          <w:szCs w:val="20"/>
          <w:color w:val="auto"/>
        </w:rPr>
      </w:pPr>
      <w:r>
        <w:rPr>
          <w:rFonts w:ascii="Times New Roman" w:cs="Times New Roman" w:eastAsia="Times New Roman" w:hAnsi="Times New Roman"/>
          <w:sz w:val="20"/>
          <w:szCs w:val="20"/>
          <w:color w:val="auto"/>
        </w:rPr>
        <w:t>Any of the foregoing factors could adversely affect the financial condition of our retail tenants and the willingness of retail operators to lease space at our income properties. In turn, these conditions could</w:t>
      </w:r>
    </w:p>
    <w:p>
      <w:pPr>
        <w:sectPr>
          <w:pgSz w:w="11880" w:h="15480" w:orient="portrait"/>
          <w:cols w:equalWidth="0" w:num="1">
            <w:col w:w="9100"/>
          </w:cols>
          <w:pgMar w:left="1400" w:top="1025" w:right="1380" w:bottom="69"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100"/>
          </w:cols>
          <w:pgMar w:left="1400" w:top="1025" w:right="1380" w:bottom="69" w:gutter="0" w:footer="0" w:header="0"/>
          <w:type w:val="continuous"/>
        </w:sectPr>
      </w:pPr>
    </w:p>
    <w:bookmarkStart w:id="23" w:name="page24"/>
    <w:bookmarkEnd w:id="23"/>
    <w:p>
      <w:pPr>
        <w:ind w:right="140"/>
        <w:spacing w:after="0" w:line="260" w:lineRule="auto"/>
        <w:rPr>
          <w:sz w:val="20"/>
          <w:szCs w:val="20"/>
          <w:color w:val="auto"/>
        </w:rPr>
      </w:pPr>
      <w:r>
        <w:rPr>
          <w:rFonts w:ascii="Times New Roman" w:cs="Times New Roman" w:eastAsia="Times New Roman" w:hAnsi="Times New Roman"/>
          <w:sz w:val="20"/>
          <w:szCs w:val="20"/>
          <w:color w:val="auto"/>
        </w:rPr>
        <w:t>negatively affect market rents for retail space and could materially and adversely affect our financial condition, results of operations, cash flow and our ability to satisfy our debt service obligations and to pay distributions to the Company’s stockholders.</w:t>
      </w:r>
    </w:p>
    <w:p>
      <w:pPr>
        <w:spacing w:after="0" w:line="113" w:lineRule="exact"/>
        <w:rPr>
          <w:sz w:val="20"/>
          <w:szCs w:val="20"/>
          <w:color w:val="auto"/>
        </w:rPr>
      </w:pPr>
    </w:p>
    <w:p>
      <w:pPr>
        <w:ind w:right="240" w:firstLine="399"/>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Competition that traditional retail tenants face from e-commerce retail sales, or the integration of brick and mortar stores with e-commerce retail operators, could adversely affect our business.</w:t>
      </w:r>
    </w:p>
    <w:p>
      <w:pPr>
        <w:spacing w:after="0" w:line="101" w:lineRule="exact"/>
        <w:rPr>
          <w:sz w:val="20"/>
          <w:szCs w:val="20"/>
          <w:color w:val="auto"/>
        </w:rPr>
      </w:pPr>
    </w:p>
    <w:p>
      <w:pPr>
        <w:ind w:right="20" w:firstLine="399"/>
        <w:spacing w:after="0" w:line="248" w:lineRule="auto"/>
        <w:rPr>
          <w:sz w:val="20"/>
          <w:szCs w:val="20"/>
          <w:color w:val="auto"/>
        </w:rPr>
      </w:pPr>
      <w:r>
        <w:rPr>
          <w:rFonts w:ascii="Times New Roman" w:cs="Times New Roman" w:eastAsia="Times New Roman" w:hAnsi="Times New Roman"/>
          <w:sz w:val="20"/>
          <w:szCs w:val="20"/>
          <w:color w:val="auto"/>
        </w:rPr>
        <w:t>Our retail tenants face increasing competition from e-commerce businesses. E-commerce sales continue to account for an increasing percentage of retail sales in the U.S. and this trend is likely to continue. These trends may have an impact on decisions that retail businesses make regarding their utilization of “brick and mortar” stores. Changes in shopping trends as a result of the growth in e-commerce may also impact the profitability of retail operators that do not adapt to changes in market conditions. The continued growth of e-commerce sales could decrease the need for traditional retail outlets and reduce the demand for retail space and property requirements. These conditions could adversely impact our results of operations and cash flows if we are unable to meet the needs of our tenants or if our tenants encounter financial difficulties as a result of changing market conditions.</w:t>
      </w:r>
    </w:p>
    <w:p>
      <w:pPr>
        <w:spacing w:after="0" w:line="131" w:lineRule="exact"/>
        <w:rPr>
          <w:sz w:val="20"/>
          <w:szCs w:val="20"/>
          <w:color w:val="auto"/>
        </w:rPr>
      </w:pPr>
    </w:p>
    <w:p>
      <w:pPr>
        <w:jc w:val="both"/>
        <w:ind w:right="480" w:firstLine="399"/>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A key element of our future success will depend upon, among other things, our ability to successfully execute our strategy to invest in income-producing assets which if unsuccessful could adversely impact our financial condition, results of operations and cash flows.</w:t>
      </w:r>
    </w:p>
    <w:p>
      <w:pPr>
        <w:spacing w:after="0" w:line="115"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There is no assurance that we will be able to continue to execute our strategy of investing in income-producing assets, including income properties and commercial loans or similar financings secured by real estate. There is no assurance that the number of properties in our income property portfolio or the number of loans in our loan investment portfolio will expand at all or, if they expand, at any specified rate or to any specified size. If we continue to invest in diverse geographic markets other than the markets in which we currently own income properties or loan investments, we will be subject to risks associated with investing in new markets as those markets may be relatively unfamiliar to us. In addition, investments in new markets may introduce increased costs to us relating to factors including the regulatory environment and the local and state tax structure. Additionally, there is no assurance we will be able to continue to make investments in commercial loans or similar financings secured by real estate. Consequently, if we are unable to successfully execute our strategy of investing in income-producing assets or some or all of our investments, including in new markets, introduce increased operating costs our financial condition, results of operations, and cash flows may be adversely affected.</w:t>
      </w:r>
    </w:p>
    <w:p>
      <w:pPr>
        <w:spacing w:after="0" w:line="370" w:lineRule="exact"/>
        <w:rPr>
          <w:sz w:val="20"/>
          <w:szCs w:val="20"/>
          <w:color w:val="auto"/>
        </w:rPr>
      </w:pPr>
    </w:p>
    <w:p>
      <w:pPr>
        <w:ind w:right="220" w:firstLine="399"/>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We operate in a highly competitive market for the acquisition of income properties and more established entities or other investors may be able to compete more effectively for acquisition opportunities than we can.</w:t>
      </w:r>
    </w:p>
    <w:p>
      <w:pPr>
        <w:spacing w:after="0" w:line="76"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A number of entities and other investors compete with us to purchase income properties. We compete with REITs, public and private real estate focused companies, high wealth individual investors, private equity investors, institutional investment funds, and others. Many of our competitors are substantially larger and have considerably greater financial, technical and marketing resources than we do. Several of our public company competitors have greater access to capital, typically by raising equity or debt financing, have significant amounts of capital available and investment objectives that overlap with ours, which often creates competition for acquisition opportunities. Some competitors may have a lower cost of capital and access to funding sources that are not available to us. In addition, some of our competitors may have higher risk tolerances or different assessments of investment risk, which could allow them to consider a wider variety of income property acquisitions and establish more relationships than us. We cannot be assured that the competitive pressures we face will not have a material adverse effect on our business, financial condition, results of operations and therefore our cash flows. Also, because of this competition, we may not be able to take advantage of attractive acquisition opportunities from time to time, and we can offer no assurance that we will be able to identify and purchase assets that are consistent with our objectives.</w:t>
      </w:r>
    </w:p>
    <w:p>
      <w:pPr>
        <w:spacing w:after="0" w:line="130" w:lineRule="exact"/>
        <w:rPr>
          <w:sz w:val="20"/>
          <w:szCs w:val="20"/>
          <w:color w:val="auto"/>
        </w:rPr>
      </w:pPr>
    </w:p>
    <w:p>
      <w:pPr>
        <w:ind w:right="36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loss of revenues from our income property portfolio or certain tenants would adversely impact our results of operations and cash flows.</w:t>
      </w:r>
    </w:p>
    <w:p>
      <w:pPr>
        <w:spacing w:after="0" w:line="99" w:lineRule="exact"/>
        <w:rPr>
          <w:sz w:val="20"/>
          <w:szCs w:val="20"/>
          <w:color w:val="auto"/>
        </w:rPr>
      </w:pPr>
    </w:p>
    <w:p>
      <w:pPr>
        <w:ind w:right="80" w:firstLine="399"/>
        <w:spacing w:after="0" w:line="262" w:lineRule="auto"/>
        <w:rPr>
          <w:sz w:val="20"/>
          <w:szCs w:val="20"/>
          <w:color w:val="auto"/>
        </w:rPr>
      </w:pPr>
      <w:r>
        <w:rPr>
          <w:rFonts w:ascii="Times New Roman" w:cs="Times New Roman" w:eastAsia="Times New Roman" w:hAnsi="Times New Roman"/>
          <w:sz w:val="20"/>
          <w:szCs w:val="20"/>
          <w:color w:val="auto"/>
        </w:rPr>
        <w:t>Certain of our tenants may account for a significant portion of our total revenues and/or square footage in our income property portfolio (see Note 2, “Summary of Significant Accounting Policies” under the heading Concentration of Credit Risk in the notes to the consolidated financial statements in Item 8).</w:t>
      </w:r>
    </w:p>
    <w:p>
      <w:pPr>
        <w:sectPr>
          <w:pgSz w:w="11880" w:h="15480" w:orient="portrait"/>
          <w:cols w:equalWidth="0" w:num="1">
            <w:col w:w="9100"/>
          </w:cols>
          <w:pgMar w:left="1400" w:top="1025" w:right="1380" w:bottom="71"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100"/>
          </w:cols>
          <w:pgMar w:left="1400" w:top="1025" w:right="1380" w:bottom="71" w:gutter="0" w:footer="0" w:header="0"/>
          <w:type w:val="continuous"/>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20"/>
          <w:szCs w:val="20"/>
          <w:color w:val="auto"/>
        </w:rPr>
        <w:t>The default, financial distress, or bankruptcy of one or all of our major tenants could cause substantial vacancies in some of the largest properties in our income property portfolio and reduce our revenues from our income property operations significantly, thereby adversely impacting our results of operations and cash flows. Vacancies reduce our revenue until the affected properties can be re-leased and could decrease the value of each such vacant property. Upon the expiration of the leases that are currently in place, we may not be able to re-lease a vacant property at a comparable lease rate or without incurring additional expenditures in connection with such re-leasing. If, following the loss of an income property tenant, we are unable to re-lease the income property at comparable rental rates and in a timely manner, our financial condition, results of operations and cash flows could be adversely affected.</w:t>
      </w:r>
    </w:p>
    <w:p>
      <w:pPr>
        <w:spacing w:after="0" w:line="126" w:lineRule="exact"/>
        <w:rPr>
          <w:sz w:val="20"/>
          <w:szCs w:val="20"/>
          <w:color w:val="auto"/>
        </w:rPr>
      </w:pPr>
    </w:p>
    <w:p>
      <w:pPr>
        <w:ind w:right="220" w:firstLine="399"/>
        <w:spacing w:after="0" w:line="286" w:lineRule="auto"/>
        <w:rPr>
          <w:sz w:val="20"/>
          <w:szCs w:val="20"/>
          <w:color w:val="auto"/>
        </w:rPr>
      </w:pPr>
      <w:r>
        <w:rPr>
          <w:rFonts w:ascii="Times New Roman" w:cs="Times New Roman" w:eastAsia="Times New Roman" w:hAnsi="Times New Roman"/>
          <w:sz w:val="19"/>
          <w:szCs w:val="19"/>
          <w:b w:val="1"/>
          <w:bCs w:val="1"/>
          <w:i w:val="1"/>
          <w:iCs w:val="1"/>
          <w:color w:val="auto"/>
        </w:rPr>
        <w:t>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w:t>
      </w:r>
    </w:p>
    <w:p>
      <w:pPr>
        <w:spacing w:after="0" w:line="98"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Certain of our tenants and or geographic concentrations may account for a significant portion of our base rent revenue (see Note 2, “Summary of Significant Accounting Policies” under the heading Concentration of Credit Risk in the notes to the consolidated financial statements in Item 8). Such geographic concentrations could be heightened by the fact that our investments may be concentrated in certain areas that are affected by epidemics or pandemics more than other areas. Any financial hardship and/or economic downturns in the financial industry, including a downturn similar to the financial crisis in 2007 through 2009, or in the states noted could have an adverse effect on our results of operations and cash flows.</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Certain provisions of the Company’s leases may be unenforceable.</w:t>
      </w:r>
    </w:p>
    <w:p>
      <w:pPr>
        <w:spacing w:after="0" w:line="168"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The Company’s rights and obligations with respect to its leases are governed by written agreements with its tenants. A court could determine that one or more provisions of such an agreement are unenforceable, such as a particular remedy, a termination provision, or a provision governing the Company’s remedies for default of the tenant. If we were unable to enforce provisions of a lease agreement or agreements, our results of operations, financial condition, and cash flows could be adversely impacted.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dispose of properties we target for sale to recycle our capital.</w:t>
      </w:r>
    </w:p>
    <w:p>
      <w:pPr>
        <w:spacing w:after="0" w:line="168" w:lineRule="exact"/>
        <w:rPr>
          <w:sz w:val="20"/>
          <w:szCs w:val="20"/>
          <w:color w:val="auto"/>
        </w:rPr>
      </w:pPr>
    </w:p>
    <w:p>
      <w:pPr>
        <w:ind w:right="80" w:firstLine="399"/>
        <w:spacing w:after="0" w:line="256" w:lineRule="auto"/>
        <w:rPr>
          <w:sz w:val="20"/>
          <w:szCs w:val="20"/>
          <w:color w:val="auto"/>
        </w:rPr>
      </w:pPr>
      <w:r>
        <w:rPr>
          <w:rFonts w:ascii="Times New Roman" w:cs="Times New Roman" w:eastAsia="Times New Roman" w:hAnsi="Times New Roman"/>
          <w:sz w:val="20"/>
          <w:szCs w:val="20"/>
          <w:color w:val="auto"/>
        </w:rPr>
        <w:t>While the Company’s strategy may include selectively selling non-core assets or other income-producing properties to recycle our capital, we may be unable to sell such assets or properties targeted for disposition due to adverse market or other conditions or not achieve the pricing or timing that is consistent with our expectations. This may adversely affect, among other things, the Company’s ability to deploy capital into the acquisition of other income-producing properties, the execution of our overall operating strategy and consequently our financial condition, results of operations, and cash flows.</w:t>
      </w:r>
    </w:p>
    <w:p>
      <w:pPr>
        <w:spacing w:after="0" w:line="125" w:lineRule="exact"/>
        <w:rPr>
          <w:sz w:val="20"/>
          <w:szCs w:val="20"/>
          <w:color w:val="auto"/>
        </w:rPr>
      </w:pPr>
    </w:p>
    <w:p>
      <w:pPr>
        <w:jc w:val="both"/>
        <w:ind w:right="20" w:firstLine="399"/>
        <w:spacing w:after="0" w:line="285" w:lineRule="auto"/>
        <w:rPr>
          <w:sz w:val="20"/>
          <w:szCs w:val="20"/>
          <w:color w:val="auto"/>
        </w:rPr>
      </w:pPr>
      <w:r>
        <w:rPr>
          <w:rFonts w:ascii="Times New Roman" w:cs="Times New Roman" w:eastAsia="Times New Roman" w:hAnsi="Times New Roman"/>
          <w:sz w:val="19"/>
          <w:szCs w:val="19"/>
          <w:b w:val="1"/>
          <w:bCs w:val="1"/>
          <w:i w:val="1"/>
          <w:iCs w:val="1"/>
          <w:color w:val="auto"/>
        </w:rPr>
        <w:t>We may seek to conduct development activities, including the development of new income properties or the redevelopment or renovation of existing income properties, which may cause us to experience unexpected costs and have other risks that may adversely affect our financial condition, results of operations and liquidity.</w:t>
      </w:r>
    </w:p>
    <w:p>
      <w:pPr>
        <w:spacing w:after="0" w:line="99"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We have recently and may in the future develop new income properties. In addition, we have in recent years and may in the future redevelop, significantly renovate or otherwise invest additional capital in certain of our existing income properties to improve the assets and enhance the opportunity for increased returns on our overall investment. These various development activities, particularly the development of new income properties, is subject to a number of risks, including risks associated with construction work and risks of cost overruns due to construction delays, inflation, higher interest rates, supply chain issues (including those potentially caused by global trade uncertainty or tariffs), or other factors that may increase the expected costs of a project. Furthermore, the commencement of development projects is subject to other risks including the receipt of zoning or entitlements and other required governmental permits and authorizations. In addition, we may incur development costs in connection with projects that are ultimately not pursued to completion. Any of the development activities noted may be financed under our Credit Facility or through other forms of financing. If such financing is not available on acceptable terms, our development activities may not be pursued or may be curtailed. In addition, such development activities would likely reduce the available borrowing capacity on our Credit Facility which we use for the acquisition of income properties, origination or acquisition of commercial loans and investments, and other operating needs. The risks</w:t>
      </w:r>
    </w:p>
    <w:p>
      <w:pPr>
        <w:sectPr>
          <w:pgSz w:w="11880" w:h="15480" w:orient="portrait"/>
          <w:cols w:equalWidth="0" w:num="1">
            <w:col w:w="9100"/>
          </w:cols>
          <w:pgMar w:left="1400" w:top="1025" w:right="1380" w:bottom="70" w:gutter="0" w:footer="0" w:header="0"/>
        </w:sect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100"/>
          </w:cols>
          <w:pgMar w:left="1400" w:top="1025" w:right="1380" w:bottom="70" w:gutter="0" w:footer="0" w:header="0"/>
          <w:type w:val="continuous"/>
        </w:sectPr>
      </w:pPr>
    </w:p>
    <w:bookmarkStart w:id="25" w:name="page26"/>
    <w:bookmarkEnd w:id="25"/>
    <w:p>
      <w:pPr>
        <w:ind w:right="80"/>
        <w:spacing w:after="0" w:line="279" w:lineRule="auto"/>
        <w:rPr>
          <w:sz w:val="20"/>
          <w:szCs w:val="20"/>
          <w:color w:val="auto"/>
        </w:rPr>
      </w:pPr>
      <w:r>
        <w:rPr>
          <w:rFonts w:ascii="Times New Roman" w:cs="Times New Roman" w:eastAsia="Times New Roman" w:hAnsi="Times New Roman"/>
          <w:sz w:val="20"/>
          <w:szCs w:val="20"/>
          <w:color w:val="auto"/>
        </w:rPr>
        <w:t>associated with development activities, including but not necessarily limited to those noted, could adversely impact our financial condition, results of operations, and liquidity.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of and Investment in PINE</w:t>
      </w:r>
    </w:p>
    <w:p>
      <w:pPr>
        <w:spacing w:after="0" w:line="172" w:lineRule="exact"/>
        <w:rPr>
          <w:sz w:val="20"/>
          <w:szCs w:val="20"/>
          <w:color w:val="auto"/>
        </w:rPr>
      </w:pPr>
    </w:p>
    <w:p>
      <w:pPr>
        <w:ind w:right="80" w:firstLine="399"/>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Our revenues include receipt of management fees and potentially incentive fees derived from our provision of management services to PINE and the loss or failure, or decline in the business or assets, of PINE could substantially reduce our revenues.</w:t>
      </w:r>
    </w:p>
    <w:p>
      <w:pPr>
        <w:spacing w:after="0" w:line="115"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Our revenues include the fees we earn from providing management services to PINE. The revenues we generate from managing PINE depend in large part on the ability of PINE to raise capital to invest in real estate assets and on the positive performance of PINE’s investments and stockholder returns. The performance of PINE is subject to a number of risks and uncertainties. Therefore, a portion of our operating results and our ability to maintain and grow the fees we earn from providing management services to PINE depends upon the ability of PINE and its tenants to maintain and grow their respective businesses. Our ability to maintain and grow the fees we earn from providing management services to PINE also depend upon the ability of PINE to maintain and grow its market capitalization and to achieve positive stockholder returns in excess of applicable total stockholder return indexes. Reduced business activities, market capitalizations or stockholder returns, sales of assets or the failure of PINE or the termination of our management agreement with PINE could materially reduce our revenues and our profitability thereby adversely impacting our cash flows and results of operations.</w:t>
      </w:r>
    </w:p>
    <w:p>
      <w:pPr>
        <w:spacing w:after="0" w:line="372" w:lineRule="exact"/>
        <w:rPr>
          <w:sz w:val="20"/>
          <w:szCs w:val="20"/>
          <w:color w:val="auto"/>
        </w:rPr>
      </w:pPr>
    </w:p>
    <w:p>
      <w:pPr>
        <w:jc w:val="both"/>
        <w:ind w:right="800" w:firstLine="399"/>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Our management agreement with PINE is subject to termination for events of default or non-performance, and any such termination could have a material adverse effect on our business, results of operations and financial condition.</w:t>
      </w:r>
    </w:p>
    <w:p>
      <w:pPr>
        <w:spacing w:after="0" w:line="115"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Our management agreement with PINE may be terminated by PINE in certain circumstances. Depending upon the circumstances of a termination, we may or may not be entitled to receive a termination fee. If our management agreement with PINE is terminated, we may be unable to replace the lost revenue. Even if we receive a termination fee upon the termination of the management agreement with PINE, we may be unable to invest the after tax proceeds from the termination fee we receive in opportunities that earn returns equal to or greater than the revenues lost as a result of the terminated management agreement. The termination of our management agreement with PINE could have a material adverse impact on our business, results of operations and financial condition.</w:t>
      </w:r>
    </w:p>
    <w:p>
      <w:pPr>
        <w:spacing w:after="0" w:line="130" w:lineRule="exact"/>
        <w:rPr>
          <w:sz w:val="20"/>
          <w:szCs w:val="20"/>
          <w:color w:val="auto"/>
        </w:rPr>
      </w:pPr>
    </w:p>
    <w:p>
      <w:pPr>
        <w:ind w:right="100" w:firstLine="399"/>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An internalization of PINE’s management functions could have a material adverse effect on our business, results of operations and financial condition.</w:t>
      </w:r>
    </w:p>
    <w:p>
      <w:pPr>
        <w:spacing w:after="0" w:line="99"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In the future, PINE’s board of directors may consider internalizing the functions performed for PINE by us. We may be unable to replace the revenue that we would have received in the future in the absence of an internalization transaction. In the event that we and PINE agree to an internalization transaction, the payment of the internalization price to us would be in lieu of the payment of any termination fee. Even if the internalization price paid to us in connection with an internalization is substantial, we cannot assure you that any consideration received by us in connection with an internalization transaction will ultimately lead to returns equal to or greater than the revenues lost as a result of the internalization transaction.</w:t>
      </w:r>
    </w:p>
    <w:p>
      <w:pPr>
        <w:spacing w:after="0" w:line="125"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Internalization transactions, including without limitation, transactions involving the acquisition of external advisors or property managers affiliated with entity sponsors have also, in some cases, been the subject of litigation. Even if these claims are without merit, we could be forced to spend significant amounts of money defending claims which would reduce the amount of funds available for us to invest in properties or other investments and to pay distributions to our stockholders. All of these factors could have a material adverse effect on us.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successfully operate PINE’s business.</w:t>
      </w:r>
    </w:p>
    <w:p>
      <w:pPr>
        <w:spacing w:after="0" w:line="166"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We are paid a management fee to manage PINE’s business and we may be paid an incentive fee which will depend on numerous factors, including our ability to make investments on behalf of PINE that generate attractive, risk-adjusted returns, and thereby result in PINE’s stockholders achieving a necessary level of return. A key element of PINE’s success includes its ability to raise additional equity capital to fund its goals</w:t>
      </w:r>
    </w:p>
    <w:p>
      <w:pPr>
        <w:sectPr>
          <w:pgSz w:w="11880" w:h="15480" w:orient="portrait"/>
          <w:cols w:equalWidth="0" w:num="1">
            <w:col w:w="9100"/>
          </w:cols>
          <w:pgMar w:left="1400" w:top="1025" w:right="1380" w:bottom="71" w:gutter="0" w:footer="0" w:header="0"/>
        </w:sect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100"/>
          </w:cols>
          <w:pgMar w:left="1400" w:top="1025" w:right="1380" w:bottom="71" w:gutter="0" w:footer="0" w:header="0"/>
          <w:type w:val="continuous"/>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20"/>
          <w:szCs w:val="20"/>
          <w:color w:val="auto"/>
        </w:rPr>
        <w:t>for growth. Our successful performance as the manager of PINE therefore depends, in part, on our ability to assist PINE in raising equity capital in amounts sufficient to support PINE’s goals and on acceptable terms. Our successful performance as the manager of PINE also depends on our ability to access debt financing for PINE, on acceptable terms. There can be no assurance that we will be successful in this business, that PINE will achieve its objectives, will invest successfully in income properties or commercial loans and investments, and will generally operate successfully, or that we will earn fees from PINE sufficient to recover the costs we have incurred or to provide a suitable return on our investment in PINE.</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Declines in the market values of our investment in PINE may adversely affect periodic reported results.</w:t>
      </w:r>
    </w:p>
    <w:p>
      <w:pPr>
        <w:spacing w:after="0" w:line="166"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We hold a significant equity interest in PINE as of December 31, 2025, including the OP Units we hold in the PINE Operating Partnership as further described in Note 1, “Organization” in the notes to the consolidated financial statements in Item 8. PINE is publicly traded and as such, PINE’s common stock is subject to the risks associated with public equities, including, but not limited to, market risk broadly, risks associated with the REIT industry, and risks associated with the real estate industry more specifically. The public equity markets can be volatile, and the value of PINE’s stock and OP Units may fluctuate significantly over short periods of time. A significant decrease in the trading price of PINE’s stock could result in losses that have a material adverse effect on the value of our investment in PINE which could adversely impact our financial condition.</w:t>
      </w:r>
    </w:p>
    <w:p>
      <w:pPr>
        <w:spacing w:after="0" w:line="366" w:lineRule="exact"/>
        <w:rPr>
          <w:sz w:val="20"/>
          <w:szCs w:val="20"/>
          <w:color w:val="auto"/>
        </w:rPr>
      </w:pPr>
    </w:p>
    <w:p>
      <w:pPr>
        <w:ind w:right="20" w:firstLine="399"/>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15"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We are subject to conflicts of interest that may exist or could arise in the future with PINE, including our executive officers and/or directors who are also directors or officers of PINE. Conflicts may include, without limitation: conflicts arising from the enforcement of agreements between us and PINE; conflicts in the amount of time that our officers and employees will spend on our affairs versus PINE’s affairs; and conflicts in future transactions that we may pursue with PINE. Transactions between us and PINE would be subject to certain approvals of our directors; however, there can be no assurance that such approval will be successful in achieving terms and conditions as favorable to us as would be available from a third party. Our president and chief executive officer who is also one of our directors also serves on PINE’s board of directors.</w:t>
      </w:r>
    </w:p>
    <w:p>
      <w:pPr>
        <w:spacing w:after="0" w:line="365" w:lineRule="exact"/>
        <w:rPr>
          <w:sz w:val="20"/>
          <w:szCs w:val="20"/>
          <w:color w:val="auto"/>
        </w:rPr>
      </w:pPr>
    </w:p>
    <w:p>
      <w:pPr>
        <w:ind w:right="80" w:firstLine="399"/>
        <w:spacing w:after="0" w:line="256" w:lineRule="auto"/>
        <w:rPr>
          <w:sz w:val="20"/>
          <w:szCs w:val="20"/>
          <w:color w:val="auto"/>
        </w:rPr>
      </w:pPr>
      <w:r>
        <w:rPr>
          <w:rFonts w:ascii="Times New Roman" w:cs="Times New Roman" w:eastAsia="Times New Roman" w:hAnsi="Times New Roman"/>
          <w:sz w:val="20"/>
          <w:szCs w:val="20"/>
          <w:color w:val="auto"/>
        </w:rPr>
        <w:t>Our directors and executive officers have duties to our company under applicable Maryland law, and our executive officers and our directors who are also directors or officers of PINE also have duties to PINE under applicable Maryland law. Those duties may come in conflict from time to time. We have duties as the manager of PINE which may come in conflict with our duties to our stockholders from time to time. In addition, conflicts of interest may exist or could arise in the future with our duties to PINE as its manager in connection with future investment opportunities.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Loans and Investments</w:t>
      </w:r>
    </w:p>
    <w:p>
      <w:pPr>
        <w:spacing w:after="0" w:line="172" w:lineRule="exact"/>
        <w:rPr>
          <w:sz w:val="20"/>
          <w:szCs w:val="20"/>
          <w:color w:val="auto"/>
        </w:rPr>
      </w:pPr>
    </w:p>
    <w:p>
      <w:pPr>
        <w:ind w:right="20" w:firstLine="399"/>
        <w:spacing w:after="0" w:line="308" w:lineRule="auto"/>
        <w:rPr>
          <w:sz w:val="20"/>
          <w:szCs w:val="20"/>
          <w:color w:val="auto"/>
        </w:rPr>
      </w:pPr>
      <w:r>
        <w:rPr>
          <w:rFonts w:ascii="Times New Roman" w:cs="Times New Roman" w:eastAsia="Times New Roman" w:hAnsi="Times New Roman"/>
          <w:sz w:val="19"/>
          <w:szCs w:val="19"/>
          <w:b w:val="1"/>
          <w:bCs w:val="1"/>
          <w:i w:val="1"/>
          <w:iCs w:val="1"/>
          <w:color w:val="auto"/>
        </w:rPr>
        <w:t>A part of our investment strategy is focused on investing in commercial loans and investments which may involve credit risk or the risk that our borrowers will fail to pay scheduled contractual payments to us when due.</w:t>
      </w:r>
    </w:p>
    <w:p>
      <w:pPr>
        <w:spacing w:after="0" w:line="77"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As part of our business strategy, we have invested in commercial loans secured by real estate and may in the future invest in other commercial loans or similar financings secured by real estate. Investments in commercial loans or similar financings of real estate involve credit risk with regard to the borrower, the borrower’s operations and the real estate that secures the financing. The credit risks include, but are not limited to, the ability of the borrower to execute their business plan and strategy, the ability of the borrower to sustain and/or improve the operating results generated by the collateral property, the ability of the borrower to continue as a going concern, and the risk associated with the market or industry in which the collateral property is utilized. Our evaluation of the investment opportunity in a mortgage loan or similar financing includes these elements of credit risk as well as other underwriting criteria and factors. Further, we may rely on third party resources to assist us in our investment evaluation process and otherwise in conducting customary due diligence. Our underwriting of the investment or our estimates of credit risk may not prove to be accurate, as actual results may vary from our estimates. In the event we underestimate the</w:t>
      </w:r>
    </w:p>
    <w:p>
      <w:pPr>
        <w:sectPr>
          <w:pgSz w:w="11880" w:h="15480" w:orient="portrait"/>
          <w:cols w:equalWidth="0" w:num="1">
            <w:col w:w="9100"/>
          </w:cols>
          <w:pgMar w:left="1400" w:top="1025" w:right="1380" w:bottom="70" w:gutter="0" w:footer="0" w:header="0"/>
        </w:sect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100"/>
          </w:cols>
          <w:pgMar w:left="1400" w:top="1025" w:right="1380" w:bottom="70" w:gutter="0" w:footer="0" w:header="0"/>
          <w:type w:val="continuous"/>
        </w:sectPr>
      </w:pPr>
    </w:p>
    <w:bookmarkStart w:id="27" w:name="page28"/>
    <w:bookmarkEnd w:id="27"/>
    <w:p>
      <w:pPr>
        <w:ind w:right="520"/>
        <w:spacing w:after="0" w:line="262" w:lineRule="auto"/>
        <w:rPr>
          <w:sz w:val="20"/>
          <w:szCs w:val="20"/>
          <w:color w:val="auto"/>
        </w:rPr>
      </w:pPr>
      <w:r>
        <w:rPr>
          <w:rFonts w:ascii="Times New Roman" w:cs="Times New Roman" w:eastAsia="Times New Roman" w:hAnsi="Times New Roman"/>
          <w:sz w:val="20"/>
          <w:szCs w:val="20"/>
          <w:color w:val="auto"/>
        </w:rPr>
        <w:t>performance of the borrower and/or the underlying real estate which secures our commercial loan or financing, we may experience losses or unanticipated costs regarding our investment and our financial condition, results of operations, and cash flows may be adversely impacted.</w:t>
      </w:r>
    </w:p>
    <w:p>
      <w:pPr>
        <w:spacing w:after="0" w:line="104" w:lineRule="exact"/>
        <w:rPr>
          <w:sz w:val="20"/>
          <w:szCs w:val="20"/>
          <w:color w:val="auto"/>
        </w:rPr>
      </w:pPr>
    </w:p>
    <w:p>
      <w:pPr>
        <w:ind w:right="70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commercial loans and investments segment is also exposed to risks associated with real estate investments generally.</w:t>
      </w:r>
    </w:p>
    <w:p>
      <w:pPr>
        <w:spacing w:after="0" w:line="89"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Any deterioration of real estate fundamentals generally, and in the United States in particular, could negatively impact the performance of our commercial loans and investments segment by making it more difficult for borrowers to satisfy their debt payment obligations, increasing the default risk applicable to borrowers and making it relatively more difficult for us to generate attractive risk-adjusted returns in our commercial loans and investments segment. Real estate investments are subject to various risks, including the risks described elsewhere in this Form 10-K with respect to the properties that we own directly. Our borrowers may be impacted by these same risks, which may make it more difficult for them to satisfy their debt payment obligations to us.</w:t>
      </w:r>
    </w:p>
    <w:p>
      <w:pPr>
        <w:spacing w:after="0" w:line="3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Our origination or acquisition of construction loans exposes us to an increased risk of loss.</w:t>
      </w:r>
    </w:p>
    <w:p>
      <w:pPr>
        <w:spacing w:after="0" w:line="154" w:lineRule="exact"/>
        <w:rPr>
          <w:sz w:val="20"/>
          <w:szCs w:val="20"/>
          <w:color w:val="auto"/>
        </w:rPr>
      </w:pPr>
    </w:p>
    <w:p>
      <w:pPr>
        <w:ind w:right="40" w:firstLine="399"/>
        <w:spacing w:after="0" w:line="249" w:lineRule="auto"/>
        <w:rPr>
          <w:sz w:val="20"/>
          <w:szCs w:val="20"/>
          <w:color w:val="auto"/>
        </w:rPr>
      </w:pPr>
      <w:r>
        <w:rPr>
          <w:rFonts w:ascii="Times New Roman" w:cs="Times New Roman" w:eastAsia="Times New Roman" w:hAnsi="Times New Roman"/>
          <w:sz w:val="20"/>
          <w:szCs w:val="20"/>
          <w:color w:val="auto"/>
        </w:rPr>
        <w:t>We have originated, and may in the future, originate or acquire additional construction loans.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construction from other sources; a borrower claim against us for failure to perform under the loan documents; increased costs to the borrower that the borrower is unable to pay; a bankruptcy filing by the borrower; and abandonment by the borrower of the collateral for the loan. A borrower default on a construction loan where the property has not achieved completion poses a greater risk than a conventional loan, as completion would be required before the property is able to generate revenue. The process of foreclosing on a property is time-consuming, and we may incur significant expense if we foreclose on a property securing a loan under these or other circumstances.</w:t>
      </w:r>
    </w:p>
    <w:p>
      <w:pPr>
        <w:spacing w:after="0" w:line="116" w:lineRule="exact"/>
        <w:rPr>
          <w:sz w:val="20"/>
          <w:szCs w:val="20"/>
          <w:color w:val="auto"/>
        </w:rPr>
      </w:pPr>
    </w:p>
    <w:p>
      <w:pPr>
        <w:ind w:right="80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investments in construction loans require us to make estimates about the fair value of land improvements that may be challenged by the Internal Revenue Service (“IRS”).</w:t>
      </w:r>
    </w:p>
    <w:p>
      <w:pPr>
        <w:spacing w:after="0" w:line="89"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We have originated and may in the future originate or acquire additional construction loans, the interest from which will be qualifying income for purposes of the 75% and 95% gross income tests applicable to REITs, provided that the loan value of the real property securing the construction loan is equal to or greater than the highest outstanding principal amount of the construction loan during any taxable year. For purposes of construction loans, the loan value of the real property is the fair value of the land plus the reasonably estimated cost of the improvements or developments (other than personal property) that will secure the loan and that are to be constructed from the proceeds of the loan. There can be no assurance that the IRS would not challenge our estimate of the loan value of the real property.</w:t>
      </w:r>
    </w:p>
    <w:p>
      <w:pPr>
        <w:spacing w:after="0" w:line="118" w:lineRule="exact"/>
        <w:rPr>
          <w:sz w:val="20"/>
          <w:szCs w:val="20"/>
          <w:color w:val="auto"/>
        </w:rPr>
      </w:pPr>
    </w:p>
    <w:p>
      <w:pPr>
        <w:ind w:right="2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Because of competition, we may not be able to originate or acquire commercial loans or similar financings at all or at favorable yields.</w:t>
      </w:r>
    </w:p>
    <w:p>
      <w:pPr>
        <w:spacing w:after="0" w:line="89"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When we seek to invest in commercial loans or similar financings secured by underlying real estate, we may not be able to originate or acquire such loan investments at favorable spreads over our borrowing costs. We compete with many other investment groups including other REITs, public and private investment funds, life insurance companies, commercial and investment banks and commercial finance companies, including some of the third parties with which we have, or expect to have, relationships. In many instances, the competition has greater financial capacity, are larger organizations and has a greater operating presence in the market. As a result, we may not be able to originate or acquire commercial loans or similar financings in the future at all or at favorable spreads over our borrowing costs, which could adversely impact our results of operations and cash flows.</w:t>
      </w:r>
    </w:p>
    <w:p>
      <w:pPr>
        <w:spacing w:after="0" w:line="112" w:lineRule="exact"/>
        <w:rPr>
          <w:sz w:val="20"/>
          <w:szCs w:val="20"/>
          <w:color w:val="auto"/>
        </w:rPr>
      </w:pPr>
    </w:p>
    <w:p>
      <w:pPr>
        <w:ind w:right="22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Debt and preferred equity investments could cause us to incur expenses, which could adversely affect our results of operations.</w:t>
      </w:r>
    </w:p>
    <w:p>
      <w:pPr>
        <w:spacing w:after="0" w:line="87" w:lineRule="exact"/>
        <w:rPr>
          <w:sz w:val="20"/>
          <w:szCs w:val="20"/>
          <w:color w:val="auto"/>
        </w:rPr>
      </w:pPr>
    </w:p>
    <w:p>
      <w:pPr>
        <w:ind w:right="360" w:firstLine="399"/>
        <w:spacing w:after="0" w:line="279" w:lineRule="auto"/>
        <w:rPr>
          <w:sz w:val="20"/>
          <w:szCs w:val="20"/>
          <w:color w:val="auto"/>
        </w:rPr>
      </w:pPr>
      <w:r>
        <w:rPr>
          <w:rFonts w:ascii="Times New Roman" w:cs="Times New Roman" w:eastAsia="Times New Roman" w:hAnsi="Times New Roman"/>
          <w:sz w:val="20"/>
          <w:szCs w:val="20"/>
          <w:color w:val="auto"/>
        </w:rPr>
        <w:t>We have in the past, currently and will own in the future, investments in first mortgages, mezzanine loans, junior participations and preferred equity interests. Such investments may or may not be recourse</w:t>
      </w:r>
    </w:p>
    <w:p>
      <w:pPr>
        <w:sectPr>
          <w:pgSz w:w="11880" w:h="15480" w:orient="portrait"/>
          <w:cols w:equalWidth="0" w:num="1">
            <w:col w:w="9100"/>
          </w:cols>
          <w:pgMar w:left="1400" w:top="1025" w:right="1380" w:bottom="71"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100"/>
          </w:cols>
          <w:pgMar w:left="1400" w:top="1025" w:right="1380" w:bottom="71" w:gutter="0" w:footer="0" w:header="0"/>
          <w:type w:val="continuous"/>
        </w:sectPr>
      </w:pPr>
    </w:p>
    <w:bookmarkStart w:id="28" w:name="page29"/>
    <w:bookmarkEnd w:id="28"/>
    <w:p>
      <w:pPr>
        <w:spacing w:after="0" w:line="247" w:lineRule="auto"/>
        <w:rPr>
          <w:sz w:val="20"/>
          <w:szCs w:val="20"/>
          <w:color w:val="auto"/>
        </w:rPr>
      </w:pPr>
      <w:r>
        <w:rPr>
          <w:rFonts w:ascii="Times New Roman" w:cs="Times New Roman" w:eastAsia="Times New Roman" w:hAnsi="Times New Roman"/>
          <w:sz w:val="20"/>
          <w:szCs w:val="20"/>
          <w:color w:val="auto"/>
        </w:rPr>
        <w:t>obligations of the borrower and are not insured or guaranteed by governmental agencies or otherwise. In the event of a default under these obligations, we may have to take possession of the collateral securing these interests including through foreclosure proceedings. Borrowers may contest enforcement of foreclosure or our other remedies and may seek bankruptcy protection to potentially block our actions to enforce their obligations to us. Relatively high loan-to-value ratios and declines in the value of the underlying collateral property may prevent us from realizing an amount equal to our investment upon foreclosure or realization even if we make substantial improvements or repairs to the underlying real estate to maximize such property’s investment potential. Although we have maintained and regularly evaluate financial reserves to properly accrue for potential future losses, our reserves would reflect management’s judgment of the probability and severity of losses and the value of the underlying collateral. We cannot be certain that our judgment will prove to be correct and that our reserves, if any, will be adequate over time to protect against future losses due to unanticipated adverse changes in the economy or events adversely affecting specific properties, assets, tenants, borrowers, industries in which our tenants and borrowers operate or markets in which our tenants and borrowers, or their properties are located. If we are unable to enforce our contractual rights, including but not limited to, taking possession of the collateral property in a foreclosure circumstance, or our reserves for credit losses prove inadequate, we could suffer losses which would have a material adverse effect on our financial condition, results of operations, and cash flows.</w:t>
      </w:r>
    </w:p>
    <w:p>
      <w:pPr>
        <w:spacing w:after="0" w:line="377" w:lineRule="exact"/>
        <w:rPr>
          <w:sz w:val="20"/>
          <w:szCs w:val="20"/>
          <w:color w:val="auto"/>
        </w:rPr>
      </w:pPr>
    </w:p>
    <w:p>
      <w:pPr>
        <w:ind w:right="12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mezzanine loan assets that we may acquire will involve greater risks of loss than senior loans secured by income-producing properties.</w:t>
      </w:r>
    </w:p>
    <w:p>
      <w:pPr>
        <w:spacing w:after="0" w:line="99" w:lineRule="exact"/>
        <w:rPr>
          <w:sz w:val="20"/>
          <w:szCs w:val="20"/>
          <w:color w:val="auto"/>
        </w:rPr>
      </w:pPr>
    </w:p>
    <w:p>
      <w:pPr>
        <w:ind w:right="40" w:firstLine="399"/>
        <w:spacing w:after="0" w:line="250" w:lineRule="auto"/>
        <w:rPr>
          <w:sz w:val="20"/>
          <w:szCs w:val="20"/>
          <w:color w:val="auto"/>
        </w:rPr>
      </w:pPr>
      <w:r>
        <w:rPr>
          <w:rFonts w:ascii="Times New Roman" w:cs="Times New Roman" w:eastAsia="Times New Roman" w:hAnsi="Times New Roman"/>
          <w:sz w:val="20"/>
          <w:szCs w:val="20"/>
          <w:color w:val="auto"/>
        </w:rPr>
        <w:t>We may acquire mezzanine loans, which generally take the form of subordinated loans secured by the underlying property or loans secured by a pledge of the ownership interests of either the entity owning the property or a pledge of the ownership interests of the entity that owns the interest in the entity owning the property. These types of assets involve a higher degree of risk than senior mortgage lending secured by income-producing real property, because the loan may become unsecured as a result of foreclosure by the senior lender. In the event of a bankruptcy of the entity providing the pledge of its ownership interests as security, we may not have full recourse to the assets of such entity, or the assets of the entity may not be sufficient to satisfy our mezzanine loan. If a borrower defaults on our mezzanine loan or the debt that is senior to our loan, or in the event of a borrower bankruptcy, our mezzanine loan will only be satisfied after the senior debt has been satisfied. As a result, we may not recover some or all of our initial investment. In addition, mezzanine loans may have higher loan-to-value ratios than conventional mortgage loans, resulting in less equity in the property and increasing the risk of loss of principal. Significant losses related to our mezzanine loans would result in operating losses for us and could adversely impact our financial condition and cash flows.</w:t>
      </w:r>
    </w:p>
    <w:p>
      <w:pPr>
        <w:spacing w:after="0" w:line="371" w:lineRule="exact"/>
        <w:rPr>
          <w:sz w:val="20"/>
          <w:szCs w:val="20"/>
          <w:color w:val="auto"/>
        </w:rPr>
      </w:pPr>
    </w:p>
    <w:p>
      <w:pPr>
        <w:ind w:right="60" w:firstLine="399"/>
        <w:spacing w:after="0" w:line="306" w:lineRule="auto"/>
        <w:rPr>
          <w:sz w:val="20"/>
          <w:szCs w:val="20"/>
          <w:color w:val="auto"/>
        </w:rPr>
      </w:pPr>
      <w:r>
        <w:rPr>
          <w:rFonts w:ascii="Times New Roman" w:cs="Times New Roman" w:eastAsia="Times New Roman" w:hAnsi="Times New Roman"/>
          <w:sz w:val="19"/>
          <w:szCs w:val="19"/>
          <w:b w:val="1"/>
          <w:bCs w:val="1"/>
          <w:i w:val="1"/>
          <w:iCs w:val="1"/>
          <w:color w:val="auto"/>
        </w:rPr>
        <w:t>We invest in fixed-rate loan investments, and an increase in interest rates may adversely affect the value of these investments, which could adversely impact our financial condition, results of operations and cash flows.</w:t>
      </w:r>
    </w:p>
    <w:p>
      <w:pPr>
        <w:spacing w:after="0" w:line="77"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Increases in interest rates may negatively affect the market value of our investments, particularly the fixed-rate commercial loans and other financings we have invested in. Generally, any fixed-rate commercial loans or other financings will be more negatively affected by rising interest rates than adjustable-rate assets. We are required to reduce the book value of our investments by the amount of any decrease in their fair value. Reductions in the fair value of our investments could decrease the amounts we may borrow to purchase additional commercial loans or similar financing investments, which could impact our ability to increase our operating results and cash flows. Furthermore, if our borrowing costs are rising while our interest income is fixed for the fixed-rate investments, the spread between our borrowing costs and the fixed-rate we earn on the commercial loans or similar financing investments will contract or could become negative which would adversely impact our financial condition, results of operations, and cash flows.</w:t>
      </w:r>
    </w:p>
    <w:p>
      <w:pPr>
        <w:spacing w:after="0" w:line="130" w:lineRule="exact"/>
        <w:rPr>
          <w:sz w:val="20"/>
          <w:szCs w:val="20"/>
          <w:color w:val="auto"/>
        </w:rPr>
      </w:pPr>
    </w:p>
    <w:p>
      <w:pPr>
        <w:ind w:right="140" w:firstLine="399"/>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commercial loans or similar investments we have acquired and may acquire in the future that are secured by real estate typically depend on the ability of the property owner to generate income from operating the property. Failure to do so may result in delinquency and/or foreclosure.</w:t>
      </w:r>
    </w:p>
    <w:p>
      <w:pPr>
        <w:spacing w:after="0" w:line="115"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Commercial loans are secured by property and are subject to risks of delinquency and foreclosure and therefore risk of loss.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w:t>
      </w:r>
    </w:p>
    <w:p>
      <w:pPr>
        <w:sectPr>
          <w:pgSz w:w="11880" w:h="15480" w:orient="portrait"/>
          <w:cols w:equalWidth="0" w:num="1">
            <w:col w:w="9100"/>
          </w:cols>
          <w:pgMar w:left="1400" w:top="1025" w:right="1380" w:bottom="71" w:gutter="0" w:footer="0" w:header="0"/>
        </w:sect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100"/>
          </w:cols>
          <w:pgMar w:left="1400" w:top="1025" w:right="1380" w:bottom="71" w:gutter="0" w:footer="0" w:header="0"/>
          <w:type w:val="continuous"/>
        </w:sectPr>
      </w:pPr>
    </w:p>
    <w:bookmarkStart w:id="29" w:name="page30"/>
    <w:bookmarkEnd w:id="29"/>
    <w:p>
      <w:pPr>
        <w:spacing w:after="0" w:line="248" w:lineRule="auto"/>
        <w:rPr>
          <w:sz w:val="20"/>
          <w:szCs w:val="20"/>
          <w:color w:val="auto"/>
        </w:rPr>
      </w:pPr>
      <w:r>
        <w:rPr>
          <w:rFonts w:ascii="Times New Roman" w:cs="Times New Roman" w:eastAsia="Times New Roman" w:hAnsi="Times New Roman"/>
          <w:sz w:val="20"/>
          <w:szCs w:val="20"/>
          <w:color w:val="auto"/>
        </w:rPr>
        <w:t>the borrower’s ability to repay the loan may be impaired. In the event of any default under a commercial loan held directly by us, we will bear a risk of loss of principal to the extent of any deficiency between the value of the collateral and the principal and accrued interest of the commercial loan, which could have a material adverse effect on our financial condition, operating results and cash flows. In the event of the bankruptcy of a commercial loan borrower, the mortgage loan to such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Foreclosure of a loan can be an expensive and lengthy process, which could have a substantial negative effect on our anticipated return on the foreclosed commercial loan. If the borrower is unable to repay a mortgage loan or similar financing, our inability to foreclose on the asset in a timely manner, and/or our inability to obtain value from reselling or otherwise disposing of the asset for an amount equal to our investment basis, would adversely impact our financial condition, results of operations, and cash flows.</w:t>
      </w:r>
    </w:p>
    <w:p>
      <w:pPr>
        <w:spacing w:after="0" w:line="132" w:lineRule="exact"/>
        <w:rPr>
          <w:sz w:val="20"/>
          <w:szCs w:val="20"/>
          <w:color w:val="auto"/>
        </w:rPr>
      </w:pPr>
    </w:p>
    <w:p>
      <w:pPr>
        <w:ind w:right="200" w:firstLine="399"/>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The activities or actions of a third-party servicer engaged to service our investment in a commercial loan or similar debt financing could adversely impact the value of our investment or our results of operations and cash flows.</w:t>
      </w:r>
    </w:p>
    <w:p>
      <w:pPr>
        <w:spacing w:after="0" w:line="115" w:lineRule="exact"/>
        <w:rPr>
          <w:sz w:val="20"/>
          <w:szCs w:val="20"/>
          <w:color w:val="auto"/>
        </w:rPr>
      </w:pPr>
    </w:p>
    <w:p>
      <w:pPr>
        <w:ind w:right="60" w:firstLine="399"/>
        <w:spacing w:after="0" w:line="253" w:lineRule="auto"/>
        <w:rPr>
          <w:sz w:val="20"/>
          <w:szCs w:val="20"/>
          <w:color w:val="auto"/>
        </w:rPr>
      </w:pPr>
      <w:r>
        <w:rPr>
          <w:rFonts w:ascii="Times New Roman" w:cs="Times New Roman" w:eastAsia="Times New Roman" w:hAnsi="Times New Roman"/>
          <w:sz w:val="20"/>
          <w:szCs w:val="20"/>
          <w:color w:val="auto"/>
        </w:rPr>
        <w:t>Any future investments in first mortgages, mezzanine loans or other debt financings secured by real estate may require a third-party servicer to service the loan on our behalf and/or on behalf of third parties who have invested in some portion of the debt financing. An intended or unintended breach by the servicer with regard to their servicing of the debt financing or in their contractual obligations and fiduciary duties to us or the other holders of the debt financing could adversely impact the value of our investment or our results of operations and cash flows.</w:t>
      </w:r>
    </w:p>
    <w:p>
      <w:pPr>
        <w:spacing w:after="0" w:line="125" w:lineRule="exact"/>
        <w:rPr>
          <w:sz w:val="20"/>
          <w:szCs w:val="20"/>
          <w:color w:val="auto"/>
        </w:rPr>
      </w:pPr>
    </w:p>
    <w:p>
      <w:pPr>
        <w:ind w:right="160" w:firstLine="399"/>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may suffer losses when a borrower defaults on a loan and the value of the underlying collateral is less than the amount due.</w:t>
      </w:r>
    </w:p>
    <w:p>
      <w:pPr>
        <w:spacing w:after="0" w:line="99"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If a borrower defaults on a non-recourse loan, we will only have recourse to the real estate-related assets collateralizing the loan. If the underlying collateral value is less than the loan amount, we will suffer a loss. Conversely, commercial loans we invest in may be unsecured or be secured only by equity interests in the borrowing entities. These loans are subject to the risk that other lenders in the capital stack may be directly secured by the real estate assets of the borrower or may otherwise have a superior right to repayment. Upon a default, those collateralized lenders would have priority over us with respect to the proceeds of a sale of the underlying real estate. In such cases, we may lack control over the underlying asset collateralizing our loan or the underlying assets of the borrower before a default and, as a result, the value of the collateral may be reduced by acts or omissions by owners or managers of the assets. In addition, the value of the underlying real estate may be adversely affected by some or all of the risks referenced above that pertain to the income-producing properties that we own.</w:t>
      </w:r>
    </w:p>
    <w:p>
      <w:pPr>
        <w:spacing w:after="0" w:line="126"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Commercial loans we may invest in may be backed by individual or corporate guarantees from borrowers or their affiliates which guarantees are not secured. If the guarantees are not fully or partially secured, we typically rely on financial covenants from borrowers and guarantors which are designed to require the borrower or guarantor to maintain certain levels of creditworthiness. Should we not have recourse to specific collateral pledged to satisfy such guarantees or recourse loans, we will have recourse as an unsecured creditor only to the general assets of the borrower or guarantor, some or all of which may be pledged as collateral for other lenders. There can be no assurance that a borrower or guarantor will comply with its financial covenants, or that sufficient assets will be available to pay amounts owed to us under our loans and guarantees. Because of these factors, we may suffer additional losses which could have a material adverse effect on our financial condition, operating results and cash flows.</w:t>
      </w:r>
    </w:p>
    <w:p>
      <w:pPr>
        <w:spacing w:after="0" w:line="129"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Upon a borrower bankruptcy, we may not have full recourse to the assets of the borrower to satisfy our loan. Additionally, in some instances, our loans may be subordinate to other debt of certain borrowers. If a borrower defaults on our loan or on debt senior to our loan, or a borrower files for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Bankruptcy and borrower litigation can significantly increase collection costs and</w:t>
      </w:r>
    </w:p>
    <w:p>
      <w:pPr>
        <w:sectPr>
          <w:pgSz w:w="11880" w:h="15480" w:orient="portrait"/>
          <w:cols w:equalWidth="0" w:num="1">
            <w:col w:w="9100"/>
          </w:cols>
          <w:pgMar w:left="1400" w:top="1025" w:right="1380" w:bottom="71" w:gutter="0" w:footer="0" w:header="0"/>
        </w:sect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100"/>
          </w:cols>
          <w:pgMar w:left="1400" w:top="1025" w:right="1380" w:bottom="71" w:gutter="0" w:footer="0" w:header="0"/>
          <w:type w:val="continuous"/>
        </w:sectPr>
      </w:pPr>
    </w:p>
    <w:bookmarkStart w:id="30" w:name="page31"/>
    <w:bookmarkEnd w:id="30"/>
    <w:p>
      <w:pPr>
        <w:ind w:right="40"/>
        <w:spacing w:after="0" w:line="288" w:lineRule="auto"/>
        <w:rPr>
          <w:sz w:val="20"/>
          <w:szCs w:val="20"/>
          <w:color w:val="auto"/>
        </w:rPr>
      </w:pPr>
      <w:r>
        <w:rPr>
          <w:rFonts w:ascii="Times New Roman" w:cs="Times New Roman" w:eastAsia="Times New Roman" w:hAnsi="Times New Roman"/>
          <w:sz w:val="20"/>
          <w:szCs w:val="20"/>
          <w:color w:val="auto"/>
        </w:rPr>
        <w:t>the time needed for us to acquire title to the underlying collateral (if applicable), during which time the collateral and/or a borrower’s financial condition may decline in value, causing us to suffer additional losses.</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If the value of collateral underlying a loan declines, or interest rates increase during the term of a loan,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borrower may not be able to obtain the necessary funds to repay our loan at maturity through refinancing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because the underlying property revenue cannot satisfy the debt service coverage requirements necessary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obtain new financing. If a borrower is unable to repay our loan at maturity, we could suffer additional loss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may adversely impact our financial condition, operating results and cash flows.</w:t>
      </w:r>
    </w:p>
    <w:p>
      <w:pPr>
        <w:spacing w:after="0" w:line="173" w:lineRule="exact"/>
        <w:rPr>
          <w:sz w:val="20"/>
          <w:szCs w:val="20"/>
          <w:color w:val="auto"/>
        </w:rPr>
      </w:pPr>
    </w:p>
    <w:p>
      <w:pPr>
        <w:ind w:right="240" w:firstLine="399"/>
        <w:spacing w:after="0" w:line="288" w:lineRule="auto"/>
        <w:rPr>
          <w:sz w:val="20"/>
          <w:szCs w:val="20"/>
          <w:color w:val="auto"/>
        </w:rPr>
      </w:pPr>
      <w:r>
        <w:rPr>
          <w:rFonts w:ascii="Times New Roman" w:cs="Times New Roman" w:eastAsia="Times New Roman" w:hAnsi="Times New Roman"/>
          <w:sz w:val="20"/>
          <w:szCs w:val="20"/>
          <w:color w:val="auto"/>
        </w:rPr>
        <w:t>As a result of any of the above factors or events, the losses we may suffer could adversely impact our financial condition, results of operations and cash flows.</w:t>
      </w:r>
    </w:p>
    <w:p>
      <w:pPr>
        <w:spacing w:after="0" w:line="95" w:lineRule="exact"/>
        <w:rPr>
          <w:sz w:val="20"/>
          <w:szCs w:val="20"/>
          <w:color w:val="auto"/>
        </w:rPr>
      </w:pPr>
    </w:p>
    <w:p>
      <w:pPr>
        <w:ind w:right="380" w:firstLine="399"/>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We could fail to continue to qualify as a REIT if the IRS successfully challenges our treatment of any mezzanine loans in which we invest.</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may, in the future, originate or acquire mezzanine loans, which are loans secured by equity interests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an entity that directly or indirectly owns real property, rather than by a direct mortgage of the real property.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Revenue Procedure 2003-65, the IRS established a safe harbor under which loans secured by a first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security interest in ownership interests in a partnership or limited liability company owning real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will be treated as real estate assets for purposes of the REIT asset tests, and interest derived from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those loans will be treated as qualifying income for both the 75% and 95% gross income tests, provided several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requirements are satisfied. Although Revenue Procedure 2003-65 provides a safe harbor on which taxpayers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rely, it does not prescribe rules of substantive tax law. Moreover, our mezzanine loans may not meet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of the requirements for reliance on the safe harbor. Consequently, there can be no assurance that the IRS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not challenge our treatment of such loans as qualifying real estate assets, which could adversely affect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ability to continue to qualify as a REIT.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Investments</w:t>
      </w:r>
    </w:p>
    <w:p>
      <w:pPr>
        <w:spacing w:after="0" w:line="172"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Investments in securities of companies operating in the real estate industry, including debt and equity instruments such as corporate bonds, preferred or common stock, or convertible instruments could cause us to incur losses or other expenses which could adversely affect our financial position, results of operations, and cash flows.</w:t>
      </w:r>
    </w:p>
    <w:p>
      <w:pPr>
        <w:spacing w:after="0" w:line="121"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We currently own, and may own in the future, investments in corporate securities of companies operating in the real estate industry including debt and equity instruments such as corporate bonds, preferred or common stock, or convertible instruments. Certain of these investments may be traded on an exchange or other active market whereby the price of the underlying instrument is quoted daily and those quoted prices and thus the market value of the instrument varies during a given trading day. Certain of these investments may be traded on an exchange or market that is not deemed an active market but where the price of the investment fluctuates daily or otherwise. Adverse fluctuations in the value of these investments, whether market-generated or not, are reflected as unrealized losses on our balance sheet. We may choose to or be required to liquidate these investments in whole or in part and at prices that result in realized losses on our investment. Should we incur realized losses on liquidating these investments, our financial position, results of operations and cash flows would be adversely impacted.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2" w:lineRule="exact"/>
        <w:rPr>
          <w:sz w:val="20"/>
          <w:szCs w:val="20"/>
          <w:color w:val="auto"/>
        </w:rPr>
      </w:pPr>
    </w:p>
    <w:p>
      <w:pPr>
        <w:ind w:right="20" w:firstLine="399"/>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 number of risks inherent with the real estate industry and in the ownership of real estate assets or investment in financings secured by real estate, which may adversely affect our returns from our investments, our financial condition, results of operations and cash flows.</w:t>
      </w:r>
    </w:p>
    <w:p>
      <w:pPr>
        <w:spacing w:after="0" w:line="116" w:lineRule="exact"/>
        <w:rPr>
          <w:sz w:val="20"/>
          <w:szCs w:val="20"/>
          <w:color w:val="auto"/>
        </w:rPr>
      </w:pPr>
    </w:p>
    <w:p>
      <w:pPr>
        <w:jc w:val="both"/>
        <w:ind w:right="40" w:firstLine="399"/>
        <w:spacing w:after="0" w:line="269" w:lineRule="auto"/>
        <w:rPr>
          <w:sz w:val="20"/>
          <w:szCs w:val="20"/>
          <w:color w:val="auto"/>
        </w:rPr>
      </w:pPr>
      <w:r>
        <w:rPr>
          <w:rFonts w:ascii="Times New Roman" w:cs="Times New Roman" w:eastAsia="Times New Roman" w:hAnsi="Times New Roman"/>
          <w:sz w:val="20"/>
          <w:szCs w:val="20"/>
          <w:color w:val="auto"/>
        </w:rPr>
        <w:t>Factors beyond our control can affect the performance and value of our real estate assets including our income properties, and investments in commercial loans or similar financings secured by real estate or other investments. Real estate assets are subject to various risks, including but not limited to the following:</w:t>
      </w:r>
    </w:p>
    <w:p>
      <w:pPr>
        <w:spacing w:after="0" w:line="71" w:lineRule="exact"/>
        <w:rPr>
          <w:sz w:val="20"/>
          <w:szCs w:val="20"/>
          <w:color w:val="auto"/>
        </w:rPr>
      </w:pPr>
    </w:p>
    <w:p>
      <w:pPr>
        <w:ind w:left="580" w:right="780" w:hanging="191"/>
        <w:spacing w:after="0" w:line="286" w:lineRule="auto"/>
        <w:tabs>
          <w:tab w:leader="none" w:pos="5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national, regional, and local economic and market conditions where our properties or the properties underlying a loan investment are located;</w:t>
      </w:r>
    </w:p>
    <w:p>
      <w:pPr>
        <w:sectPr>
          <w:pgSz w:w="11880" w:h="15480" w:orient="portrait"/>
          <w:cols w:equalWidth="0" w:num="1">
            <w:col w:w="9100"/>
          </w:cols>
          <w:pgMar w:left="1400" w:top="1025" w:right="1380" w:bottom="69" w:gutter="0" w:footer="0" w:header="0"/>
        </w:sect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100"/>
          </w:cols>
          <w:pgMar w:left="1400" w:top="1025" w:right="1380" w:bottom="69" w:gutter="0" w:footer="0" w:header="0"/>
          <w:type w:val="continuous"/>
        </w:sectPr>
      </w:pPr>
    </w:p>
    <w:bookmarkStart w:id="31" w:name="page32"/>
    <w:bookmarkEnd w:id="31"/>
    <w:p>
      <w:pPr>
        <w:ind w:left="580" w:right="60" w:hanging="191"/>
        <w:spacing w:after="0" w:line="262" w:lineRule="auto"/>
        <w:tabs>
          <w:tab w:leader="none" w:pos="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from other real estate companies similar to ours and competition for tenants, including competition based on rental rates, age and location of the property and the quality of maintenance, insurance, and management services;</w:t>
      </w:r>
    </w:p>
    <w:p>
      <w:pPr>
        <w:spacing w:after="0" w:line="59" w:lineRule="exact"/>
        <w:rPr>
          <w:rFonts w:ascii="Times New Roman" w:cs="Times New Roman" w:eastAsia="Times New Roman" w:hAnsi="Times New Roman"/>
          <w:sz w:val="20"/>
          <w:szCs w:val="20"/>
          <w:color w:val="auto"/>
        </w:rPr>
      </w:pPr>
    </w:p>
    <w:p>
      <w:pPr>
        <w:ind w:left="580" w:right="680" w:hanging="191"/>
        <w:spacing w:after="0" w:line="279" w:lineRule="auto"/>
        <w:tabs>
          <w:tab w:leader="none" w:pos="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tenant preferences that reduce the attractiveness and marketability of our income properties to tenants or decreases in market rental rates;</w:t>
      </w:r>
    </w:p>
    <w:p>
      <w:pPr>
        <w:spacing w:after="0" w:line="42" w:lineRule="exact"/>
        <w:rPr>
          <w:rFonts w:ascii="Times New Roman" w:cs="Times New Roman" w:eastAsia="Times New Roman" w:hAnsi="Times New Roman"/>
          <w:sz w:val="20"/>
          <w:szCs w:val="20"/>
          <w:color w:val="auto"/>
        </w:rPr>
      </w:pPr>
    </w:p>
    <w:p>
      <w:pPr>
        <w:ind w:left="580" w:right="200" w:hanging="191"/>
        <w:spacing w:after="0" w:line="279" w:lineRule="auto"/>
        <w:tabs>
          <w:tab w:leader="none" w:pos="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Zoning or other local regulatory restrictions, or other factors pertaining to the local government institutions which inhibit interest in the markets in which our income-producing assets are located;</w:t>
      </w:r>
    </w:p>
    <w:p>
      <w:pPr>
        <w:spacing w:after="0" w:line="42"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the need to periodically repair, renovate or re-lease our income properties;</w:t>
      </w:r>
    </w:p>
    <w:p>
      <w:pPr>
        <w:spacing w:after="0" w:line="111" w:lineRule="exact"/>
        <w:rPr>
          <w:rFonts w:ascii="Times New Roman" w:cs="Times New Roman" w:eastAsia="Times New Roman" w:hAnsi="Times New Roman"/>
          <w:sz w:val="20"/>
          <w:szCs w:val="20"/>
          <w:color w:val="auto"/>
        </w:rPr>
      </w:pPr>
    </w:p>
    <w:p>
      <w:pPr>
        <w:ind w:left="580" w:right="20" w:hanging="191"/>
        <w:spacing w:after="0" w:line="270" w:lineRule="auto"/>
        <w:tabs>
          <w:tab w:leader="none" w:pos="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of our operations, particularly maintenance, insurance, or real estate taxes which may occur even when circumstances such as market factors and competition cause a reduction in our revenues;</w:t>
      </w:r>
    </w:p>
    <w:p>
      <w:pPr>
        <w:spacing w:after="0" w:line="294" w:lineRule="exact"/>
        <w:rPr>
          <w:rFonts w:ascii="Times New Roman" w:cs="Times New Roman" w:eastAsia="Times New Roman" w:hAnsi="Times New Roman"/>
          <w:sz w:val="20"/>
          <w:szCs w:val="20"/>
          <w:color w:val="auto"/>
        </w:rPr>
      </w:pPr>
    </w:p>
    <w:p>
      <w:pPr>
        <w:ind w:left="580" w:right="120" w:hanging="191"/>
        <w:spacing w:after="0" w:line="279" w:lineRule="auto"/>
        <w:tabs>
          <w:tab w:leader="none" w:pos="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governmental laws and regulations, fiscal policies and zoning ordinances and the related costs of compliance with laws and regulations, fiscal policies, and ordinances;</w:t>
      </w:r>
    </w:p>
    <w:p>
      <w:pPr>
        <w:spacing w:after="0" w:line="42"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Commodities prices;</w:t>
      </w:r>
    </w:p>
    <w:p>
      <w:pPr>
        <w:spacing w:after="0" w:line="111" w:lineRule="exact"/>
        <w:rPr>
          <w:rFonts w:ascii="Times New Roman" w:cs="Times New Roman" w:eastAsia="Times New Roman" w:hAnsi="Times New Roman"/>
          <w:sz w:val="20"/>
          <w:szCs w:val="20"/>
          <w:color w:val="auto"/>
        </w:rPr>
      </w:pPr>
    </w:p>
    <w:p>
      <w:pPr>
        <w:ind w:left="580" w:right="360" w:hanging="191"/>
        <w:spacing w:after="0" w:line="279" w:lineRule="auto"/>
        <w:tabs>
          <w:tab w:leader="none" w:pos="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Illiquidity of real estate investments which may limit our ability to modify our income-producing asset portfolios promptly in response to changes in economic or other conditions;</w:t>
      </w:r>
    </w:p>
    <w:p>
      <w:pPr>
        <w:spacing w:after="0" w:line="42"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Acts of God, including natural disasters, which may result in uninsured losses; and</w:t>
      </w:r>
    </w:p>
    <w:p>
      <w:pPr>
        <w:spacing w:after="0" w:line="11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Acts of war or terrorism, including consequences of terrorist attacks.</w:t>
      </w:r>
    </w:p>
    <w:p>
      <w:pPr>
        <w:spacing w:after="0" w:line="143" w:lineRule="exact"/>
        <w:rPr>
          <w:sz w:val="20"/>
          <w:szCs w:val="20"/>
          <w:color w:val="auto"/>
        </w:rPr>
      </w:pPr>
    </w:p>
    <w:p>
      <w:pPr>
        <w:ind w:right="280" w:firstLine="399"/>
        <w:spacing w:after="0" w:line="279" w:lineRule="auto"/>
        <w:rPr>
          <w:sz w:val="20"/>
          <w:szCs w:val="20"/>
          <w:color w:val="auto"/>
        </w:rPr>
      </w:pPr>
      <w:r>
        <w:rPr>
          <w:rFonts w:ascii="Times New Roman" w:cs="Times New Roman" w:eastAsia="Times New Roman" w:hAnsi="Times New Roman"/>
          <w:sz w:val="20"/>
          <w:szCs w:val="20"/>
          <w:color w:val="auto"/>
        </w:rPr>
        <w:t>If any of these or similar events occurs, it may reduce our return from an affected real estate asset or investment which could adversely impact our financial condition, results of operations and cash flows.</w:t>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The Company’s real estate investments are generally illiquid.</w:t>
      </w:r>
    </w:p>
    <w:p>
      <w:pPr>
        <w:spacing w:after="0" w:line="164"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Real estate investments, including investments in income properties and investments in commercial loans or similar financings secured by real estate, are relatively illiquid; therefore, it may be difficult for us to sell such assets if the need or desire arises, and otherwise the Company’s ability to make rapid adjustments in the size and content of our income property portfolio or other real estate assets in response to economic or other conditions is limited. Illiquid assets typically experience greater price volatility, as a ready market does not exist, and can be more difficult to value. In addition, validating third party pricing for illiquid assets may be more subjective than more liquid assets. As a result, if we are required to quickly liquidate all or a portion of certain of our real estate assets or income-producing assets, we may realize significantly less than the value at which we have previously recorded our assets. Further, certain expenditures necessary to operate our income properties generally do not decrease and may in fact increase in response to weakening economic conditions or other market disruptions, which expenditures may include maintenance costs, insurance costs and, in some instances, interest expense. This relationship of revenue and expenditures may result, under certain market conditions, in declining operating results and reduced cash flows and thereby could have an adverse effect on the Company’s financial condition.</w:t>
      </w:r>
    </w:p>
    <w:p>
      <w:pPr>
        <w:spacing w:after="0" w:line="368" w:lineRule="exact"/>
        <w:rPr>
          <w:sz w:val="20"/>
          <w:szCs w:val="20"/>
          <w:color w:val="auto"/>
        </w:rPr>
      </w:pPr>
    </w:p>
    <w:p>
      <w:pPr>
        <w:ind w:right="8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experience a decline in the fair value of our real estate assets or investments which could result in impairments and would impact our financial condition and results of operations.</w:t>
      </w:r>
    </w:p>
    <w:p>
      <w:pPr>
        <w:spacing w:after="0" w:line="99" w:lineRule="exact"/>
        <w:rPr>
          <w:sz w:val="20"/>
          <w:szCs w:val="20"/>
          <w:color w:val="auto"/>
        </w:rPr>
      </w:pPr>
    </w:p>
    <w:p>
      <w:pPr>
        <w:ind w:right="20" w:firstLine="399"/>
        <w:spacing w:after="0" w:line="248" w:lineRule="auto"/>
        <w:rPr>
          <w:sz w:val="20"/>
          <w:szCs w:val="20"/>
          <w:color w:val="auto"/>
        </w:rPr>
      </w:pPr>
      <w:r>
        <w:rPr>
          <w:rFonts w:ascii="Times New Roman" w:cs="Times New Roman" w:eastAsia="Times New Roman" w:hAnsi="Times New Roman"/>
          <w:sz w:val="20"/>
          <w:szCs w:val="20"/>
          <w:color w:val="auto"/>
        </w:rPr>
        <w:t>A decline in the fair market value of our long-lived assets may require us to recognize an “other-than-temporary” impairment against such assets (as defined by the Financial Accounting Standards Board (“FASB”) authoritative accounting guidance) if certain conditions or circumstances related to an asset were to change and we were to determine that, with respect to any such asset, there was an unrealized loss to the fair value of the asset. The fair value of our long-lived assets depends on market conditions, including estimates of future demand for these assets, and the revenues that can be generated from such applicable assets. If such a determination were to be made, we would recognize the estimated unrealized losses through earnings and write down the depreciated or amortized cost of such assets to a new cost basis, based on the fair value of such assets on the date they are considered to be other-than-temporarily impaired. Such impairment charges reflect non-cash losses at the time of recognition; subsequent disposition or sale of such assets could further affect our future losses or gains, as they are based on the difference between the sales price received and the adjusted depreciated or amortized cost of such assets at the time of sale.</w:t>
      </w:r>
    </w:p>
    <w:p>
      <w:pPr>
        <w:sectPr>
          <w:pgSz w:w="11880" w:h="15480" w:orient="portrait"/>
          <w:cols w:equalWidth="0" w:num="1">
            <w:col w:w="9100"/>
          </w:cols>
          <w:pgMar w:left="1400" w:top="1025" w:right="1380" w:bottom="72" w:gutter="0" w:footer="0" w:header="0"/>
        </w:sect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100"/>
          </w:cols>
          <w:pgMar w:left="1400" w:top="1025" w:right="1380" w:bottom="72" w:gutter="0" w:footer="0" w:header="0"/>
          <w:type w:val="continuous"/>
        </w:sectPr>
      </w:pPr>
    </w:p>
    <w:bookmarkStart w:id="32" w:name="page33"/>
    <w:bookmarkEnd w:id="32"/>
    <w:p>
      <w:pPr>
        <w:ind w:firstLine="399"/>
        <w:spacing w:after="0" w:line="250" w:lineRule="auto"/>
        <w:rPr>
          <w:sz w:val="20"/>
          <w:szCs w:val="20"/>
          <w:color w:val="auto"/>
        </w:rPr>
      </w:pPr>
      <w:r>
        <w:rPr>
          <w:rFonts w:ascii="Times New Roman" w:cs="Times New Roman" w:eastAsia="Times New Roman" w:hAnsi="Times New Roman"/>
          <w:sz w:val="20"/>
          <w:szCs w:val="20"/>
          <w:color w:val="auto"/>
        </w:rPr>
        <w:t>Downturns in the U.S. economy and real estate markets have at times caused the fair value of certain of our properties to decrease. If the real estate market were to experience another decline, we may be required to take write-downs against our earnings for other than temporary impairments in the value of our real estate assets including our income properties, commercial loans and investments and similar financings or other capitalized costs. Any such non-cash charges could have an adverse effect on our financial condition and results of operations.</w:t>
      </w:r>
    </w:p>
    <w:p>
      <w:pPr>
        <w:spacing w:after="0" w:line="124" w:lineRule="exact"/>
        <w:rPr>
          <w:sz w:val="20"/>
          <w:szCs w:val="20"/>
          <w:color w:val="auto"/>
        </w:rPr>
      </w:pPr>
    </w:p>
    <w:p>
      <w:pPr>
        <w:ind w:right="120" w:firstLine="399"/>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From time to time we make investments in companies over which we do not have control. Some of these companies may operate in industries that differ from our current operations, with different risks than investing in real estate.</w:t>
      </w:r>
    </w:p>
    <w:p>
      <w:pPr>
        <w:spacing w:after="0" w:line="115"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From time to time we make debt or equity investments in other companies that we may not control or over which we may not have sole control. Although these businesses generally have a significant real estate component, some of them may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spacing w:after="0" w:line="123"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 competing with those persons. In addition, we rely on the internal controls and financial reporting controls of these entities and their failure to maintain effectiveness or comply with applicable standards may adversely affect us.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Quarterly results may fluctuate and may not be indicative of future quarterly performance.</w:t>
      </w:r>
    </w:p>
    <w:p>
      <w:pPr>
        <w:spacing w:after="0" w:line="164"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the performance of our income-producing assets, market values of our investment in PINE, costs associated with debt, general economic conditions, the state of the real estate and financial markets and the degree to which we encounter competition in our markets.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Financing</w:t>
      </w:r>
    </w:p>
    <w:p>
      <w:pPr>
        <w:spacing w:after="0" w:line="173" w:lineRule="exact"/>
        <w:rPr>
          <w:sz w:val="20"/>
          <w:szCs w:val="20"/>
          <w:color w:val="auto"/>
        </w:rPr>
      </w:pPr>
    </w:p>
    <w:p>
      <w:pPr>
        <w:ind w:right="30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Company may be unable to obtain debt or equity capital on favorable terms, if at all, or additional borrowings may impact our liquidity or ability to monetize any assets securing such borrowings.</w:t>
      </w:r>
    </w:p>
    <w:p>
      <w:pPr>
        <w:spacing w:after="0" w:line="99"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In order to further our business objectives, we have in the past and expect to continue to seek to obtain additional debt financing or raise equity capital and may be unable to do so on favorable terms, if at all. We may obtain unsecured debt financing in addition to our Credit Facility which could decrease our borrowing capacity under the Credit Facility. Other sources of available capital may be more expensive or available under terms that are more restrictive than the Company’s existing debt capital. Any of these occurrences could adversely affect the Company’s business, financial condition, results of operations, and cash flows.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i w:val="1"/>
          <w:iCs w:val="1"/>
          <w:color w:val="auto"/>
        </w:rPr>
        <w:t>An increase in our borrowing costs would adversely affect our financial condition and results of operations.</w:t>
      </w:r>
    </w:p>
    <w:p>
      <w:pPr>
        <w:spacing w:after="0" w:line="176"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Increased interest rates would reduce the difference, or spread, that we may earn between the yield on the investments we make and the cost of the leverage we employ to finance such investments. It is possible that the spread on investments could be reduced to a point at which the profitability from investments would be significantly reduced or eliminated entirely. This would adversely affect our returns on our assets, and therefore adversely impact our financial condition, our results of operations, and cash flows, and could require us to liquidate certain or all of these assets.</w:t>
      </w:r>
    </w:p>
    <w:p>
      <w:pPr>
        <w:spacing w:after="0" w:line="124" w:lineRule="exact"/>
        <w:rPr>
          <w:sz w:val="20"/>
          <w:szCs w:val="20"/>
          <w:color w:val="auto"/>
        </w:rPr>
      </w:pPr>
    </w:p>
    <w:p>
      <w:pPr>
        <w:ind w:right="24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Servicing our debt requires a significant amount of cash, and we may not have sufficient cash flow from our business to service or pay our debt.</w:t>
      </w:r>
    </w:p>
    <w:p>
      <w:pPr>
        <w:spacing w:after="0" w:line="99" w:lineRule="exact"/>
        <w:rPr>
          <w:sz w:val="20"/>
          <w:szCs w:val="20"/>
          <w:color w:val="auto"/>
        </w:rPr>
      </w:pPr>
    </w:p>
    <w:p>
      <w:pPr>
        <w:ind w:right="360" w:firstLine="399"/>
        <w:spacing w:after="0" w:line="279" w:lineRule="auto"/>
        <w:rPr>
          <w:sz w:val="20"/>
          <w:szCs w:val="20"/>
          <w:color w:val="auto"/>
        </w:rPr>
      </w:pPr>
      <w:r>
        <w:rPr>
          <w:rFonts w:ascii="Times New Roman" w:cs="Times New Roman" w:eastAsia="Times New Roman" w:hAnsi="Times New Roman"/>
          <w:sz w:val="20"/>
          <w:szCs w:val="20"/>
          <w:color w:val="auto"/>
        </w:rPr>
        <w:t>Our ability to make scheduled payments of the principal of, to pay interest on, or to refinance our indebtedness, depends on our future operating and financial performance, which is subject to economic,</w:t>
      </w:r>
    </w:p>
    <w:p>
      <w:pPr>
        <w:sectPr>
          <w:pgSz w:w="11880" w:h="15480" w:orient="portrait"/>
          <w:cols w:equalWidth="0" w:num="1">
            <w:col w:w="9100"/>
          </w:cols>
          <w:pgMar w:left="1400" w:top="1025" w:right="1380" w:bottom="70"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100"/>
          </w:cols>
          <w:pgMar w:left="1400" w:top="1025" w:right="1380" w:bottom="70" w:gutter="0" w:footer="0" w:header="0"/>
          <w:type w:val="continuous"/>
        </w:sectPr>
      </w:pPr>
    </w:p>
    <w:bookmarkStart w:id="33" w:name="page34"/>
    <w:bookmarkEnd w:id="33"/>
    <w:p>
      <w:pPr>
        <w:ind w:left="10"/>
        <w:spacing w:after="0" w:line="251" w:lineRule="auto"/>
        <w:rPr>
          <w:sz w:val="20"/>
          <w:szCs w:val="20"/>
          <w:color w:val="auto"/>
        </w:rPr>
      </w:pPr>
      <w:r>
        <w:rPr>
          <w:rFonts w:ascii="Times New Roman" w:cs="Times New Roman" w:eastAsia="Times New Roman" w:hAnsi="Times New Roman"/>
          <w:sz w:val="20"/>
          <w:szCs w:val="20"/>
          <w:color w:val="auto"/>
        </w:rPr>
        <w:t>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25" w:lineRule="exact"/>
        <w:rPr>
          <w:sz w:val="20"/>
          <w:szCs w:val="20"/>
          <w:color w:val="auto"/>
        </w:rPr>
      </w:pPr>
    </w:p>
    <w:p>
      <w:pPr>
        <w:ind w:left="1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level of indebtedness could have significant adverse consequences and our cash flow may be insufficient to meet our debt service obligations.</w:t>
      </w:r>
    </w:p>
    <w:p>
      <w:pPr>
        <w:spacing w:after="0" w:line="99" w:lineRule="exact"/>
        <w:rPr>
          <w:sz w:val="20"/>
          <w:szCs w:val="20"/>
          <w:color w:val="auto"/>
        </w:rPr>
      </w:pPr>
    </w:p>
    <w:p>
      <w:pPr>
        <w:ind w:left="10" w:right="320" w:firstLine="399"/>
        <w:spacing w:after="0" w:line="262" w:lineRule="auto"/>
        <w:rPr>
          <w:sz w:val="20"/>
          <w:szCs w:val="20"/>
          <w:color w:val="auto"/>
        </w:rPr>
      </w:pPr>
      <w:r>
        <w:rPr>
          <w:rFonts w:ascii="Times New Roman" w:cs="Times New Roman" w:eastAsia="Times New Roman" w:hAnsi="Times New Roman"/>
          <w:sz w:val="20"/>
          <w:szCs w:val="20"/>
          <w:color w:val="auto"/>
        </w:rPr>
        <w:t>Our level of indebtedness, as further described in Note 16 “Long-Term Debt” in the notes to the consolidated financial statements in Item 8, could have significant adverse consequences on our business and operations, including the following:</w:t>
      </w:r>
    </w:p>
    <w:p>
      <w:pPr>
        <w:spacing w:after="0" w:line="73" w:lineRule="exact"/>
        <w:rPr>
          <w:sz w:val="20"/>
          <w:szCs w:val="20"/>
          <w:color w:val="auto"/>
        </w:rPr>
      </w:pPr>
    </w:p>
    <w:p>
      <w:pPr>
        <w:ind w:left="590" w:hanging="191"/>
        <w:spacing w:after="0" w:line="279" w:lineRule="auto"/>
        <w:tabs>
          <w:tab w:leader="none" w:pos="5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may increase our vulnerability to changes in economic conditions (including increases in interest rates) and limit our flexibility in planning for, or reacting to, changes in our business and/or industry;</w:t>
      </w:r>
    </w:p>
    <w:p>
      <w:pPr>
        <w:spacing w:after="0" w:line="55"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at a disadvantage compared to our competitors with comparatively less indebtedness;</w:t>
      </w:r>
    </w:p>
    <w:p>
      <w:pPr>
        <w:spacing w:after="0" w:line="125" w:lineRule="exact"/>
        <w:rPr>
          <w:rFonts w:ascii="Times New Roman" w:cs="Times New Roman" w:eastAsia="Times New Roman" w:hAnsi="Times New Roman"/>
          <w:sz w:val="20"/>
          <w:szCs w:val="20"/>
          <w:color w:val="auto"/>
        </w:rPr>
      </w:pPr>
    </w:p>
    <w:p>
      <w:pPr>
        <w:ind w:left="590" w:right="720" w:hanging="191"/>
        <w:spacing w:after="0" w:line="279" w:lineRule="auto"/>
        <w:tabs>
          <w:tab w:leader="none" w:pos="5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hedge our debt, or such hedges may fail or expire, leaving us exposed to potentially volatile interest or currency exchange rates; and</w:t>
      </w:r>
    </w:p>
    <w:p>
      <w:pPr>
        <w:spacing w:after="0" w:line="55" w:lineRule="exact"/>
        <w:rPr>
          <w:rFonts w:ascii="Times New Roman" w:cs="Times New Roman" w:eastAsia="Times New Roman" w:hAnsi="Times New Roman"/>
          <w:sz w:val="20"/>
          <w:szCs w:val="20"/>
          <w:color w:val="auto"/>
        </w:rPr>
      </w:pPr>
    </w:p>
    <w:p>
      <w:pPr>
        <w:ind w:left="590" w:right="520" w:hanging="191"/>
        <w:spacing w:after="0" w:line="279" w:lineRule="auto"/>
        <w:tabs>
          <w:tab w:leader="none" w:pos="5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refinance our indebtedness or obtain additional financing as needed or on favorable terms.</w:t>
      </w:r>
    </w:p>
    <w:p>
      <w:pPr>
        <w:spacing w:after="0" w:line="96" w:lineRule="exact"/>
        <w:rPr>
          <w:sz w:val="20"/>
          <w:szCs w:val="20"/>
          <w:color w:val="auto"/>
        </w:rPr>
      </w:pPr>
    </w:p>
    <w:p>
      <w:pPr>
        <w:ind w:left="10" w:right="160" w:firstLine="399"/>
        <w:spacing w:after="0" w:line="245" w:lineRule="auto"/>
        <w:rPr>
          <w:sz w:val="20"/>
          <w:szCs w:val="20"/>
          <w:color w:val="auto"/>
        </w:rPr>
      </w:pPr>
      <w:r>
        <w:rPr>
          <w:rFonts w:ascii="Times New Roman" w:cs="Times New Roman" w:eastAsia="Times New Roman" w:hAnsi="Times New Roman"/>
          <w:sz w:val="20"/>
          <w:szCs w:val="20"/>
          <w:color w:val="auto"/>
        </w:rPr>
        <w:t>Our ability to generate sufficient cash flow determines whether we will be able to (i) meet our existing or potential future debt service obligations; (ii) refinance our existing or potential future indebtedness; and</w:t>
      </w:r>
    </w:p>
    <w:p>
      <w:pPr>
        <w:spacing w:after="0" w:line="1" w:lineRule="exact"/>
        <w:rPr>
          <w:sz w:val="20"/>
          <w:szCs w:val="20"/>
          <w:color w:val="auto"/>
        </w:rPr>
      </w:pPr>
    </w:p>
    <w:p>
      <w:pPr>
        <w:ind w:left="10" w:hanging="10"/>
        <w:spacing w:after="0" w:line="252" w:lineRule="auto"/>
        <w:tabs>
          <w:tab w:leader="none" w:pos="36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our operations, working capital, acquisitions, capital expenditures, and other important business uses. Our future cash flow is subject to many factors beyond our control and we cannot assure you that our business will generate sufficient cash flow from operations, or that future sources of cash will be available to us on favorable terms, to meet all of our debt service obligations and fund our other important business uses or liquidity needs. As a result, we may be forced to take other actions to meet those obligations, such as selling properties, raising equity, or delaying capital expenditures, any of which may not be feasible or could have a material adverse effect on us.</w:t>
      </w:r>
    </w:p>
    <w:p>
      <w:pPr>
        <w:spacing w:after="0" w:line="128" w:lineRule="exact"/>
        <w:rPr>
          <w:sz w:val="20"/>
          <w:szCs w:val="20"/>
          <w:color w:val="auto"/>
        </w:rPr>
      </w:pPr>
    </w:p>
    <w:p>
      <w:pPr>
        <w:ind w:left="10" w:right="260" w:firstLine="399"/>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continue to have the ability to incur debt; if we incur substantial additional debt, the higher levels of debt may affect our ability to pay the interest and principal of our debt.</w:t>
      </w:r>
    </w:p>
    <w:p>
      <w:pPr>
        <w:spacing w:after="0" w:line="99" w:lineRule="exact"/>
        <w:rPr>
          <w:sz w:val="20"/>
          <w:szCs w:val="20"/>
          <w:color w:val="auto"/>
        </w:rPr>
      </w:pPr>
    </w:p>
    <w:p>
      <w:pPr>
        <w:ind w:left="10" w:firstLine="399"/>
        <w:spacing w:after="0" w:line="257" w:lineRule="auto"/>
        <w:rPr>
          <w:sz w:val="20"/>
          <w:szCs w:val="20"/>
          <w:color w:val="auto"/>
        </w:rPr>
      </w:pPr>
      <w:r>
        <w:rPr>
          <w:rFonts w:ascii="Times New Roman" w:cs="Times New Roman" w:eastAsia="Times New Roman" w:hAnsi="Times New Roman"/>
          <w:sz w:val="20"/>
          <w:szCs w:val="20"/>
          <w:color w:val="auto"/>
        </w:rPr>
        <w:t>Despite our current consolidated debt levels, we and our subsidiaries may incur substantial additional debt in the future (subject to the restrictions contained in our debt instruments), some of which may be secured debt. If we incur substantial additional indebtedness in the future, these higher levels of indebtedness may affect our ability to pay the principal of, and interest on, our outstanding debt and our creditworthiness generally.</w:t>
      </w:r>
    </w:p>
    <w:p>
      <w:pPr>
        <w:spacing w:after="0" w:line="363" w:lineRule="exact"/>
        <w:rPr>
          <w:sz w:val="20"/>
          <w:szCs w:val="20"/>
          <w:color w:val="auto"/>
        </w:rPr>
      </w:pPr>
    </w:p>
    <w:p>
      <w:pPr>
        <w:ind w:left="10" w:right="520" w:firstLine="399"/>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Declines in the value of the assets in which we invest will adversely affect our financial condition and results of operations and make it costlier to finance these assets.</w:t>
      </w:r>
    </w:p>
    <w:p>
      <w:pPr>
        <w:spacing w:after="0" w:line="99" w:lineRule="exact"/>
        <w:rPr>
          <w:sz w:val="20"/>
          <w:szCs w:val="20"/>
          <w:color w:val="auto"/>
        </w:rPr>
      </w:pPr>
    </w:p>
    <w:p>
      <w:pPr>
        <w:ind w:left="10" w:firstLine="399"/>
        <w:spacing w:after="0" w:line="255" w:lineRule="auto"/>
        <w:rPr>
          <w:sz w:val="20"/>
          <w:szCs w:val="20"/>
          <w:color w:val="auto"/>
        </w:rPr>
      </w:pPr>
      <w:r>
        <w:rPr>
          <w:rFonts w:ascii="Times New Roman" w:cs="Times New Roman" w:eastAsia="Times New Roman" w:hAnsi="Times New Roman"/>
          <w:sz w:val="20"/>
          <w:szCs w:val="20"/>
          <w:color w:val="auto"/>
        </w:rPr>
        <w:t>Generally, we use our income-producing assets and certain loan investments secured by real property as collateral for our financings or as the borrowing base for our Credit Facility. Any decline in their value, a significant decrease in the income received from our income-producing assets, or perceived market uncertainty about the value of our income-producing assets, could make it difficult for us to obtain or renew financing on favorable terms or at all, or maintain our compliance with terms of any financing arrangements already in place.</w:t>
      </w:r>
    </w:p>
    <w:p>
      <w:pPr>
        <w:spacing w:after="0" w:line="364" w:lineRule="exact"/>
        <w:rPr>
          <w:sz w:val="20"/>
          <w:szCs w:val="20"/>
          <w:color w:val="auto"/>
        </w:rPr>
      </w:pPr>
    </w:p>
    <w:p>
      <w:pPr>
        <w:ind w:left="10" w:right="540" w:firstLine="399"/>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have in the past and expect to continue to utilize derivative instruments to hedge risk, which may adversely affect our borrowing cost and expose us to other risks.</w:t>
      </w:r>
    </w:p>
    <w:p>
      <w:pPr>
        <w:spacing w:after="0" w:line="99" w:lineRule="exact"/>
        <w:rPr>
          <w:sz w:val="20"/>
          <w:szCs w:val="20"/>
          <w:color w:val="auto"/>
        </w:rPr>
      </w:pPr>
    </w:p>
    <w:p>
      <w:pPr>
        <w:ind w:left="10" w:firstLine="399"/>
        <w:spacing w:after="0" w:line="264" w:lineRule="auto"/>
        <w:rPr>
          <w:sz w:val="20"/>
          <w:szCs w:val="20"/>
          <w:color w:val="auto"/>
        </w:rPr>
      </w:pPr>
      <w:r>
        <w:rPr>
          <w:rFonts w:ascii="Times New Roman" w:cs="Times New Roman" w:eastAsia="Times New Roman" w:hAnsi="Times New Roman"/>
          <w:sz w:val="20"/>
          <w:szCs w:val="20"/>
          <w:color w:val="auto"/>
        </w:rPr>
        <w:t>The derivative instruments we have used in the past and expect to continue to use in the future are and could be in the form of interest rate swaps, interest rate caps and or interest rate collars. Interest rate swaps effectively change variable-rate debt obligations to fixed-rate debt obligations or fixed-rate debt obligations to</w:t>
      </w:r>
    </w:p>
    <w:p>
      <w:pPr>
        <w:sectPr>
          <w:pgSz w:w="11880" w:h="15480" w:orient="portrait"/>
          <w:cols w:equalWidth="0" w:num="1">
            <w:col w:w="9110"/>
          </w:cols>
          <w:pgMar w:left="1390" w:top="1025" w:right="1380" w:bottom="71" w:gutter="0" w:footer="0" w:header="0"/>
        </w:sectPr>
      </w:pPr>
    </w:p>
    <w:p>
      <w:pPr>
        <w:spacing w:after="0" w:line="27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110"/>
          </w:cols>
          <w:pgMar w:left="1390" w:top="1025" w:right="1380" w:bottom="71" w:gutter="0" w:footer="0" w:header="0"/>
          <w:type w:val="continuous"/>
        </w:sectPr>
      </w:pPr>
    </w:p>
    <w:bookmarkStart w:id="34" w:name="page35"/>
    <w:bookmarkEnd w:id="34"/>
    <w:p>
      <w:pPr>
        <w:ind w:right="80"/>
        <w:spacing w:after="0" w:line="277" w:lineRule="auto"/>
        <w:rPr>
          <w:sz w:val="20"/>
          <w:szCs w:val="20"/>
          <w:color w:val="auto"/>
        </w:rPr>
      </w:pPr>
      <w:r>
        <w:rPr>
          <w:rFonts w:ascii="Times New Roman" w:cs="Times New Roman" w:eastAsia="Times New Roman" w:hAnsi="Times New Roman"/>
          <w:sz w:val="20"/>
          <w:szCs w:val="20"/>
          <w:color w:val="auto"/>
        </w:rPr>
        <w:t>variable-rate debt obligations. Interest rate caps limit our exposure to rising interest rates. Interest rate collars limit our exposure to rising interest rates while also limiting our benefit from declining interest rates.</w:t>
      </w:r>
    </w:p>
    <w:p>
      <w:pPr>
        <w:spacing w:after="0" w:line="96" w:lineRule="exact"/>
        <w:rPr>
          <w:sz w:val="20"/>
          <w:szCs w:val="20"/>
          <w:color w:val="auto"/>
        </w:rPr>
      </w:pPr>
    </w:p>
    <w:p>
      <w:pPr>
        <w:ind w:right="20" w:firstLine="399"/>
        <w:spacing w:after="0" w:line="260" w:lineRule="auto"/>
        <w:rPr>
          <w:sz w:val="20"/>
          <w:szCs w:val="20"/>
          <w:color w:val="auto"/>
        </w:rPr>
      </w:pPr>
      <w:r>
        <w:rPr>
          <w:rFonts w:ascii="Times New Roman" w:cs="Times New Roman" w:eastAsia="Times New Roman" w:hAnsi="Times New Roman"/>
          <w:sz w:val="20"/>
          <w:szCs w:val="20"/>
          <w:color w:val="auto"/>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w:t>
      </w:r>
    </w:p>
    <w:p>
      <w:pPr>
        <w:spacing w:after="0" w:line="113"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Developing an effective strategy for dealing with alterations in interest rates is complex and any strategy aimed at managing exposures to changing interest rates would likely not be able to completely insulate us from risks associated with such fluctuations. There can be no assurance that any hedging activities will have the desired beneficial impact on our results of operations or financial condition.</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Increases in interest rates could have an adverse effect on our operating results.</w:t>
      </w:r>
    </w:p>
    <w:p>
      <w:pPr>
        <w:spacing w:after="0" w:line="162" w:lineRule="exact"/>
        <w:rPr>
          <w:sz w:val="20"/>
          <w:szCs w:val="20"/>
          <w:color w:val="auto"/>
        </w:rPr>
      </w:pPr>
    </w:p>
    <w:p>
      <w:pPr>
        <w:ind w:firstLine="399"/>
        <w:spacing w:after="0" w:line="247" w:lineRule="auto"/>
        <w:rPr>
          <w:sz w:val="20"/>
          <w:szCs w:val="20"/>
          <w:color w:val="auto"/>
        </w:rPr>
      </w:pPr>
      <w:r>
        <w:rPr>
          <w:rFonts w:ascii="Times New Roman" w:cs="Times New Roman" w:eastAsia="Times New Roman" w:hAnsi="Times New Roman"/>
          <w:sz w:val="20"/>
          <w:szCs w:val="20"/>
          <w:color w:val="auto"/>
        </w:rPr>
        <w:t>Our operating results depend in part on the difference between the income achieved from our income-producing assets and management fee income streams and the interest expense incurred in connection with our interest-bearing liabilities. Changes in the general level of interest rates prevailing in the financial markets have in the past affected and may in the future affect the spread between our income-producing assets and management fee income streams and our interest-bearing liabilities subject to the impact of interest rate floors and caps, as well as the amounts of floating rate assets and liabilities. Any significant compression of the spreads between income-producing assets and management fee income streams and interest-bearing liabilities could have a material adverse effect on us. While interest rates remain low relative to certain historical rates, rates have recently risen. Despite multiple federal fund rate decreases over the course of 2024 and 2025, interest rates have remained elevated as compared to interest rates over the five year period preceding March 2022. Interest rates are highly sensitive to many factors, including governmental monetary and tax policies, domestic and international economic and political conditions, inflation, labor markets, and other factors beyond our control. In the event of a rising interest rate environment, rates could create a mismatch between the income we generate from our income-producing assets and management fee income streams and the interest expense incurred on our floating rate debt that could have a significant adverse effect on our financial condition, our operating results and our cash flows. An increase in interest rates could also, among other things, reduce the value of certain of our income-producing assets and our ability to realize gains from the sale of such assets.</w:t>
      </w:r>
    </w:p>
    <w:p>
      <w:pPr>
        <w:spacing w:after="0" w:line="367" w:lineRule="exact"/>
        <w:rPr>
          <w:sz w:val="20"/>
          <w:szCs w:val="20"/>
          <w:color w:val="auto"/>
        </w:rPr>
      </w:pPr>
    </w:p>
    <w:p>
      <w:pPr>
        <w:ind w:right="320" w:firstLine="399"/>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The Company’s Credit Facility and secured financings include certain financial and/or other covenants that could restrict our operating activities, and the failure to comply with such covenants could result in a default that accelerates the required payment of such debt.</w:t>
      </w:r>
    </w:p>
    <w:p>
      <w:pPr>
        <w:spacing w:after="0" w:line="115"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The Credit Facility contains certain financial and operating covenants, including, among other things, certain coverage ratios and limitations on our ability to incur debt and limits on the repurchase of the Company’s stock and similar restrictions. In addition, the Credit Facility contains certain covenants pertaining to maximum levels of investment in certain types of assets, the number and make-up of the assets in the borrowing base, and similar covenants typical for this type of indebtedness. The Company’s secured indebtedness generally contains covenants regarding debt service coverage ratios. The Company’s ability to meet or maintain compliance with these and other debt covenants may be dependent on the performance of the Company’s tenants under their leases or the performance of borrowers under the Company’s commercial loans and investments. The Company’s failure to comply with certain of our debt covenants could result in a default that may, if not cured, accelerate our payment obligations under such debt and limit the Company’s available cash flow for acquisitions, dividends, or operating costs, which would likely have a material adverse impact on the Company’s financial condition, results of operations, and cash flows. In addition, these defaults could impair the Company’s access to the debt and equity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Associated with Certain Events, Environmental Issues, and Climate Change</w:t>
      </w:r>
    </w:p>
    <w:p>
      <w:pPr>
        <w:spacing w:after="0" w:line="173" w:lineRule="exact"/>
        <w:rPr>
          <w:sz w:val="20"/>
          <w:szCs w:val="20"/>
          <w:color w:val="auto"/>
        </w:rPr>
      </w:pPr>
    </w:p>
    <w:p>
      <w:pPr>
        <w:ind w:right="16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operations and properties could be adversely affected in the event of natural disasters, pandemics, or other significant disruptions.</w:t>
      </w:r>
    </w:p>
    <w:p>
      <w:pPr>
        <w:spacing w:after="0" w:line="99"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20"/>
          <w:szCs w:val="20"/>
          <w:color w:val="auto"/>
        </w:rPr>
        <w:t>Our corporate headquarters and many of our properties are located in Florida, where major hurricanes have occurred. We have income properties in other states or regions that experience similar or other natural disasters. Depending on where any hurricane makes landfall, our properties in Florida could experience</w:t>
      </w:r>
    </w:p>
    <w:p>
      <w:pPr>
        <w:sectPr>
          <w:pgSz w:w="11880" w:h="15480" w:orient="portrait"/>
          <w:cols w:equalWidth="0" w:num="1">
            <w:col w:w="9100"/>
          </w:cols>
          <w:pgMar w:left="1400" w:top="1025" w:right="1380" w:bottom="70"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100"/>
          </w:cols>
          <w:pgMar w:left="1400" w:top="1025" w:right="1380" w:bottom="70" w:gutter="0" w:footer="0" w:header="0"/>
          <w:type w:val="continuous"/>
        </w:sectPr>
      </w:pPr>
    </w:p>
    <w:bookmarkStart w:id="35" w:name="page36"/>
    <w:bookmarkEnd w:id="35"/>
    <w:p>
      <w:pPr>
        <w:spacing w:after="0" w:line="249" w:lineRule="auto"/>
        <w:rPr>
          <w:sz w:val="20"/>
          <w:szCs w:val="20"/>
          <w:color w:val="auto"/>
        </w:rPr>
      </w:pPr>
      <w:r>
        <w:rPr>
          <w:rFonts w:ascii="Times New Roman" w:cs="Times New Roman" w:eastAsia="Times New Roman" w:hAnsi="Times New Roman"/>
          <w:sz w:val="20"/>
          <w:szCs w:val="20"/>
          <w:color w:val="auto"/>
        </w:rPr>
        <w:t>significant damage. In addition, the occurrence and frequency of hurricanes in Florida could also negatively impact demand for our real estate assets because of consumer perceptions of hurricane risks. In addition to hurricanes, the occurrence of other natural disasters and climate conditions in Florida and other states, such as tornadoes, floods, fires, unusually heavy or prolonged rain, droughts, and heat waves, could have an adverse effect on our ability to develop properties or realize income from our properties. In addition to</w:t>
      </w:r>
    </w:p>
    <w:p>
      <w:pPr>
        <w:spacing w:after="0" w:line="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various forms of natural disasters that could impact our operations and the performance of our income producing assets, pandemics occurring throughout the world could lead to disruptions in the global economy or significant economies throughout the world which could adversely impact our tenant’s operations, their ability to pay rent and consequently our financial condition, results of operations and cash flows may be adversely impacted. If a hurricane, fire, earthquake, natural disaster, health pandemic or other similar significant disruption occurs, we may experience disruptions to our operations and damage to our properties, which could have an adverse effect on our business, our financing condition, our results of operations, and our cash flows.</w:t>
      </w:r>
    </w:p>
    <w:p>
      <w:pPr>
        <w:spacing w:after="0" w:line="366" w:lineRule="exact"/>
        <w:rPr>
          <w:sz w:val="20"/>
          <w:szCs w:val="20"/>
          <w:color w:val="auto"/>
        </w:rPr>
      </w:pPr>
    </w:p>
    <w:p>
      <w:pPr>
        <w:ind w:right="480" w:firstLine="399"/>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Acts of violence, terrorist attacks or war may affect the markets in which the Company operates and adversely affect the Company’s results of operations and cash flows.</w:t>
      </w:r>
    </w:p>
    <w:p>
      <w:pPr>
        <w:spacing w:after="0" w:line="99"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Terrorist attacks or other acts of violence may negatively affect the Company’s operations. There can be no assurance that there will not be terrorist attacks against businesses within the United States. These attacks may directly impact the Company’s physical assets or business operations or the financial condition of its tenants, borrowers, lenders or other institutions with which the Company has a relationship. The United States may be engaged in armed conflict, which could have an impact on these parties. The consequences of armed conflict are unpredictable, and the Company may not be able to foresee events that could have an adverse effect on its business. More generally, the occurrence of any of these events or the threat of these events, could cause consumer confidence and spending to decrease or result in increased volatility in the United States and worldwide financial markets and economies. They also could result in or cause an economic recession in the United States or abroad. Any of these occurrences could have an adverse impact on the Company’s financial condition, results of operations or cash flows.</w:t>
      </w:r>
    </w:p>
    <w:p>
      <w:pPr>
        <w:spacing w:after="0" w:line="128" w:lineRule="exact"/>
        <w:rPr>
          <w:sz w:val="20"/>
          <w:szCs w:val="20"/>
          <w:color w:val="auto"/>
        </w:rPr>
      </w:pPr>
    </w:p>
    <w:p>
      <w:pPr>
        <w:ind w:right="360" w:firstLine="399"/>
        <w:spacing w:after="0" w:line="308" w:lineRule="auto"/>
        <w:rPr>
          <w:sz w:val="20"/>
          <w:szCs w:val="20"/>
          <w:color w:val="auto"/>
        </w:rPr>
      </w:pPr>
      <w:r>
        <w:rPr>
          <w:rFonts w:ascii="Times New Roman" w:cs="Times New Roman" w:eastAsia="Times New Roman" w:hAnsi="Times New Roman"/>
          <w:sz w:val="19"/>
          <w:szCs w:val="19"/>
          <w:b w:val="1"/>
          <w:bCs w:val="1"/>
          <w:i w:val="1"/>
          <w:iCs w:val="1"/>
          <w:color w:val="auto"/>
        </w:rPr>
        <w:t>We may encounter environmental problems which require remediation or the incurrence of significant costs to resolve, which could adversely impact our financial condition, results of operations, and cash flows.</w:t>
      </w:r>
    </w:p>
    <w:p>
      <w:pPr>
        <w:spacing w:after="0" w:line="77"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Under various federal, state and local laws, ordinances and regulations, we may be required to investigate and clean up certain hazardous or toxic substances released on or in properties we own or operate or that we previously owned or operated, and we may be required to pay other costs relating to hazardous or toxic substances. Any such liability may be imposed without regard to whether the Company’s management had knowledge, were notified or were otherwise aware of the origination of the environmental issues or were responsible for their occurrence. The presence of environmental issues or the failure to remediate properly any such losses at any of our properties may adversely affect our ability to sell or lease those properties, or to borrow using those properties as collateral. The costs or liabilities could exceed the value of the affected real estate. The costs or liabilities associated with resolving environmental issues could be significant.</w:t>
      </w:r>
    </w:p>
    <w:p>
      <w:pPr>
        <w:spacing w:after="0" w:line="372"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The uses of any of our income properties prior to our acquisition, and the building materials used in the construction of the property are among the property-specific factors that will affect how the environmental laws are applied to our properties. In general, before we acquire our income properties, independent environmental consultants are engaged to conduct Phase I environmental assessments, which generally do not involve invasive techniques such as soil or groundwater sampling. Depending on the Phase I results, we may elect to obtain Phase II environmental assessments which do involve this type of sampling. There can be no assurance that environmental liabilities have not developed since these environmental assessments were performed or that future uses or conditions (including changes in applicable environmental laws and regulations) or new information about previously unidentified historical conditions will not result in the imposition of environmental liabilities.</w:t>
      </w:r>
    </w:p>
    <w:p>
      <w:pPr>
        <w:spacing w:after="0" w:line="130" w:lineRule="exact"/>
        <w:rPr>
          <w:sz w:val="20"/>
          <w:szCs w:val="20"/>
          <w:color w:val="auto"/>
        </w:rPr>
      </w:pPr>
    </w:p>
    <w:p>
      <w:pPr>
        <w:ind w:right="720" w:firstLine="399"/>
        <w:spacing w:after="0" w:line="284" w:lineRule="auto"/>
        <w:rPr>
          <w:sz w:val="20"/>
          <w:szCs w:val="20"/>
          <w:color w:val="auto"/>
        </w:rPr>
      </w:pPr>
      <w:r>
        <w:rPr>
          <w:rFonts w:ascii="Times New Roman" w:cs="Times New Roman" w:eastAsia="Times New Roman" w:hAnsi="Times New Roman"/>
          <w:sz w:val="20"/>
          <w:szCs w:val="20"/>
          <w:color w:val="auto"/>
        </w:rPr>
        <w:t>If we are subject to any material costs or liabilities associated with environmental, our financial condition, results of operations and our cash flows could be adversely affected.</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100"/>
          </w:cols>
          <w:pgMar w:left="1400" w:top="1025" w:right="1380" w:bottom="70" w:gutter="0" w:footer="0" w:header="0"/>
          <w:type w:val="continuous"/>
        </w:sectPr>
      </w:pPr>
    </w:p>
    <w:bookmarkStart w:id="36" w:name="page37"/>
    <w:bookmarkEnd w:id="36"/>
    <w:p>
      <w:pPr>
        <w:ind w:right="120" w:firstLine="399"/>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risks associated with investing in real estate, including potential liabilities under environmental laws and risks of loss from weather conditions, man-made or natural disasters, climate change and terrorism.</w:t>
      </w:r>
    </w:p>
    <w:p>
      <w:pPr>
        <w:spacing w:after="0" w:line="115"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While a secured lender is not likely to be subject to these forms of environmental liability, when we foreclose on real property, we become an owner and are subject to the risks of environmental liability. Additionally, our net lease assets require our tenants to undertake the obligation for environmental compliance and indemnify us from liability with respect thereto. There can be no assurance that our tenants will have sufficient resources to satisfy their obligations to us.</w:t>
      </w:r>
    </w:p>
    <w:p>
      <w:pPr>
        <w:spacing w:after="0" w:line="366"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Weather conditions and man-made or natural disasters such as hurricanes, tornadoes, earthquakes, floods, droughts, fires and other environmental conditions can damage properties we own. Additionally, we own properties located near the coastline and the value of our properties will potentially be subject to the risks associated with long-term effects of climate change. A significant number of our properties are located in major urban areas which, in recent years, 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liquidity and the market price of our common or preferred stock. In addition, there is a risk that one or more of our property insurers may not be able to fulfill their obligations with respect to claims payments due to a deterioration in its financial condition.</w:t>
      </w:r>
    </w:p>
    <w:p>
      <w:pPr>
        <w:spacing w:after="0" w:line="376" w:lineRule="exact"/>
        <w:rPr>
          <w:sz w:val="20"/>
          <w:szCs w:val="20"/>
          <w:color w:val="auto"/>
        </w:rPr>
      </w:pPr>
    </w:p>
    <w:p>
      <w:pPr>
        <w:jc w:val="both"/>
        <w:ind w:firstLine="399"/>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The Company’s operations and financial condition may be adversely affected by climate change, including possible changes in weather patterns, weather-related events, government policy, laws, regulations, and economic conditions.</w:t>
      </w:r>
    </w:p>
    <w:p>
      <w:pPr>
        <w:spacing w:after="0" w:line="115" w:lineRule="exact"/>
        <w:rPr>
          <w:sz w:val="20"/>
          <w:szCs w:val="20"/>
          <w:color w:val="auto"/>
        </w:rPr>
      </w:pPr>
    </w:p>
    <w:p>
      <w:pPr>
        <w:ind w:right="20" w:firstLine="399"/>
        <w:spacing w:after="0" w:line="255" w:lineRule="auto"/>
        <w:rPr>
          <w:sz w:val="20"/>
          <w:szCs w:val="20"/>
          <w:color w:val="auto"/>
        </w:rPr>
      </w:pPr>
      <w:r>
        <w:rPr>
          <w:rFonts w:ascii="Times New Roman" w:cs="Times New Roman" w:eastAsia="Times New Roman" w:hAnsi="Times New Roman"/>
          <w:sz w:val="20"/>
          <w:szCs w:val="20"/>
          <w:color w:val="auto"/>
        </w:rPr>
        <w:t>In recent years, the assessment of the potential impact of climate change has begun to impact the activities of government authorities, the pattern of consumer behavior, and other areas that impact the business environment in the United States including, but not limited to, energy-efficiency measures, water use measures, and land-use practices. The promulgation of policies, laws or regulations relating to climate change by governmental authorities in the U.S. and the markets in which the Company owns real estate may require the Company to invest additional capital in our income properties. In addition, the impact of climate change on businesses to whom the Company seeks to lease its income properties is not reasonably</w:t>
      </w:r>
    </w:p>
    <w:p>
      <w:pPr>
        <w:sectPr>
          <w:pgSz w:w="11880" w:h="15480" w:orient="portrait"/>
          <w:cols w:equalWidth="0" w:num="1">
            <w:col w:w="9100"/>
          </w:cols>
          <w:pgMar w:left="1400" w:top="1026" w:right="1380" w:bottom="70" w:gutter="0" w:footer="0" w:header="0"/>
        </w:sect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100"/>
          </w:cols>
          <w:pgMar w:left="1400" w:top="1026" w:right="1380" w:bottom="70" w:gutter="0" w:footer="0" w:header="0"/>
          <w:type w:val="continuous"/>
        </w:sectPr>
      </w:pPr>
    </w:p>
    <w:bookmarkStart w:id="37" w:name="page38"/>
    <w:bookmarkEnd w:id="37"/>
    <w:p>
      <w:pPr>
        <w:spacing w:after="0" w:line="256" w:lineRule="auto"/>
        <w:rPr>
          <w:sz w:val="20"/>
          <w:szCs w:val="20"/>
          <w:color w:val="auto"/>
        </w:rPr>
      </w:pPr>
      <w:r>
        <w:rPr>
          <w:rFonts w:ascii="Times New Roman" w:cs="Times New Roman" w:eastAsia="Times New Roman" w:hAnsi="Times New Roman"/>
          <w:sz w:val="20"/>
          <w:szCs w:val="20"/>
          <w:color w:val="auto"/>
        </w:rPr>
        <w:t>determinable at this time. While not generally known at this time, climate change may impact weather patterns or the occurrence of significant weather events which could impact economic activity or the value of real estate in specific markets in which the Company owns its assets. The occurrence of any of these events or conditions may adversely impact the Company’s ability to lease its income properties, which would adversely impact the Company’s financial condition, results of operations, and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Organization and Structure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Certain provisions of Maryland law could inhibit changes in control of our company.</w:t>
      </w:r>
    </w:p>
    <w:p>
      <w:pPr>
        <w:spacing w:after="0" w:line="166"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securities with the opportunity to realize a premium over the then-prevailing market price of our securities.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securities or that our stockholders otherwise believe to be in their best interest.</w:t>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Our charter contains stock ownership limits, which may delay, defer or prevent a change of control.</w:t>
      </w:r>
    </w:p>
    <w:p>
      <w:pPr>
        <w:spacing w:after="0" w:line="166"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In order to maintain our qualification as a REIT, no more than 50% in value of our outstanding capital stock may be owned, directly or indirectly, by five or fewer individuals during the last half of any calendar year, and at least 100 persons must beneficially own our stock during at least 335 days for each taxable year other than our initial REIT taxable year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our taxable year ended December 31, 2020).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securities might receive a premium for their shares over the then prevailing market price or which holders might believe to be otherwise in their best interests.</w:t>
      </w:r>
    </w:p>
    <w:p>
      <w:pPr>
        <w:spacing w:after="0" w:line="367"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spacing w:after="0" w:line="376" w:lineRule="exact"/>
        <w:rPr>
          <w:sz w:val="20"/>
          <w:szCs w:val="20"/>
          <w:color w:val="auto"/>
        </w:rPr>
      </w:pPr>
    </w:p>
    <w:p>
      <w:pPr>
        <w:ind w:right="300" w:firstLine="399"/>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Our rights and the rights of our stockholders to take action against our directors and executive officers are limited, which could limit your recourse in the event of actions not in your best interest.</w:t>
      </w:r>
    </w:p>
    <w:p>
      <w:pPr>
        <w:spacing w:after="0" w:line="99" w:lineRule="exact"/>
        <w:rPr>
          <w:sz w:val="20"/>
          <w:szCs w:val="20"/>
          <w:color w:val="auto"/>
        </w:rPr>
      </w:pPr>
    </w:p>
    <w:p>
      <w:pPr>
        <w:ind w:right="20" w:firstLine="399"/>
        <w:spacing w:after="0" w:line="256" w:lineRule="auto"/>
        <w:rPr>
          <w:sz w:val="20"/>
          <w:szCs w:val="20"/>
          <w:color w:val="auto"/>
        </w:rPr>
      </w:pPr>
      <w:r>
        <w:rPr>
          <w:rFonts w:ascii="Times New Roman" w:cs="Times New Roman" w:eastAsia="Times New Roman" w:hAnsi="Times New Roman"/>
          <w:sz w:val="20"/>
          <w:szCs w:val="20"/>
          <w:color w:val="auto"/>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w:t>
      </w:r>
    </w:p>
    <w:p>
      <w:pPr>
        <w:sectPr>
          <w:pgSz w:w="11880" w:h="15480" w:orient="portrait"/>
          <w:cols w:equalWidth="0" w:num="1">
            <w:col w:w="9100"/>
          </w:cols>
          <w:pgMar w:left="1400" w:top="1025" w:right="1380" w:bottom="70" w:gutter="0" w:footer="0" w:header="0"/>
        </w:sect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100"/>
          </w:cols>
          <w:pgMar w:left="1400" w:top="1025" w:right="1380" w:bottom="70" w:gutter="0" w:footer="0" w:header="0"/>
          <w:type w:val="continuous"/>
        </w:sectPr>
      </w:pPr>
    </w:p>
    <w:bookmarkStart w:id="38" w:name="page39"/>
    <w:bookmarkEnd w:id="38"/>
    <w:p>
      <w:pPr>
        <w:ind w:right="80"/>
        <w:spacing w:after="0" w:line="279" w:lineRule="auto"/>
        <w:rPr>
          <w:sz w:val="20"/>
          <w:szCs w:val="20"/>
          <w:color w:val="auto"/>
        </w:rPr>
      </w:pPr>
      <w:r>
        <w:rPr>
          <w:rFonts w:ascii="Times New Roman" w:cs="Times New Roman" w:eastAsia="Times New Roman" w:hAnsi="Times New Roman"/>
          <w:sz w:val="20"/>
          <w:szCs w:val="20"/>
          <w:color w:val="auto"/>
        </w:rPr>
        <w:t>we and our stockholders have limited rights against our present and former directors and executive officers, which could limit your recourse in the event of actions not in your best interest.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Qualification and Operation as a REIT</w:t>
      </w:r>
    </w:p>
    <w:p>
      <w:pPr>
        <w:spacing w:after="0" w:line="172" w:lineRule="exact"/>
        <w:rPr>
          <w:sz w:val="20"/>
          <w:szCs w:val="20"/>
          <w:color w:val="auto"/>
        </w:rPr>
      </w:pPr>
    </w:p>
    <w:p>
      <w:pPr>
        <w:ind w:right="24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Failure to remain qualified as a REIT, would cause us to be taxed as a regular corporation, which would substantially reduce funds available for distributions to our stockholders.</w:t>
      </w:r>
    </w:p>
    <w:p>
      <w:pPr>
        <w:spacing w:after="0" w:line="99"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We believe that our organization and method of operation has enabled us to meet the requirements for qualification and taxation as a REIT commencing with our taxable year ended December 31, 2020, and we intend to continue to be organized and operate in such a manner. However, we cannot assure you that we will remain qualified as a REIT. Accordingly, no assurance can be given that our actual results of operations for any particular taxable year will satisfy such requirements.</w:t>
      </w:r>
    </w:p>
    <w:p>
      <w:pPr>
        <w:spacing w:after="0" w:line="120" w:lineRule="exact"/>
        <w:rPr>
          <w:sz w:val="20"/>
          <w:szCs w:val="20"/>
          <w:color w:val="auto"/>
        </w:rPr>
      </w:pPr>
    </w:p>
    <w:p>
      <w:pPr>
        <w:ind w:right="580" w:firstLine="399"/>
        <w:spacing w:after="0" w:line="282" w:lineRule="auto"/>
        <w:rPr>
          <w:sz w:val="20"/>
          <w:szCs w:val="20"/>
          <w:color w:val="auto"/>
        </w:rPr>
      </w:pPr>
      <w:r>
        <w:rPr>
          <w:rFonts w:ascii="Times New Roman" w:cs="Times New Roman" w:eastAsia="Times New Roman" w:hAnsi="Times New Roman"/>
          <w:sz w:val="20"/>
          <w:szCs w:val="20"/>
          <w:color w:val="auto"/>
        </w:rPr>
        <w:t>If we fail to qualify as a REIT in any taxable year, we will face serious tax consequences that will substantially reduce the funds available for distributions to our stockholders because:</w:t>
      </w:r>
    </w:p>
    <w:p>
      <w:pPr>
        <w:spacing w:after="0" w:line="54" w:lineRule="exact"/>
        <w:rPr>
          <w:sz w:val="20"/>
          <w:szCs w:val="20"/>
          <w:color w:val="auto"/>
        </w:rPr>
      </w:pPr>
    </w:p>
    <w:p>
      <w:pPr>
        <w:ind w:left="580" w:right="280" w:hanging="191"/>
        <w:spacing w:after="0" w:line="282" w:lineRule="auto"/>
        <w:tabs>
          <w:tab w:leader="none" w:pos="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would not be allowed a deduction for dividends paid to stockholders in computing our taxable income and would be subject to U.S. federal income tax at regular corporate rates;</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subject to increased state and local taxes; and</w:t>
      </w:r>
    </w:p>
    <w:p>
      <w:pPr>
        <w:spacing w:after="0" w:line="127" w:lineRule="exact"/>
        <w:rPr>
          <w:rFonts w:ascii="Times New Roman" w:cs="Times New Roman" w:eastAsia="Times New Roman" w:hAnsi="Times New Roman"/>
          <w:sz w:val="20"/>
          <w:szCs w:val="20"/>
          <w:color w:val="auto"/>
        </w:rPr>
      </w:pPr>
    </w:p>
    <w:p>
      <w:pPr>
        <w:ind w:left="580" w:right="20" w:hanging="191"/>
        <w:spacing w:after="0" w:line="282" w:lineRule="auto"/>
        <w:tabs>
          <w:tab w:leader="none" w:pos="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we are entitled to relief under certain U.S. federal income tax laws, we could not re-elect REIT status until the fifth calendar year after the year in which we failed to qualify as a REIT.</w:t>
      </w:r>
    </w:p>
    <w:p>
      <w:pPr>
        <w:spacing w:after="0" w:line="94"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securities.</w:t>
      </w:r>
    </w:p>
    <w:p>
      <w:pPr>
        <w:spacing w:after="0" w:line="118" w:lineRule="exact"/>
        <w:rPr>
          <w:sz w:val="20"/>
          <w:szCs w:val="20"/>
          <w:color w:val="auto"/>
        </w:rPr>
      </w:pPr>
    </w:p>
    <w:p>
      <w:pPr>
        <w:ind w:firstLine="399"/>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Even if we remain qualified as a REIT, we may face other tax liabilities that could reduce our cash flows and negatively impact our results of operations and financial condition.</w:t>
      </w:r>
    </w:p>
    <w:p>
      <w:pPr>
        <w:spacing w:after="0" w:line="99"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any partnership in which we have an interest may be liable at the entity level for tax imposed under those procedures. Further, our taxable REIT subsidiaries (“TRSs”) will be subject to regular corporate U.S. federal, state and local taxes. The TRS rules also impose a 100% excise tax on certain transactions between a TRS and its parent REIT that are not conducted on an arm’s-length basis. Any of these taxes would decrease cash available for distributions to stockholders, which, in turn, could materially adversely affect our business, financial condition, results of operations or ability to make distributions to our stockholders and the trading price of our securities.</w:t>
      </w:r>
    </w:p>
    <w:p>
      <w:pPr>
        <w:spacing w:after="0" w:line="371" w:lineRule="exact"/>
        <w:rPr>
          <w:sz w:val="20"/>
          <w:szCs w:val="20"/>
          <w:color w:val="auto"/>
        </w:rPr>
      </w:pPr>
    </w:p>
    <w:p>
      <w:pPr>
        <w:ind w:right="420" w:firstLine="399"/>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If we failed to distribute our Pre-REIT Conversion Earnings and Profits, we could fail to qualify as a REIT.</w:t>
      </w:r>
    </w:p>
    <w:p>
      <w:pPr>
        <w:spacing w:after="0" w:line="99"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To qualify as a REIT, we must not have any non-REIT accumulated earnings and profits, as measured for U.S. federal income tax purposes, at the end of any REIT taxable year. We were treated as a C corporation prior to our first REIT year, which was our taxable year ended December 31, 2020. Thus, we were required to distribute our Pre-REIT Conversion Earnings and Profits by the end of the 2020 taxable year. While we believe that the Special Distribution satisfied the requirements relating to the distribution of our Pre-REIT Conversion Earnings and Profits, the determination of the amount of accumulated earnings and profits attributable to non-REIT years is a complex factual and legal determination. There are substantial uncertainties relating to the computation of our Pre-REIT Earnings and Profits. For example, information used at the time we completed our analysis may have been less than complete or we may have interpreted the applicable law differently from the IRS. Thus, we could have failed to satisfy the requirement that we distribute all of our Pre-REIT Conversion Earnings and Profits by the close of our first taxable year as a REIT. Although there are procedures available to cure a failure to distribute all of our Pre-REIT Conversion Earnings and Profits, we cannot now determine whether we will be able to take advantage of them or the</w:t>
      </w:r>
    </w:p>
    <w:p>
      <w:pPr>
        <w:sectPr>
          <w:pgSz w:w="11880" w:h="15480" w:orient="portrait"/>
          <w:cols w:equalWidth="0" w:num="1">
            <w:col w:w="9100"/>
          </w:cols>
          <w:pgMar w:left="1400" w:top="1025" w:right="1380" w:bottom="71" w:gutter="0" w:footer="0" w:header="0"/>
        </w:sect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100"/>
          </w:cols>
          <w:pgMar w:left="1400" w:top="1025" w:right="1380" w:bottom="71" w:gutter="0" w:footer="0" w:header="0"/>
          <w:type w:val="continuous"/>
        </w:sectPr>
      </w:pPr>
    </w:p>
    <w:bookmarkStart w:id="39" w:name="page40"/>
    <w:bookmarkEnd w:id="39"/>
    <w:p>
      <w:pPr>
        <w:spacing w:after="0" w:line="261" w:lineRule="auto"/>
        <w:rPr>
          <w:sz w:val="20"/>
          <w:szCs w:val="20"/>
          <w:color w:val="auto"/>
        </w:rPr>
      </w:pPr>
      <w:r>
        <w:rPr>
          <w:rFonts w:ascii="Times New Roman" w:cs="Times New Roman" w:eastAsia="Times New Roman" w:hAnsi="Times New Roman"/>
          <w:sz w:val="20"/>
          <w:szCs w:val="20"/>
          <w:color w:val="auto"/>
        </w:rPr>
        <w:t>economic impact to us of doing so. If it is determined that we had undistributed Pre-REIT Conversion Earnings and Profits as of the end of any taxable year in which we elect to qualify as a REIT, and we are unable to cure the failure to distribute such earnings and profits, then we would fail to qualify as a REIT under the Code.</w:t>
      </w: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Failure to make required distributions would subject us to U.S. federal corporate income tax.</w:t>
      </w:r>
    </w:p>
    <w:p>
      <w:pPr>
        <w:spacing w:after="0" w:line="166"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if the actual amount that we pay out to our stockholders in a calendar year is less than a minimum amount specified under the Code.</w:t>
      </w:r>
    </w:p>
    <w:p>
      <w:pPr>
        <w:spacing w:after="0" w:line="128" w:lineRule="exact"/>
        <w:rPr>
          <w:sz w:val="20"/>
          <w:szCs w:val="20"/>
          <w:color w:val="auto"/>
        </w:rPr>
      </w:pPr>
    </w:p>
    <w:p>
      <w:pPr>
        <w:ind w:right="60" w:firstLine="399"/>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Complying with REIT requirements may cause us to forego otherwise attractive opportunities or liquidate otherwise attractive investments.</w:t>
      </w:r>
    </w:p>
    <w:p>
      <w:pPr>
        <w:spacing w:after="0" w:line="99" w:lineRule="exact"/>
        <w:rPr>
          <w:sz w:val="20"/>
          <w:szCs w:val="20"/>
          <w:color w:val="auto"/>
        </w:rPr>
      </w:pPr>
    </w:p>
    <w:p>
      <w:pPr>
        <w:ind w:right="20" w:firstLine="399"/>
        <w:spacing w:after="0" w:line="256" w:lineRule="auto"/>
        <w:rPr>
          <w:sz w:val="20"/>
          <w:szCs w:val="20"/>
          <w:color w:val="auto"/>
        </w:rPr>
      </w:pPr>
      <w:r>
        <w:rPr>
          <w:rFonts w:ascii="Times New Roman" w:cs="Times New Roman" w:eastAsia="Times New Roman" w:hAnsi="Times New Roman"/>
          <w:sz w:val="20"/>
          <w:szCs w:val="20"/>
          <w:color w:val="auto"/>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spacing w:after="0" w:line="120"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securities of TRSs and qualified real estate assets) can consist of the securities of any one issuer, no more than 25%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spacing w:after="0" w:line="379" w:lineRule="exact"/>
        <w:rPr>
          <w:sz w:val="20"/>
          <w:szCs w:val="20"/>
          <w:color w:val="auto"/>
        </w:rPr>
      </w:pPr>
    </w:p>
    <w:p>
      <w:pPr>
        <w:ind w:right="20" w:firstLine="399"/>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Complying with REIT requirements may limit our ability to hedge our liabilities effectively and may cause us to incur tax liabilities.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REIT provisions of the Code may limit our ability to hedge our liabilities. Any income from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hedging transaction we enter into to manage risk of interest rate changes, price changes or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fluctuations with respect to borrowings made or to be made to acquire or carry real estate assets, if properly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identified under applicable Treasury Regulations, does not constitute “gross income” for purposes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75% or 95% gross income tests applicable to REITs. In addition, certain income from hedging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entered into to hedge existing hedging positions after any portion of the hedged indebtedness or property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extinguished or disposed of will not be included in income for purposes of the 75% and 95% gross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tests. To the extent that we enter into other types of hedging transactions, the income from those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likely be treated as non-qualifying income for purposes of both of the gross income tests. As a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these rules, we may need to limit our use of advantageous hedging techniques or implement those hedges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through a TRS. This could increase the cost of our hedging activities because our TRS would be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tax on gains or expose us to greater risks associated with changes in interest rates than we would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bear. In addition, losses in a TRS generally will not provide any tax benefit, except for being carried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forward against future taxable income of such TRS.</w:t>
      </w:r>
    </w:p>
    <w:p>
      <w:pPr>
        <w:sectPr>
          <w:pgSz w:w="11880" w:h="15480" w:orient="portrait"/>
          <w:cols w:equalWidth="0" w:num="1">
            <w:col w:w="9100"/>
          </w:cols>
          <w:pgMar w:left="1400" w:top="1025" w:right="1380" w:bottom="70" w:gutter="0" w:footer="0" w:header="0"/>
        </w:sect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100"/>
          </w:cols>
          <w:pgMar w:left="1400" w:top="1025" w:right="1380" w:bottom="70" w:gutter="0" w:footer="0" w:header="0"/>
          <w:type w:val="continuous"/>
        </w:sectPr>
      </w:pPr>
    </w:p>
    <w:bookmarkStart w:id="40" w:name="page41"/>
    <w:bookmarkEnd w:id="40"/>
    <w:p>
      <w:pPr>
        <w:ind w:right="160" w:firstLine="399"/>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Our ability to provide certain services to our tenants may be limited by the REIT rules or may have to be provided through a TRS.</w:t>
      </w:r>
    </w:p>
    <w:p>
      <w:pPr>
        <w:spacing w:after="0" w:line="99"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The prohibited transactions tax may limit our ability to dispose of our properties.</w:t>
      </w:r>
    </w:p>
    <w:p>
      <w:pPr>
        <w:spacing w:after="0" w:line="168"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may structure dispositions as Section 1031 like-kind exchanges, or may conduct such sales through a TRS, whose sale of properties would be subject to U.S. federal corporate income tax.</w:t>
      </w:r>
    </w:p>
    <w:p>
      <w:pPr>
        <w:spacing w:after="0" w:line="373" w:lineRule="exact"/>
        <w:rPr>
          <w:sz w:val="20"/>
          <w:szCs w:val="20"/>
          <w:color w:val="auto"/>
        </w:rPr>
      </w:pPr>
    </w:p>
    <w:p>
      <w:pPr>
        <w:ind w:right="340" w:firstLine="399"/>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may pay taxable dividends in our stock and cash, in which case stockholders may sell shares of our stock to pay tax on such dividends, placing downward pressure on the market price of our stock.</w:t>
      </w:r>
    </w:p>
    <w:p>
      <w:pPr>
        <w:spacing w:after="0" w:line="99" w:lineRule="exact"/>
        <w:rPr>
          <w:sz w:val="20"/>
          <w:szCs w:val="20"/>
          <w:color w:val="auto"/>
        </w:rPr>
      </w:pPr>
    </w:p>
    <w:p>
      <w:pPr>
        <w:ind w:right="40" w:firstLine="399"/>
        <w:spacing w:after="0" w:line="256" w:lineRule="auto"/>
        <w:rPr>
          <w:sz w:val="20"/>
          <w:szCs w:val="20"/>
          <w:color w:val="auto"/>
        </w:rPr>
      </w:pPr>
      <w:r>
        <w:rPr>
          <w:rFonts w:ascii="Times New Roman" w:cs="Times New Roman" w:eastAsia="Times New Roman" w:hAnsi="Times New Roman"/>
          <w:sz w:val="20"/>
          <w:szCs w:val="20"/>
          <w:color w:val="auto"/>
        </w:rPr>
        <w:t>We may satisfy the 90% distribution test with taxable distributions of our stock. The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w:t>
      </w:r>
    </w:p>
    <w:p>
      <w:pPr>
        <w:spacing w:after="0" w:line="125"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With respect to any taxable dividend payable in cash and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stock that it receives as a dividend in order to pay this tax, the sales proceeds may be less than the amount included in income with respect to the dividend, depending on the market price of our stock at the time of the sale. Furthermore, with respect to certain non-U.S. stockholders, we may be required to withhold U.S. federal income tax with respect to such dividends, including in respect of all or a portion of such dividend that is payable in stock. If we make a taxable dividend payable in cash and our stock and a significant number of our stockholders determine to sell shares of our stock in order to pay taxes owed on dividends, it may put downward pressure on the trading price of our stock.</w:t>
      </w:r>
    </w:p>
    <w:p>
      <w:pPr>
        <w:spacing w:after="0" w:line="367" w:lineRule="exact"/>
        <w:rPr>
          <w:sz w:val="20"/>
          <w:szCs w:val="20"/>
          <w:color w:val="auto"/>
        </w:rPr>
      </w:pPr>
    </w:p>
    <w:p>
      <w:pPr>
        <w:ind w:right="620" w:firstLine="399"/>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The ability of the Board to revoke our REIT qualification without stockholder approval may cause adverse consequences to our stockholders.</w:t>
      </w:r>
    </w:p>
    <w:p>
      <w:pPr>
        <w:spacing w:after="0" w:line="99"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sectPr>
          <w:pgSz w:w="11880" w:h="15480" w:orient="portrait"/>
          <w:cols w:equalWidth="0" w:num="1">
            <w:col w:w="9100"/>
          </w:cols>
          <w:pgMar w:left="1400" w:top="1026"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100"/>
          </w:cols>
          <w:pgMar w:left="1400" w:top="1026" w:right="1380" w:bottom="70" w:gutter="0" w:footer="0" w:header="0"/>
          <w:type w:val="continuous"/>
        </w:sectPr>
      </w:pPr>
    </w:p>
    <w:bookmarkStart w:id="41" w:name="page42"/>
    <w:bookmarkEnd w:id="41"/>
    <w:p>
      <w:pPr>
        <w:ind w:right="60" w:firstLine="399"/>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There are limits on our ownership of TRSs and our transactions with a TRS may cause us to be subject to a 100% penalty tax on certain income or deductions if those transactions are not conducted on arm’s-length terms.</w:t>
      </w:r>
    </w:p>
    <w:p>
      <w:pPr>
        <w:spacing w:after="0" w:line="116"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Overall, no more than 25% of the value of a REIT’s assets may consist of stock or securities of one or more TRS. A TRS will be subject to applicable U.S. federal, state and local corporate income tax on its taxable income, and its after tax net income will be available for distribution to us but is not required to be distributed to us. In addition, the Code limits the deductibility of interest paid or accrued by a TRS to its parent REIT to assure that the TRS is subject to an appropriate level of corporate taxation and, in certain circumstances, other limitations on deductibility may apply. The Code also imposes a 100% excise tax on certain transactions between a TRS and its parent REIT that are not conducted on an arm’s-length basis. We will monitor the value of our respective investments in our TRS for the purpose of ensuring compliance with TRS ownership limitations and will structure our transactions with such TRS on terms that we believe are arm’s length to avoid incurring the 100% excise tax described above. There can be no assurance, however, that we will be able to comply with the 25% limitation or to avoid application of the 100% excise tax.</w:t>
      </w:r>
    </w:p>
    <w:p>
      <w:pPr>
        <w:spacing w:after="0" w:line="371" w:lineRule="exact"/>
        <w:rPr>
          <w:sz w:val="20"/>
          <w:szCs w:val="20"/>
          <w:color w:val="auto"/>
        </w:rPr>
      </w:pPr>
    </w:p>
    <w:p>
      <w:pPr>
        <w:ind w:right="20" w:firstLine="399"/>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If a transaction intended to qualify as a Section 1031 like-kind exchange is later determined to be taxable, or if we are unable to identify and complete the acquisition of suitable replacement property to effect a Section 1031 like-kind exchange, we may face adverse consequences.</w:t>
      </w:r>
    </w:p>
    <w:p>
      <w:pPr>
        <w:spacing w:after="0" w:line="115"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From time to time we seek to dispose of properties in transactions that are intended to qualify as tax-deferred “like kind exchanges” under Section 1031 of the Code (“Section 1031”). It is possible that the qualification of a transaction as a Section 1031 exchange could be successfully challenged and determined to be currently taxable. It is also possible that we are unable to identify and complete the acquisition of suitable replacement property to effect a Section 1031 exchange. In any such case, our taxable income and earnings and profits would increase. This could increase the dividend income to our stockholders by reducing any return of capital they received. In some circumstances, we may be required to pay additional dividends or, in lieu of that, corporate income tax, possibly including interest and penalties. As a result, we may be required to borrow funds in order to pay additional dividends or taxes, and the payment of such taxes could cause us to have less cash available to distribute to our shareholders. In addition, if a Section 1031 exchange were later determined to be taxable, we may be required to amend our tax returns for the applicable year in question, including any information reports we sent our stockholders. Moreover, it is possible that legislation could be enacted that could modify or repeal the laws with respect to Section 1031 exchanges, which could make it more difficult or not possible for us to dispose of properties on a tax-deferred basis.</w:t>
      </w:r>
    </w:p>
    <w:p>
      <w:pPr>
        <w:spacing w:after="0" w:line="132" w:lineRule="exact"/>
        <w:rPr>
          <w:sz w:val="20"/>
          <w:szCs w:val="20"/>
          <w:color w:val="auto"/>
        </w:rPr>
      </w:pPr>
    </w:p>
    <w:p>
      <w:pPr>
        <w:ind w:right="40" w:firstLine="399"/>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If the provisions of Section 1031 were altered substantially or eliminated, our financial position, results of operations and cash flows could be adversely impacted.</w:t>
      </w:r>
    </w:p>
    <w:p>
      <w:pPr>
        <w:spacing w:after="0" w:line="99"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A fundamental element of our strategy is investing in income-producing properties, in some instances utilizing the proceeds obtained from the disposition of our income properties in tax deferred like-kind exchanges. As noted above, the use of Section 1031 will generally allow us to avoid the Built-in Gains Tax that may apply during the five-year period following our REIT conversion. If Section 1031, including the deferral of taxes on gains related to the sale of real property such as our income properties, were to be altered substantially or eliminated, we may be limited in our ability to dispose of properties and may be subject to increased income taxes, including the Built-in Gains Tax, which may have a material adverse effect on our results of operations and our cash flows.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You may be restricted from acquiring or transferring certain amounts of our common stock.</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stock ownership restrictions for REITs in the Code and the 9.8% share ownership limit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charter may inhibit market activity in our capital stock and restrict our business combination opportunities.</w:t>
      </w:r>
    </w:p>
    <w:p>
      <w:pPr>
        <w:spacing w:after="0" w:line="169"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In order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 of capital stock during at least 335 days of each taxable</w:t>
      </w:r>
    </w:p>
    <w:p>
      <w:pPr>
        <w:sectPr>
          <w:pgSz w:w="11880" w:h="15480" w:orient="portrait"/>
          <w:cols w:equalWidth="0" w:num="1">
            <w:col w:w="9100"/>
          </w:cols>
          <w:pgMar w:left="1400" w:top="1026" w:right="1380" w:bottom="70" w:gutter="0" w:footer="0" w:header="0"/>
        </w:sect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100"/>
          </w:cols>
          <w:pgMar w:left="1400" w:top="1026" w:right="1380" w:bottom="70" w:gutter="0" w:footer="0" w:header="0"/>
          <w:type w:val="continuous"/>
        </w:sectPr>
      </w:pPr>
    </w:p>
    <w:bookmarkStart w:id="42" w:name="page43"/>
    <w:bookmarkEnd w:id="42"/>
    <w:p>
      <w:pPr>
        <w:ind w:right="200"/>
        <w:spacing w:after="0" w:line="270" w:lineRule="auto"/>
        <w:rPr>
          <w:sz w:val="20"/>
          <w:szCs w:val="20"/>
          <w:color w:val="auto"/>
        </w:rPr>
      </w:pPr>
      <w:r>
        <w:rPr>
          <w:rFonts w:ascii="Times New Roman" w:cs="Times New Roman" w:eastAsia="Times New Roman" w:hAnsi="Times New Roman"/>
          <w:sz w:val="20"/>
          <w:szCs w:val="20"/>
          <w:color w:val="auto"/>
        </w:rPr>
        <w:t>year other than our initial REIT taxable year (i.e., our taxable year ended December 31, 2020). To help insure that we meet these tests, our charter restricts the acquisition and ownership of shares of our capital stock.</w:t>
      </w:r>
    </w:p>
    <w:p>
      <w:pPr>
        <w:spacing w:after="0" w:line="349"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 to continue to qualify as a REIT.</w:t>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Dividends payable by REITs do not qualify for the reduced tax rates available for some dividends.</w:t>
      </w:r>
    </w:p>
    <w:p>
      <w:pPr>
        <w:spacing w:after="0" w:line="164" w:lineRule="exact"/>
        <w:rPr>
          <w:sz w:val="20"/>
          <w:szCs w:val="20"/>
          <w:color w:val="auto"/>
        </w:rPr>
      </w:pPr>
    </w:p>
    <w:p>
      <w:pPr>
        <w:ind w:firstLine="399"/>
        <w:spacing w:after="0" w:line="245" w:lineRule="auto"/>
        <w:rPr>
          <w:sz w:val="20"/>
          <w:szCs w:val="20"/>
          <w:color w:val="auto"/>
        </w:rPr>
      </w:pPr>
      <w:r>
        <w:rPr>
          <w:rFonts w:ascii="Times New Roman" w:cs="Times New Roman" w:eastAsia="Times New Roman" w:hAnsi="Times New Roman"/>
          <w:sz w:val="20"/>
          <w:szCs w:val="20"/>
          <w:color w:val="auto"/>
        </w:rPr>
        <w:t>The maximum U.S. federal income tax rate applicable to “qualified dividend income” payable to U.S. stockholders that are taxed at individual rates is 20% (plus the 3.8% surtax on net investment income, if applicable). Dividends payable by REITs, however, generally are not eligible for the reduced rates on qualified dividend income. However, ordinary REIT dividends constitute “qualified business income” and thus a</w:t>
      </w:r>
    </w:p>
    <w:p>
      <w:pPr>
        <w:spacing w:after="0" w:line="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and preferred stock.</w:t>
      </w:r>
    </w:p>
    <w:p>
      <w:pPr>
        <w:spacing w:after="0" w:line="131" w:lineRule="exact"/>
        <w:rPr>
          <w:sz w:val="20"/>
          <w:szCs w:val="20"/>
          <w:color w:val="auto"/>
        </w:rPr>
      </w:pPr>
    </w:p>
    <w:p>
      <w:pPr>
        <w:ind w:right="560" w:firstLine="399"/>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adverse legislative or regulatory tax changes, in each instance with potentially retroactive effect, that could reduce the market price of our securities.</w:t>
      </w:r>
    </w:p>
    <w:p>
      <w:pPr>
        <w:spacing w:after="0" w:line="99" w:lineRule="exact"/>
        <w:rPr>
          <w:sz w:val="20"/>
          <w:szCs w:val="20"/>
          <w:color w:val="auto"/>
        </w:rPr>
      </w:pPr>
    </w:p>
    <w:p>
      <w:pPr>
        <w:ind w:firstLine="399"/>
        <w:spacing w:after="0" w:line="247" w:lineRule="auto"/>
        <w:rPr>
          <w:sz w:val="20"/>
          <w:szCs w:val="20"/>
          <w:color w:val="auto"/>
        </w:rPr>
      </w:pPr>
      <w:r>
        <w:rPr>
          <w:rFonts w:ascii="Times New Roman" w:cs="Times New Roman" w:eastAsia="Times New Roman" w:hAnsi="Times New Roman"/>
          <w:sz w:val="20"/>
          <w:szCs w:val="20"/>
          <w:color w:val="auto"/>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w:t>
      </w:r>
    </w:p>
    <w:p>
      <w:pPr>
        <w:spacing w:after="0" w:line="4"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20"/>
          <w:szCs w:val="20"/>
          <w:color w:val="auto"/>
        </w:rPr>
        <w:t>any such change in the U.S. federal income tax laws, regulations or administrative interpretations which, in turn, could materially adversely affect our ability to make distributions to our stockholders and the trading price of our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Associated with our Common Stock</w:t>
      </w:r>
    </w:p>
    <w:p>
      <w:pPr>
        <w:spacing w:after="0" w:line="173" w:lineRule="exact"/>
        <w:rPr>
          <w:sz w:val="20"/>
          <w:szCs w:val="20"/>
          <w:color w:val="auto"/>
        </w:rPr>
      </w:pPr>
    </w:p>
    <w:p>
      <w:pPr>
        <w:ind w:right="60" w:firstLine="399"/>
        <w:spacing w:after="0" w:line="283" w:lineRule="auto"/>
        <w:rPr>
          <w:sz w:val="20"/>
          <w:szCs w:val="20"/>
          <w:color w:val="auto"/>
        </w:rPr>
      </w:pPr>
      <w:r>
        <w:rPr>
          <w:rFonts w:ascii="Times New Roman" w:cs="Times New Roman" w:eastAsia="Times New Roman" w:hAnsi="Times New Roman"/>
          <w:sz w:val="19"/>
          <w:szCs w:val="19"/>
          <w:b w:val="1"/>
          <w:bCs w:val="1"/>
          <w:i w:val="1"/>
          <w:iCs w:val="1"/>
          <w:color w:val="auto"/>
        </w:rPr>
        <w:t>The Company may from time to time have stockholders that beneficially own more than 5% of the Company’s outstanding common stock and exercise the related voting rights of those shares. Actions by these stockholders, including trading activity, could have a material adverse impact on the trading price of our stock.</w:t>
      </w:r>
    </w:p>
    <w:p>
      <w:pPr>
        <w:spacing w:after="0" w:line="98" w:lineRule="exact"/>
        <w:rPr>
          <w:sz w:val="20"/>
          <w:szCs w:val="20"/>
          <w:color w:val="auto"/>
        </w:rPr>
      </w:pPr>
    </w:p>
    <w:p>
      <w:pPr>
        <w:ind w:right="60" w:firstLine="399"/>
        <w:spacing w:after="0" w:line="259" w:lineRule="auto"/>
        <w:rPr>
          <w:sz w:val="20"/>
          <w:szCs w:val="20"/>
          <w:color w:val="auto"/>
        </w:rPr>
      </w:pPr>
      <w:r>
        <w:rPr>
          <w:rFonts w:ascii="Times New Roman" w:cs="Times New Roman" w:eastAsia="Times New Roman" w:hAnsi="Times New Roman"/>
          <w:sz w:val="20"/>
          <w:szCs w:val="20"/>
          <w:color w:val="auto"/>
        </w:rPr>
        <w:t>Certain of our stockholders may from time to time beneficially own more than 5% of the outstanding common stock of the Company. Any substantial trading activity executed by these large stockholders could have an adverse impact on the trading price of the Company’s stock which may impact our ability to raise capital through equity financing, which may adversely impact our ability to execute our business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Operational Risks</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Our operations could be negatively impacted by the loss of key management personnel</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ind w:right="400" w:firstLine="399"/>
        <w:spacing w:after="0" w:line="282" w:lineRule="auto"/>
        <w:rPr>
          <w:sz w:val="20"/>
          <w:szCs w:val="20"/>
          <w:color w:val="auto"/>
        </w:rPr>
      </w:pPr>
      <w:r>
        <w:rPr>
          <w:rFonts w:ascii="Times New Roman" w:cs="Times New Roman" w:eastAsia="Times New Roman" w:hAnsi="Times New Roman"/>
          <w:sz w:val="20"/>
          <w:szCs w:val="20"/>
          <w:color w:val="auto"/>
        </w:rPr>
        <w:t>We believe our future success depends, to a significant extent, on the efforts of each member of the Company’s senior management and our ability to attract and retain key personnel. The loss of, or our</w:t>
      </w:r>
    </w:p>
    <w:p>
      <w:pPr>
        <w:sectPr>
          <w:pgSz w:w="11880" w:h="15480" w:orient="portrait"/>
          <w:cols w:equalWidth="0" w:num="1">
            <w:col w:w="9100"/>
          </w:cols>
          <w:pgMar w:left="1400" w:top="1025" w:right="1380" w:bottom="70" w:gutter="0" w:footer="0" w:header="0"/>
        </w:sect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100"/>
          </w:cols>
          <w:pgMar w:left="1400" w:top="1025" w:right="1380" w:bottom="70" w:gutter="0" w:footer="0" w:header="0"/>
          <w:type w:val="continuous"/>
        </w:sectPr>
      </w:pPr>
    </w:p>
    <w:bookmarkStart w:id="43" w:name="page44"/>
    <w:bookmarkEnd w:id="43"/>
    <w:p>
      <w:pPr>
        <w:ind w:right="80"/>
        <w:spacing w:after="0" w:line="270" w:lineRule="auto"/>
        <w:rPr>
          <w:sz w:val="20"/>
          <w:szCs w:val="20"/>
          <w:color w:val="auto"/>
        </w:rPr>
      </w:pPr>
      <w:r>
        <w:rPr>
          <w:rFonts w:ascii="Times New Roman" w:cs="Times New Roman" w:eastAsia="Times New Roman" w:hAnsi="Times New Roman"/>
          <w:sz w:val="20"/>
          <w:szCs w:val="20"/>
          <w:color w:val="auto"/>
        </w:rPr>
        <w:t>inability to replace, any member of senior management could adversely affect our operations and our ability to execute our business strategies and thereby our financial condition, results of operations and cash flows.</w:t>
      </w:r>
    </w:p>
    <w:p>
      <w:pPr>
        <w:spacing w:after="0" w:line="3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Uninsured losses may adversely affect the Company’s financial condition and results of operations.</w:t>
      </w:r>
    </w:p>
    <w:p>
      <w:pPr>
        <w:spacing w:after="0" w:line="154"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The Company’s income-producing properties are generally covered by comprehensive liability, fire, and extended insurance coverage, typically paid by the tenant under the triple-net and double-net lease structure. The Company believes the insurance carried on our properties is adequate and in accordance with industry standards. There are, however, types of losses (such as from hurricanes, earthquakes, floods or other types of natural disasters, or wars, terrorism, or other acts of violence) which may be uninsurable or the cost of insuring against these losses may not be economically justifiable. If an uninsured loss occurs or a loss exceeds policy limits, the Company could lose both its invested capital and anticipated revenues from the property, thereby reducing the Company’s cash flow, impairing the value of the impacted income properties and adversely impacting the Company’s financial condition and results of operations.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Property insurance costs may continue to increase, and in some cases insurance may not be available.</w:t>
      </w:r>
    </w:p>
    <w:p>
      <w:pPr>
        <w:spacing w:after="0" w:line="154"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In the past few years, the costs of property insurance have increased significantly, and these increased costs have had an adverse effect on us. In addition, in some instances, property insurance may be unavailable altogether. Increased insurance costs or the unavailability of some insurance coverages altogether have adversely affected our ability to profitably operate and dispose of our income properties, as well as the ability of the owners of the properties that secure our commercial loans and other investments to profitably operate and dispose of those properties. Market conditions may also limit the scope of insurance or coverage available to us or the owners of the properties that secure our commercial loans and other investments on economic terms. Any uninsured loss with respect to a property relating to one of our investments could result in the corresponding non-performance of or loss on our investment related to such property. See “— Other Operational Risks — Uninsured losses may adversely affect the Company’s financial condition and results of operations.”</w:t>
      </w:r>
    </w:p>
    <w:p>
      <w:pPr>
        <w:spacing w:after="0" w:line="355"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information systems and certain third-party technology service providers, and systems failures not related to cyber-attacks or similar external attacks could significantly disrupt our business, which may, in turn, negatively affect the market price of our common stock and preferred stock and adversely impact our results of operations and cash flows.</w:t>
      </w:r>
    </w:p>
    <w:p>
      <w:pPr>
        <w:spacing w:after="0" w:line="110"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Our business is highly dependent on communications and information systems. Any failure or interruption of our systems or our networks could cause delays or other problems in our operations and communications. We rely heavily on our financial, accounting and other data processing systems. In addition, much of our information technology infrastructure is managed by a third party and as such we also face the risk of operational failure, termination, or capacity constraints by this third party. It is difficult to determine what, if any, negative impact may directly result from any specific interruption or disruption of our networks or systems or any failure to maintain performance, reliability and security of our technological infrastructure, but significant events impacting our systems or networks could have a material adverse effect on our operating results and cash flows and negatively affect the market price of our common stock and preferred stock.</w:t>
      </w:r>
    </w:p>
    <w:p>
      <w:pPr>
        <w:spacing w:after="0" w:line="358" w:lineRule="exact"/>
        <w:rPr>
          <w:sz w:val="20"/>
          <w:szCs w:val="20"/>
          <w:color w:val="auto"/>
        </w:rPr>
      </w:pPr>
    </w:p>
    <w:p>
      <w:pPr>
        <w:ind w:right="24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make a number of judgments in applying accounting policies, and different estimates and assumptions could result in changes to our financial condition and results of operations.</w:t>
      </w:r>
    </w:p>
    <w:p>
      <w:pPr>
        <w:spacing w:after="0" w:line="89" w:lineRule="exact"/>
        <w:rPr>
          <w:sz w:val="20"/>
          <w:szCs w:val="20"/>
          <w:color w:val="auto"/>
        </w:rPr>
      </w:pPr>
    </w:p>
    <w:p>
      <w:pPr>
        <w:ind w:right="60" w:firstLine="399"/>
        <w:spacing w:after="0" w:line="252" w:lineRule="auto"/>
        <w:rPr>
          <w:sz w:val="20"/>
          <w:szCs w:val="20"/>
          <w:color w:val="auto"/>
        </w:rPr>
      </w:pPr>
      <w:r>
        <w:rPr>
          <w:rFonts w:ascii="Times New Roman" w:cs="Times New Roman" w:eastAsia="Times New Roman" w:hAnsi="Times New Roman"/>
          <w:sz w:val="20"/>
          <w:szCs w:val="20"/>
          <w:color w:val="auto"/>
        </w:rPr>
        <w:t>Material estimates that are particularly susceptible to significant change underlie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Changes in accounting rules will affect our financial reporting.</w:t>
      </w:r>
    </w:p>
    <w:p>
      <w:pPr>
        <w:spacing w:after="0" w:line="152" w:lineRule="exact"/>
        <w:rPr>
          <w:sz w:val="20"/>
          <w:szCs w:val="20"/>
          <w:color w:val="auto"/>
        </w:rPr>
      </w:pPr>
    </w:p>
    <w:p>
      <w:pPr>
        <w:ind w:firstLine="399"/>
        <w:spacing w:after="0" w:line="279" w:lineRule="auto"/>
        <w:rPr>
          <w:sz w:val="20"/>
          <w:szCs w:val="20"/>
          <w:color w:val="auto"/>
        </w:rPr>
      </w:pPr>
      <w:r>
        <w:rPr>
          <w:rFonts w:ascii="Times New Roman" w:cs="Times New Roman" w:eastAsia="Times New Roman" w:hAnsi="Times New Roman"/>
          <w:sz w:val="20"/>
          <w:szCs w:val="20"/>
          <w:color w:val="auto"/>
        </w:rPr>
        <w:t>From time to time, the FASB and the SEC, who create and interpret appropriate accounting standards, may change the financial accounting and reporting standards or their interpretation and application of these</w:t>
      </w:r>
    </w:p>
    <w:p>
      <w:pPr>
        <w:sectPr>
          <w:pgSz w:w="11880" w:h="15480" w:orient="portrait"/>
          <w:cols w:equalWidth="0" w:num="1">
            <w:col w:w="9100"/>
          </w:cols>
          <w:pgMar w:left="1400" w:top="1025" w:right="1380" w:bottom="72"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100"/>
          </w:cols>
          <w:pgMar w:left="1400" w:top="1025" w:right="1380" w:bottom="72" w:gutter="0" w:footer="0" w:header="0"/>
          <w:type w:val="continuous"/>
        </w:sectPr>
      </w:pPr>
    </w:p>
    <w:bookmarkStart w:id="44" w:name="page45"/>
    <w:bookmarkEnd w:id="44"/>
    <w:p>
      <w:pPr>
        <w:ind w:right="420"/>
        <w:spacing w:after="0" w:line="257" w:lineRule="auto"/>
        <w:rPr>
          <w:sz w:val="20"/>
          <w:szCs w:val="20"/>
          <w:color w:val="auto"/>
        </w:rPr>
      </w:pPr>
      <w:r>
        <w:rPr>
          <w:rFonts w:ascii="Times New Roman" w:cs="Times New Roman" w:eastAsia="Times New Roman" w:hAnsi="Times New Roman"/>
          <w:sz w:val="20"/>
          <w:szCs w:val="20"/>
          <w:color w:val="auto"/>
        </w:rPr>
        <w:t>standards that govern the preparation of our financial statements. These changes could materially and adversely affect our reported financial condition and results of operations. In some cases, we could be required to apply a new or revised standard retroactively, resulting in restating prior period financial statements.</w:t>
      </w:r>
    </w:p>
    <w:p>
      <w:pPr>
        <w:spacing w:after="0" w:line="107" w:lineRule="exact"/>
        <w:rPr>
          <w:sz w:val="20"/>
          <w:szCs w:val="20"/>
          <w:color w:val="auto"/>
        </w:rPr>
      </w:pPr>
    </w:p>
    <w:p>
      <w:pPr>
        <w:ind w:right="240" w:firstLine="399"/>
        <w:spacing w:after="0" w:line="262" w:lineRule="auto"/>
        <w:rPr>
          <w:sz w:val="20"/>
          <w:szCs w:val="20"/>
          <w:color w:val="auto"/>
        </w:rPr>
      </w:pPr>
      <w:r>
        <w:rPr>
          <w:rFonts w:ascii="Times New Roman" w:cs="Times New Roman" w:eastAsia="Times New Roman" w:hAnsi="Times New Roman"/>
          <w:sz w:val="20"/>
          <w:szCs w:val="20"/>
          <w:color w:val="auto"/>
        </w:rPr>
        <w:t>For additional information regarding new accounting standards, refer to Note 2, “Summary of Significant Accounting Policies” in the notes to the consolidated financial statements in Item 8. under the heading “Recently Issued Accounting Standards.”</w:t>
      </w:r>
    </w:p>
    <w:p>
      <w:pPr>
        <w:spacing w:after="0" w:line="104" w:lineRule="exact"/>
        <w:rPr>
          <w:sz w:val="20"/>
          <w:szCs w:val="20"/>
          <w:color w:val="auto"/>
        </w:rPr>
      </w:pPr>
    </w:p>
    <w:p>
      <w:pPr>
        <w:ind w:right="120" w:firstLine="399"/>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spacing w:after="0" w:line="105"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The U.S government, including the U.S. Congress, the Federal Reserve, the U.S Treasury and other governmental and regulatory bodies have increased their focus on the regulation of the financial industry in recent years. New or modified regulations and related regulatory guidance may have unforeseen or unintended adverse effects on the financial industry. Laws, regulations or policies, including tax laws and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spacing w:after="0" w:line="117" w:lineRule="exact"/>
        <w:rPr>
          <w:sz w:val="20"/>
          <w:szCs w:val="20"/>
          <w:color w:val="auto"/>
        </w:rPr>
      </w:pPr>
    </w:p>
    <w:p>
      <w:pPr>
        <w:ind w:right="20" w:firstLine="399"/>
        <w:spacing w:after="0" w:line="254" w:lineRule="auto"/>
        <w:rPr>
          <w:sz w:val="20"/>
          <w:szCs w:val="20"/>
          <w:color w:val="auto"/>
        </w:rPr>
      </w:pPr>
      <w:r>
        <w:rPr>
          <w:rFonts w:ascii="Times New Roman" w:cs="Times New Roman" w:eastAsia="Times New Roman" w:hAnsi="Times New Roman"/>
          <w:sz w:val="20"/>
          <w:szCs w:val="20"/>
          <w:color w:val="auto"/>
        </w:rPr>
        <w:t>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spacing w:after="0" w:line="111" w:lineRule="exact"/>
        <w:rPr>
          <w:sz w:val="20"/>
          <w:szCs w:val="20"/>
          <w:color w:val="auto"/>
        </w:rPr>
      </w:pPr>
    </w:p>
    <w:p>
      <w:pPr>
        <w:ind w:right="160" w:firstLine="399"/>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Under the Americans with Disabilities Act of 1990, all public accommodations and commercial facilities must meet certain federal requirements related to access and use by disabled persons, compliance with which may be costly.</w:t>
      </w:r>
    </w:p>
    <w:p>
      <w:pPr>
        <w:spacing w:after="0" w:line="105"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Compliance with the ADA requirements could involve modifications to our income properties. Other federal, state and local laws may require modifications to or restrict further renovations of our income properties. Although we believe that our income properties are sufficiently in compliance with current requirements, noncompliance with the ADA or related laws or regulations could result in the imposition of governmental fines or in the award to private litigants of damages against us. Costs such as these, as well as the general costs of compliance with these laws or regulations, may adversely affect our financial condition, results of operations, and cash flows.</w:t>
      </w:r>
    </w:p>
    <w:p>
      <w:pPr>
        <w:spacing w:after="0" w:line="115" w:lineRule="exact"/>
        <w:rPr>
          <w:sz w:val="20"/>
          <w:szCs w:val="20"/>
          <w:color w:val="auto"/>
        </w:rPr>
      </w:pPr>
    </w:p>
    <w:p>
      <w:pPr>
        <w:ind w:right="280" w:firstLine="399"/>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We cannot predict the unintended consequences and market distortions that may stem from far-ranging governmental intervention in the economic and financial system or from financial reform legislation.</w:t>
      </w:r>
    </w:p>
    <w:p>
      <w:pPr>
        <w:spacing w:after="0" w:line="66" w:lineRule="exact"/>
        <w:rPr>
          <w:sz w:val="20"/>
          <w:szCs w:val="20"/>
          <w:color w:val="auto"/>
        </w:rPr>
      </w:pPr>
    </w:p>
    <w:p>
      <w:pPr>
        <w:ind w:right="240" w:firstLine="399"/>
        <w:spacing w:after="0" w:line="254" w:lineRule="auto"/>
        <w:rPr>
          <w:sz w:val="20"/>
          <w:szCs w:val="20"/>
          <w:color w:val="auto"/>
        </w:rPr>
      </w:pPr>
      <w:r>
        <w:rPr>
          <w:rFonts w:ascii="Times New Roman" w:cs="Times New Roman" w:eastAsia="Times New Roman" w:hAnsi="Times New Roman"/>
          <w:sz w:val="20"/>
          <w:szCs w:val="20"/>
          <w:color w:val="auto"/>
        </w:rPr>
        <w:t>The laws and regulations governing our operations, as well as their interpretation, may change from time to time, and new laws and regulations may be enacted. Accordingly, any change in these laws or regulations, changes in their interpretation, or newly enacted laws or regulations and any failure by us to comply with these laws or regulations, could negatively impact our business, results of operations and financial condition, impose additional costs on us or otherwise adversely affect our business.</w:t>
      </w:r>
    </w:p>
    <w:p>
      <w:pPr>
        <w:spacing w:after="0" w:line="108"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The U.S. government, the U.S. Federal Reserve, the U.S. Treasury, the SEC and other governmental and regulatory bodies have taken or are taking various actions involving intervention in the economic and financial system and regulatory reform of the oversight of financial markets. In 2010, former President Obama signed into law the Dodd- Frank Wall Street Reform and Consumer Protection Act (the “Dodd-Frank Act”), which has changed the regulation of financial institutions and the financial services industry. The current regulatory environment may be impacted by recent and potential future legislative developments, such as amendments to key provisions of the Dodd-Frank Act.</w:t>
      </w:r>
    </w:p>
    <w:p>
      <w:pPr>
        <w:spacing w:after="0" w:line="113" w:lineRule="exact"/>
        <w:rPr>
          <w:sz w:val="20"/>
          <w:szCs w:val="20"/>
          <w:color w:val="auto"/>
        </w:rPr>
      </w:pPr>
    </w:p>
    <w:p>
      <w:pPr>
        <w:ind w:right="60" w:firstLine="399"/>
        <w:spacing w:after="0" w:line="262" w:lineRule="auto"/>
        <w:rPr>
          <w:sz w:val="20"/>
          <w:szCs w:val="20"/>
          <w:color w:val="auto"/>
        </w:rPr>
      </w:pPr>
      <w:r>
        <w:rPr>
          <w:rFonts w:ascii="Times New Roman" w:cs="Times New Roman" w:eastAsia="Times New Roman" w:hAnsi="Times New Roman"/>
          <w:sz w:val="20"/>
          <w:szCs w:val="20"/>
          <w:color w:val="auto"/>
        </w:rPr>
        <w:t>We cannot predict the ultimate content, timing, or effect of future legislative and regulatory actions, nor is it possible at this time to estimate the impact of any such actions which could have a dramatic impact on our business, results of operations and financial condition.</w:t>
      </w:r>
    </w:p>
    <w:p>
      <w:pPr>
        <w:sectPr>
          <w:pgSz w:w="11880" w:h="15480" w:orient="portrait"/>
          <w:cols w:equalWidth="0" w:num="1">
            <w:col w:w="9100"/>
          </w:cols>
          <w:pgMar w:left="1400" w:top="1025" w:right="1380" w:bottom="71"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100"/>
          </w:cols>
          <w:pgMar w:left="1400" w:top="1025" w:right="1380" w:bottom="71" w:gutter="0" w:footer="0" w:header="0"/>
          <w:type w:val="continuous"/>
        </w:sectPr>
      </w:pPr>
    </w:p>
    <w:bookmarkStart w:id="45" w:name="page46"/>
    <w:bookmarkEnd w:id="45"/>
    <w:p>
      <w:pPr>
        <w:ind w:right="20" w:firstLine="399"/>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The Company’s failure to maintain effective internal control over financial reporting could have a material adverse effect on its business, operating results, and price of our common stock and preferred stock.</w:t>
      </w:r>
    </w:p>
    <w:p>
      <w:pPr>
        <w:spacing w:after="0" w:line="101" w:lineRule="exact"/>
        <w:rPr>
          <w:sz w:val="20"/>
          <w:szCs w:val="20"/>
          <w:color w:val="auto"/>
        </w:rPr>
      </w:pPr>
    </w:p>
    <w:p>
      <w:pPr>
        <w:ind w:firstLine="399"/>
        <w:spacing w:after="0" w:line="246" w:lineRule="auto"/>
        <w:rPr>
          <w:sz w:val="20"/>
          <w:szCs w:val="20"/>
          <w:color w:val="auto"/>
        </w:rPr>
      </w:pPr>
      <w:r>
        <w:rPr>
          <w:rFonts w:ascii="Times New Roman" w:cs="Times New Roman" w:eastAsia="Times New Roman" w:hAnsi="Times New Roman"/>
          <w:sz w:val="20"/>
          <w:szCs w:val="20"/>
          <w:color w:val="auto"/>
        </w:rPr>
        <w:t>Section 404 of the Sarbanes-Oxley Act of 2002 (“SOX”) as amended or modified from time to time, requires annual management assessments of the effectiveness of the Company’s internal control over financial reporting. If the Company fails to maintain the adequacy of its internal control over financial reporting, the Company may not be able to ensure that it can conclude on an ongoing basis that it has effective internal control over financial reporting and therefore would likely not be in compliance with SOX. An effective system of internal controls over financial reporting, particularly those related to revenue recognition, are necessary for the Company to prepare and produce reliable financial reports and to maintain its qualification as a public company and are important in reducing the risk of financial fraud. If the Company cannot provide reliable financial reports or prevent fraud, its business and operating results could be harmed, qualification as a public company listed on NYSE could be jeopardized, investors could lose confidence in the Company’s reported financial information, and the market price of the Company’s common stock and preferred stock could drop significantly.</w:t>
      </w:r>
    </w:p>
    <w:p>
      <w:pPr>
        <w:spacing w:after="0" w:line="369" w:lineRule="exact"/>
        <w:rPr>
          <w:sz w:val="20"/>
          <w:szCs w:val="20"/>
          <w:color w:val="auto"/>
        </w:rPr>
      </w:pPr>
    </w:p>
    <w:p>
      <w:pPr>
        <w:ind w:right="240" w:firstLine="399"/>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satisfy the requirements of Section 404 of the Sarbanes-Oxley Act or our internal control over financial reporting is not effective, the reliability of our financial statements may be questioned, and the market price of our common stock and preferred stock may suffer.</w:t>
      </w:r>
    </w:p>
    <w:p>
      <w:pPr>
        <w:spacing w:after="0" w:line="115" w:lineRule="exact"/>
        <w:rPr>
          <w:sz w:val="20"/>
          <w:szCs w:val="20"/>
          <w:color w:val="auto"/>
        </w:rPr>
      </w:pPr>
    </w:p>
    <w:p>
      <w:pPr>
        <w:ind w:firstLine="399"/>
        <w:spacing w:after="0" w:line="247" w:lineRule="auto"/>
        <w:rPr>
          <w:sz w:val="20"/>
          <w:szCs w:val="20"/>
          <w:color w:val="auto"/>
        </w:rPr>
      </w:pPr>
      <w:r>
        <w:rPr>
          <w:rFonts w:ascii="Times New Roman" w:cs="Times New Roman" w:eastAsia="Times New Roman" w:hAnsi="Times New Roman"/>
          <w:sz w:val="20"/>
          <w:szCs w:val="20"/>
          <w:color w:val="auto"/>
        </w:rPr>
        <w:t>Section 404 of the Sarbanes-Oxley Act requires any company subject to the reporting requirements of the U.S. securities laws to do a comprehensive evaluation of its and its consolidated subsidiaries’ internal control over financial reporting. 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If our management cannot favorably assess the effectiveness of our internal control over financial reporting or our auditors identify material weaknesses in our internal controls, investors may lose confidence in our reported financial results and the market price of our common stock and preferred stock may decline.</w:t>
      </w:r>
    </w:p>
    <w:p>
      <w:pPr>
        <w:spacing w:after="0" w:line="128" w:lineRule="exact"/>
        <w:rPr>
          <w:sz w:val="20"/>
          <w:szCs w:val="20"/>
          <w:color w:val="auto"/>
        </w:rPr>
      </w:pPr>
    </w:p>
    <w:p>
      <w:pPr>
        <w:ind w:right="60" w:firstLine="399"/>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substantial regulation and numerous contractual obligations and internal policies, and failure to comply with these provisions could have a material adverse effect on our business, financial condition and results of operations.</w:t>
      </w:r>
    </w:p>
    <w:p>
      <w:pPr>
        <w:spacing w:after="0" w:line="115" w:lineRule="exact"/>
        <w:rPr>
          <w:sz w:val="20"/>
          <w:szCs w:val="20"/>
          <w:color w:val="auto"/>
        </w:rPr>
      </w:pPr>
    </w:p>
    <w:p>
      <w:pPr>
        <w:ind w:firstLine="399"/>
        <w:spacing w:after="0" w:line="245" w:lineRule="auto"/>
        <w:rPr>
          <w:sz w:val="20"/>
          <w:szCs w:val="20"/>
          <w:color w:val="auto"/>
        </w:rPr>
      </w:pPr>
      <w:r>
        <w:rPr>
          <w:rFonts w:ascii="Times New Roman" w:cs="Times New Roman" w:eastAsia="Times New Roman" w:hAnsi="Times New Roman"/>
          <w:sz w:val="20"/>
          <w:szCs w:val="20"/>
          <w:color w:val="auto"/>
        </w:rPr>
        <w:t>We are subject to substantial regulation and numerous contractual obligations and internal policies. We are subject to regulation by the SEC, the NYSE, and other federal, state and local or international governmental bodies and agencies or self-regulatory organizations. Moreover, we must comply with the REIT rules, and we are also responsible for managing or assisting with the regulatory aspects of PINE’s compliance with applicable REIT rules. The level of regulation and supervision to which we and PINE are subject varies from jurisdiction to jurisdiction and is based on the type of business activity involved. The regulations to which we and PINE are subject are extensive, complex and require substantial management time and attention. Our failure or PINE’s failure to comply with any of the regulations, contractual obligations or policies applicable to it may subject us to extensive investigations, as well as substantial penalties and reputational risk, and our business and operations could be materially adversely affected. Our lack of compliance with applicable law could result in, among other things, our inability to enforce contracts, our default under contracts (including our agreements with PINE) and our ineligibility to contract with and receive revenue from PINE. We have numerous contractual obligations with which we must comply on a continuous basis to operate our business, the default of which could have a material adverse effect on our business and financial condition. We have established internal policies designed to ensure that we manage our business in accordance with applicable law and regulation and in accordance with our contractual obligations. These internal policies may not be effective in all regards; and, if we fail to comply with our internal policies, we could be subjected to additional risk and liability.</w:t>
      </w:r>
    </w:p>
    <w:p>
      <w:pPr>
        <w:spacing w:after="0" w:line="372" w:lineRule="exact"/>
        <w:rPr>
          <w:sz w:val="20"/>
          <w:szCs w:val="20"/>
          <w:color w:val="auto"/>
        </w:rPr>
      </w:pPr>
    </w:p>
    <w:p>
      <w:pPr>
        <w:ind w:right="220" w:firstLine="399"/>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Employee misconduct could harm us by subjecting us to significant legal liability, reputational harm and loss of business.</w:t>
      </w:r>
    </w:p>
    <w:p>
      <w:pPr>
        <w:spacing w:after="0" w:line="99" w:lineRule="exact"/>
        <w:rPr>
          <w:sz w:val="20"/>
          <w:szCs w:val="20"/>
          <w:color w:val="auto"/>
        </w:rPr>
      </w:pPr>
    </w:p>
    <w:p>
      <w:pPr>
        <w:ind w:right="220" w:firstLine="399"/>
        <w:spacing w:after="0" w:line="279" w:lineRule="auto"/>
        <w:rPr>
          <w:sz w:val="20"/>
          <w:szCs w:val="20"/>
          <w:color w:val="auto"/>
        </w:rPr>
      </w:pPr>
      <w:r>
        <w:rPr>
          <w:rFonts w:ascii="Times New Roman" w:cs="Times New Roman" w:eastAsia="Times New Roman" w:hAnsi="Times New Roman"/>
          <w:sz w:val="20"/>
          <w:szCs w:val="20"/>
          <w:color w:val="auto"/>
        </w:rPr>
        <w:t>There is a risk that our employees could engage in misconduct that adversely affects our business. We are subject to a number of obligations and standards arising from our business and our authority over</w:t>
      </w:r>
    </w:p>
    <w:p>
      <w:pPr>
        <w:sectPr>
          <w:pgSz w:w="11880" w:h="15480" w:orient="portrait"/>
          <w:cols w:equalWidth="0" w:num="1">
            <w:col w:w="9100"/>
          </w:cols>
          <w:pgMar w:left="1400" w:top="1026" w:right="1380" w:bottom="72"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100"/>
          </w:cols>
          <w:pgMar w:left="1400" w:top="1026" w:right="1380" w:bottom="72" w:gutter="0" w:footer="0" w:header="0"/>
          <w:type w:val="continuous"/>
        </w:sectPr>
      </w:pPr>
    </w:p>
    <w:bookmarkStart w:id="46" w:name="page47"/>
    <w:bookmarkEnd w:id="46"/>
    <w:p>
      <w:pPr>
        <w:spacing w:after="0" w:line="257" w:lineRule="auto"/>
        <w:rPr>
          <w:sz w:val="20"/>
          <w:szCs w:val="20"/>
          <w:color w:val="auto"/>
        </w:rPr>
      </w:pPr>
      <w:r>
        <w:rPr>
          <w:rFonts w:ascii="Times New Roman" w:cs="Times New Roman" w:eastAsia="Times New Roman" w:hAnsi="Times New Roman"/>
          <w:sz w:val="20"/>
          <w:szCs w:val="20"/>
          <w:color w:val="auto"/>
        </w:rPr>
        <w:t>PINE or any other ventures we may manage from time to time. The violation of these obligations and standards by any of our employees may adversely affect PINE or the ventures we manage from time to time and us. Our business often requires that we deal with confidential matters of great significance to PINE and the ventures we manage from time to time. If our employees improperly use or disclose confidential information, we and PINE or the ventures we manage from time to time could suffer serious harm to our and their reputations, financial position and current and future business relationships and face potentially significant litigation. It is not always possible to detect or deter employee misconduct, and the precautions we take to detect and prevent this activity may not be effective in all cases. If any of our employees were to engage in or be accused of misconduct, our business and our reputation could be adversely affected. Misconduct by an employee might rise to the level of a default that would permit PINE or the ventures we manage from time to time to terminate their agreements with us for cause and without paying a termination fee, which could materially adversely affect our business, results of operations and financial condition.</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The Company’s ability to pay dividends in the future is subject to many factors.</w:t>
      </w:r>
    </w:p>
    <w:p>
      <w:pPr>
        <w:spacing w:after="0" w:line="172" w:lineRule="exact"/>
        <w:rPr>
          <w:sz w:val="20"/>
          <w:szCs w:val="20"/>
          <w:color w:val="auto"/>
        </w:rPr>
      </w:pPr>
    </w:p>
    <w:p>
      <w:pPr>
        <w:ind w:right="60" w:firstLine="399"/>
        <w:spacing w:after="0" w:line="265" w:lineRule="auto"/>
        <w:rPr>
          <w:sz w:val="20"/>
          <w:szCs w:val="20"/>
          <w:color w:val="auto"/>
        </w:rPr>
      </w:pPr>
      <w:r>
        <w:rPr>
          <w:rFonts w:ascii="Times New Roman" w:cs="Times New Roman" w:eastAsia="Times New Roman" w:hAnsi="Times New Roman"/>
          <w:sz w:val="20"/>
          <w:szCs w:val="20"/>
          <w:color w:val="auto"/>
        </w:rPr>
        <w:t>The Company has consistently paid a dividend since 1976. Payment of the Company’s dividend depends upon the Company’s financial condition, results of operations, and cash flows. The Company’s ability to continue to pay dividends may be adversely impacted if any of the events or conditions associated with the risks described in this section were to occur.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Risk Factors</w:t>
      </w:r>
    </w:p>
    <w:p>
      <w:pPr>
        <w:spacing w:after="0" w:line="172" w:lineRule="exact"/>
        <w:rPr>
          <w:sz w:val="20"/>
          <w:szCs w:val="20"/>
          <w:color w:val="auto"/>
        </w:rPr>
      </w:pPr>
    </w:p>
    <w:p>
      <w:pPr>
        <w:ind w:right="700" w:firstLine="399"/>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Cybersecurity risks and cyber incidents could adversely affect the Company’s business and disrupt operations.</w:t>
      </w:r>
    </w:p>
    <w:p>
      <w:pPr>
        <w:spacing w:after="0" w:line="100"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adversely affecting customer or investor confidence. Should any such cyber incidents or similar events occur, the Company’s assets, particularly cash, could be lost and, as a result, the Company’s ability to execute its business and strategy could be impaired, thereby adversely affecting its financial condition, results of operations, and cash flows.</w:t>
      </w:r>
    </w:p>
    <w:p>
      <w:pPr>
        <w:spacing w:after="0" w:line="373"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New technologies also continue to develop, including tools that harness generative artificial intelligence and other machine learning techniques (collectively, “AI”). AI is developing at a rapid pace and becoming more accessible. As a result, the use of such new technologies by us or our service providers or counterparties can present additional known and unknown risks, including, among others, the risk that confidential information may be stolen, misappropriated or disclosed and the risk that we, our service providers and/or our counterparties may rely on incorrect, unclear or biased outputs generated by such technologies, any of which could have an adverse impact on us and our business. See “— Artificial intelligence and other machine learning techniques could increase competitive, operational, legal and regulatory risks to our business in ways that we cannot predict.”</w:t>
      </w:r>
    </w:p>
    <w:p>
      <w:pPr>
        <w:spacing w:after="0" w:line="374" w:lineRule="exact"/>
        <w:rPr>
          <w:sz w:val="20"/>
          <w:szCs w:val="20"/>
          <w:color w:val="auto"/>
        </w:rPr>
      </w:pPr>
    </w:p>
    <w:p>
      <w:pPr>
        <w:ind w:right="60" w:firstLine="399"/>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Artificial intelligence and other machine learning techniques could increase competitive, operational, legal and regulatory risks to our business in ways that we cannot predict.</w:t>
      </w:r>
    </w:p>
    <w:p>
      <w:pPr>
        <w:spacing w:after="0" w:line="100"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The use of AI by us and others, and the overall adoption of AI throughout society, may exacerbate or create new and unpredictable competitive, operational, legal and regulatory risks to our business. There is substantial uncertainty about the extent to which AI will result in dramatic changes throughout the world, and we may not be able to anticipate, prevent, mitigate or remediate all of the potential risks, challenges or impacts of such changes. These changes could potentially disrupt, among other things, our business model, investment strategies and operational processes. Some of our competitors may be more successful than us in the development and implementation of new technologies, including services and platforms based on AI, to improve their operations. If we are unable to adequately advance our capabilities in these areas, or do so at a slower pace than others in our industry, we may be at a competitive disadvantage.</w:t>
      </w:r>
    </w:p>
    <w:p>
      <w:pPr>
        <w:sectPr>
          <w:pgSz w:w="11880" w:h="15480" w:orient="portrait"/>
          <w:cols w:equalWidth="0" w:num="1">
            <w:col w:w="9100"/>
          </w:cols>
          <w:pgMar w:left="1400" w:top="1025" w:right="1380" w:bottom="69" w:gutter="0" w:footer="0" w:header="0"/>
        </w:sect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100"/>
          </w:cols>
          <w:pgMar w:left="1400" w:top="1025" w:right="1380" w:bottom="69" w:gutter="0" w:footer="0" w:header="0"/>
          <w:type w:val="continuous"/>
        </w:sectPr>
      </w:pPr>
    </w:p>
    <w:bookmarkStart w:id="47" w:name="page48"/>
    <w:bookmarkEnd w:id="47"/>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If the data we, or third parties whose services we rely on, use in connection with the possible development or deployment of AI is incomplete, inadequate or biased in some way, the performance of our business could suffer. In addition, recent technological advances in AI both present opportunities and pose risks to us.</w:t>
      </w:r>
    </w:p>
    <w:p>
      <w:pPr>
        <w:spacing w:after="0" w:line="258" w:lineRule="auto"/>
        <w:rPr>
          <w:sz w:val="20"/>
          <w:szCs w:val="20"/>
          <w:color w:val="auto"/>
        </w:rPr>
      </w:pPr>
      <w:r>
        <w:rPr>
          <w:rFonts w:ascii="Times New Roman" w:cs="Times New Roman" w:eastAsia="Times New Roman" w:hAnsi="Times New Roman"/>
          <w:sz w:val="20"/>
          <w:szCs w:val="20"/>
          <w:color w:val="auto"/>
        </w:rPr>
        <w:t>Data in technology that uses AI may contain a degree of inaccuracy and error, which could result in flawed algorithms in various models used in our business. The volume and reliance on data and algorithms also make AI more susceptible to cybersecurity threats, including data poisoning and the compromise of underlying models, training data or other intellectual property. Our personnel or the personnel of our service providers could, without being known to us, improperly utilize AI and machine learning-technology while carrying out their responsibilities. This could reduce the effectiveness of AI technologies and adversely impact us and our operations to the extent that we rely on the AI’s work product.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There is also a risk that AI may be misused or misappropriated by third parties we engage.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 a user may input confidential information, including material non-public information or personally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identifiable information, into AI applications, resulting in the information becoming a part of a dataset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is accessible by third-party technology applications and users, including our competitors. Further, we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not be able to control how third-party AI that we choose to use is developed or maintained, or how data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input is used or disclosed. The misuse or misappropriation of our data could have an adverse impact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our reputation and could subject us to legal and regulatory investigations or actions or create competitive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w:t>
      </w:r>
    </w:p>
    <w:p>
      <w:pPr>
        <w:spacing w:after="0" w:line="171"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20"/>
          <w:szCs w:val="20"/>
          <w:color w:val="auto"/>
        </w:rPr>
        <w:t>In addition, the use of AI by us or others may require compliance with legal or regulatory frameworks that are not fully developed or tested, and we may face litigation and regulatory actions related to our use of AI. There has been increased scrutiny, including from global regulators, regarding the use of “big data,” diligence of data sets and oversight of data vendors. Our ability to use data to gain insights into and manage our business may be limited in the future by regulatory scrutiny and legal developments.</w:t>
      </w:r>
    </w:p>
    <w:p>
      <w:pPr>
        <w:spacing w:after="0" w:line="122" w:lineRule="exact"/>
        <w:rPr>
          <w:sz w:val="20"/>
          <w:szCs w:val="20"/>
          <w:color w:val="auto"/>
        </w:rPr>
      </w:pPr>
    </w:p>
    <w:p>
      <w:pPr>
        <w:ind w:right="240" w:firstLine="399"/>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The market value of the Company’s common stock and preferred stock is subject to various factors that may cause significant fluctuations or volatility.</w:t>
      </w:r>
    </w:p>
    <w:p>
      <w:pPr>
        <w:spacing w:after="0" w:line="99" w:lineRule="exact"/>
        <w:rPr>
          <w:sz w:val="20"/>
          <w:szCs w:val="20"/>
          <w:color w:val="auto"/>
        </w:rPr>
      </w:pPr>
    </w:p>
    <w:p>
      <w:pPr>
        <w:ind w:right="240" w:firstLine="399"/>
        <w:spacing w:after="0" w:line="260" w:lineRule="auto"/>
        <w:rPr>
          <w:sz w:val="20"/>
          <w:szCs w:val="20"/>
          <w:color w:val="auto"/>
        </w:rPr>
      </w:pPr>
      <w:r>
        <w:rPr>
          <w:rFonts w:ascii="Times New Roman" w:cs="Times New Roman" w:eastAsia="Times New Roman" w:hAnsi="Times New Roman"/>
          <w:sz w:val="20"/>
          <w:szCs w:val="20"/>
          <w:color w:val="auto"/>
        </w:rPr>
        <w:t>As with other publicly-traded securities, the market price of the Company’s common stock and preferred stock depends on various factors, which may change from time to time and/or may be unrelated to the Company’s financial condition, results of operations, or cash flows and such factors may cause significant fluctuations or volatility in the market price of the Company’s common stock and preferred stock. These factors include, but are likely not limited to, the following:</w:t>
      </w:r>
    </w:p>
    <w:p>
      <w:pPr>
        <w:spacing w:after="0" w:line="81" w:lineRule="exact"/>
        <w:rPr>
          <w:sz w:val="20"/>
          <w:szCs w:val="20"/>
          <w:color w:val="auto"/>
        </w:rPr>
      </w:pPr>
    </w:p>
    <w:p>
      <w:pPr>
        <w:ind w:left="580" w:hanging="191"/>
        <w:spacing w:after="0"/>
        <w:tabs>
          <w:tab w:leader="none" w:pos="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financial market conditions including a weak economic environment;</w:t>
      </w:r>
    </w:p>
    <w:p>
      <w:pPr>
        <w:spacing w:after="0" w:line="13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and trend of interest rates;</w:t>
      </w:r>
    </w:p>
    <w:p>
      <w:pPr>
        <w:spacing w:after="0" w:line="13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ability to access the capital markets to raise additional debt or equity capital;</w:t>
      </w:r>
    </w:p>
    <w:p>
      <w:pPr>
        <w:spacing w:after="0" w:line="13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Company’s cash flows or results of operations;</w:t>
      </w:r>
    </w:p>
    <w:p>
      <w:pPr>
        <w:spacing w:after="0" w:line="13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financial condition and performance;</w:t>
      </w:r>
    </w:p>
    <w:p>
      <w:pPr>
        <w:spacing w:after="0" w:line="13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perception of the Company compared to other real estate companies;</w:t>
      </w:r>
    </w:p>
    <w:p>
      <w:pPr>
        <w:spacing w:after="0" w:line="13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perception of the real estate sector compared to other investment sectors; and</w:t>
      </w:r>
    </w:p>
    <w:p>
      <w:pPr>
        <w:spacing w:after="0" w:line="131" w:lineRule="exact"/>
        <w:rPr>
          <w:rFonts w:ascii="Times New Roman" w:cs="Times New Roman" w:eastAsia="Times New Roman" w:hAnsi="Times New Roman"/>
          <w:sz w:val="20"/>
          <w:szCs w:val="20"/>
          <w:color w:val="auto"/>
        </w:rPr>
      </w:pPr>
    </w:p>
    <w:p>
      <w:pPr>
        <w:ind w:left="580" w:right="380" w:hanging="191"/>
        <w:spacing w:after="0" w:line="286" w:lineRule="auto"/>
        <w:tabs>
          <w:tab w:leader="none" w:pos="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Volume of average daily trading and the amount of the Company’s common stock and preferred stock available to be traded.</w:t>
      </w:r>
    </w:p>
    <w:p>
      <w:pPr>
        <w:spacing w:after="0" w:line="95" w:lineRule="exact"/>
        <w:rPr>
          <w:sz w:val="20"/>
          <w:szCs w:val="20"/>
          <w:color w:val="auto"/>
        </w:rPr>
      </w:pPr>
    </w:p>
    <w:p>
      <w:pPr>
        <w:ind w:right="240" w:firstLine="399"/>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Future sales of our common stock or other securities convertible into our common stock could cause the market value of our common stock to decline and could result in dilution of your shares.</w:t>
      </w:r>
    </w:p>
    <w:p>
      <w:pPr>
        <w:spacing w:after="0" w:line="99" w:lineRule="exact"/>
        <w:rPr>
          <w:sz w:val="20"/>
          <w:szCs w:val="20"/>
          <w:color w:val="auto"/>
        </w:rPr>
      </w:pPr>
    </w:p>
    <w:p>
      <w:pPr>
        <w:ind w:right="40" w:firstLine="399"/>
        <w:spacing w:after="0" w:line="258" w:lineRule="auto"/>
        <w:rPr>
          <w:sz w:val="20"/>
          <w:szCs w:val="20"/>
          <w:color w:val="auto"/>
        </w:rPr>
      </w:pPr>
      <w:r>
        <w:rPr>
          <w:rFonts w:ascii="Times New Roman" w:cs="Times New Roman" w:eastAsia="Times New Roman" w:hAnsi="Times New Roman"/>
          <w:sz w:val="20"/>
          <w:szCs w:val="20"/>
          <w:color w:val="auto"/>
        </w:rPr>
        <w:t>Our Board is authorized to increase the total number of shares of stock that we are authorized to issue and without stockholder approval, to cause us to issue additional shares of our stock or to raise capital through the issuance of preferred stock, options, warrants and other rights on terms and for consideration as our Board in its sole discretion may determine. Sales of substantial amounts of our common stock will dilute the ownership of our stockholders and could cause the market price of our common stock to decrease significantly. We cannot predict the effect, if any, of future sales of our common stock, or the</w:t>
      </w:r>
    </w:p>
    <w:p>
      <w:pPr>
        <w:sectPr>
          <w:pgSz w:w="11880" w:h="15480" w:orient="portrait"/>
          <w:cols w:equalWidth="0" w:num="1">
            <w:col w:w="9100"/>
          </w:cols>
          <w:pgMar w:left="1400" w:top="1025" w:right="1380" w:bottom="69" w:gutter="0" w:footer="0" w:header="0"/>
        </w:sect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100"/>
          </w:cols>
          <w:pgMar w:left="1400" w:top="1025" w:right="1380" w:bottom="69" w:gutter="0" w:footer="0" w:header="0"/>
          <w:type w:val="continuous"/>
        </w:sectPr>
      </w:pPr>
    </w:p>
    <w:bookmarkStart w:id="48" w:name="page49"/>
    <w:bookmarkEnd w:id="48"/>
    <w:p>
      <w:pPr>
        <w:spacing w:after="0" w:line="269" w:lineRule="auto"/>
        <w:rPr>
          <w:sz w:val="20"/>
          <w:szCs w:val="20"/>
          <w:color w:val="auto"/>
        </w:rPr>
      </w:pPr>
      <w:r>
        <w:rPr>
          <w:rFonts w:ascii="Times New Roman" w:cs="Times New Roman" w:eastAsia="Times New Roman" w:hAnsi="Times New Roman"/>
          <w:sz w:val="20"/>
          <w:szCs w:val="20"/>
          <w:color w:val="auto"/>
        </w:rPr>
        <w:t>availability of our common stock for future sales, on the value of our common stock. Sales of substantial amounts of our common stock, or the perception that such sales could occur, may adversely affect the market price of our common stock.</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Significant legal proceedings may adversely affect our results of operations or financial condition.</w:t>
      </w:r>
    </w:p>
    <w:p>
      <w:pPr>
        <w:spacing w:after="0" w:line="170"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We are subject to the risk of litigation, derivative claims, securities class actions, regulatory and governmental investigations and other litigation including proceedings arising from investor dissatisfaction with our operating performance. If any claims were brought against us and resulted in a finding of substantial legal liability, the finding could materially adversely affect our business, financial condition or results of operations or cause significant reputational harm to us, which could significantly adversely impact our business. Allegations of improper conduct by private litigants or regulators, regardless of veracity, may harm our reputation, and adversely impact our ability to grow our business or maintain our management of PINE or the ventures in which we have a financial interest.</w:t>
      </w:r>
    </w:p>
    <w:p>
      <w:pPr>
        <w:spacing w:after="0" w:line="126"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An epidemic or pandemic, and the measures that international, federal, state and local governments, agencies, law enforcement and/or health authorities implement to address it, may precipitate or materially exacerbate one or more of the other risks, and may significantly disrupt our tenants’ ability to operate their businesses and/or pay rent to us or prevent us from operating our business in the ordinary course for an extended period.</w:t>
      </w:r>
    </w:p>
    <w:p>
      <w:pPr>
        <w:spacing w:after="0" w:line="125" w:lineRule="exact"/>
        <w:rPr>
          <w:sz w:val="20"/>
          <w:szCs w:val="20"/>
          <w:color w:val="auto"/>
        </w:rPr>
      </w:pPr>
    </w:p>
    <w:p>
      <w:pPr>
        <w:ind w:right="180" w:firstLine="399"/>
        <w:spacing w:after="0" w:line="267" w:lineRule="auto"/>
        <w:rPr>
          <w:sz w:val="20"/>
          <w:szCs w:val="20"/>
          <w:color w:val="auto"/>
        </w:rPr>
      </w:pPr>
      <w:r>
        <w:rPr>
          <w:rFonts w:ascii="Times New Roman" w:cs="Times New Roman" w:eastAsia="Times New Roman" w:hAnsi="Times New Roman"/>
          <w:sz w:val="20"/>
          <w:szCs w:val="20"/>
          <w:color w:val="auto"/>
        </w:rPr>
        <w:t>An epidemic or pandemic could have a material and adverse effect on or cause disruption to our business or financial condition, results of operations, cash flows and the market value and trading price of our securities due to, among other factors:</w:t>
      </w:r>
    </w:p>
    <w:p>
      <w:pPr>
        <w:spacing w:after="0" w:line="71" w:lineRule="exact"/>
        <w:rPr>
          <w:sz w:val="20"/>
          <w:szCs w:val="20"/>
          <w:color w:val="auto"/>
        </w:rPr>
      </w:pPr>
    </w:p>
    <w:p>
      <w:pPr>
        <w:ind w:left="580" w:right="740" w:hanging="191"/>
        <w:spacing w:after="0" w:line="284" w:lineRule="auto"/>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or partial closure of, or other operational issues with, our portfolio as a result of government or tenant action;</w:t>
      </w:r>
    </w:p>
    <w:p>
      <w:pPr>
        <w:spacing w:after="0" w:line="54" w:lineRule="exact"/>
        <w:rPr>
          <w:rFonts w:ascii="Times New Roman" w:cs="Times New Roman" w:eastAsia="Times New Roman" w:hAnsi="Times New Roman"/>
          <w:sz w:val="20"/>
          <w:szCs w:val="20"/>
          <w:color w:val="auto"/>
        </w:rPr>
      </w:pPr>
    </w:p>
    <w:p>
      <w:pPr>
        <w:ind w:left="580" w:right="100" w:hanging="191"/>
        <w:spacing w:after="0" w:line="284" w:lineRule="auto"/>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Declines in or instability of the economy or financial markets may result in a recession or negatively impact consumer discretionary spending, which could adversely affect retailers and consumers;</w:t>
      </w:r>
    </w:p>
    <w:p>
      <w:pPr>
        <w:spacing w:after="0" w:line="54" w:lineRule="exact"/>
        <w:rPr>
          <w:rFonts w:ascii="Times New Roman" w:cs="Times New Roman" w:eastAsia="Times New Roman" w:hAnsi="Times New Roman"/>
          <w:sz w:val="20"/>
          <w:szCs w:val="20"/>
          <w:color w:val="auto"/>
        </w:rPr>
      </w:pPr>
    </w:p>
    <w:p>
      <w:pPr>
        <w:ind w:left="580" w:right="80" w:hanging="191"/>
        <w:spacing w:after="0" w:line="261" w:lineRule="auto"/>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of economic activity may severely impact our tenants’ business operations, financial condition, liquidity and access to capital resources and may cause one or more of our tenants to be unable to meet their obligations to us in full, or at all, to default on their lease, or to otherwise seek modifications of such obligations;</w:t>
      </w:r>
    </w:p>
    <w:p>
      <w:pPr>
        <w:spacing w:after="0" w:line="77" w:lineRule="exact"/>
        <w:rPr>
          <w:rFonts w:ascii="Times New Roman" w:cs="Times New Roman" w:eastAsia="Times New Roman" w:hAnsi="Times New Roman"/>
          <w:sz w:val="20"/>
          <w:szCs w:val="20"/>
          <w:color w:val="auto"/>
        </w:rPr>
      </w:pPr>
    </w:p>
    <w:p>
      <w:pPr>
        <w:ind w:left="580" w:hanging="191"/>
        <w:spacing w:after="0" w:line="258" w:lineRule="auto"/>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access debt and equity capital on favorable terms, if at all, or a severe disruption and instability in the global financial markets or deteriorations in credit and financing conditions may affect our access to capital necessary to fund business operations, pursue acquisition and development opportunities, refinance existing debt, reduce our ability to make cash distributions to our stockholders and increase our future interest expense;</w:t>
      </w:r>
    </w:p>
    <w:p>
      <w:pPr>
        <w:spacing w:after="0" w:line="80" w:lineRule="exact"/>
        <w:rPr>
          <w:rFonts w:ascii="Times New Roman" w:cs="Times New Roman" w:eastAsia="Times New Roman" w:hAnsi="Times New Roman"/>
          <w:sz w:val="20"/>
          <w:szCs w:val="20"/>
          <w:color w:val="auto"/>
        </w:rPr>
      </w:pPr>
    </w:p>
    <w:p>
      <w:pPr>
        <w:ind w:left="580" w:right="140" w:hanging="191"/>
        <w:spacing w:after="0" w:line="284" w:lineRule="auto"/>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general decline in business activity and demand for real estate transactions would adversely affect our ability to successfully execute our investment strategies or expand our portfolio;</w:t>
      </w:r>
    </w:p>
    <w:p>
      <w:pPr>
        <w:spacing w:after="0" w:line="54" w:lineRule="exact"/>
        <w:rPr>
          <w:rFonts w:ascii="Times New Roman" w:cs="Times New Roman" w:eastAsia="Times New Roman" w:hAnsi="Times New Roman"/>
          <w:sz w:val="20"/>
          <w:szCs w:val="20"/>
          <w:color w:val="auto"/>
        </w:rPr>
      </w:pPr>
    </w:p>
    <w:p>
      <w:pPr>
        <w:ind w:left="580" w:right="100" w:hanging="191"/>
        <w:spacing w:after="0" w:line="284" w:lineRule="auto"/>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reduction in our cash flows could impact our ability to continue paying cash dividends to our stockholders at expected levels or at all;</w:t>
      </w:r>
    </w:p>
    <w:p>
      <w:pPr>
        <w:spacing w:after="0" w:line="54" w:lineRule="exact"/>
        <w:rPr>
          <w:rFonts w:ascii="Times New Roman" w:cs="Times New Roman" w:eastAsia="Times New Roman" w:hAnsi="Times New Roman"/>
          <w:sz w:val="20"/>
          <w:szCs w:val="20"/>
          <w:color w:val="auto"/>
        </w:rPr>
      </w:pPr>
    </w:p>
    <w:p>
      <w:pPr>
        <w:ind w:left="580" w:hanging="191"/>
        <w:spacing w:after="0" w:line="267" w:lineRule="auto"/>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impact could negatively affect our future compliance with financial and other covenants of our debt instruments, and the failure to comply with such covenants could result in a default that accelerates the payment of such debt; and</w:t>
      </w:r>
    </w:p>
    <w:p>
      <w:pPr>
        <w:spacing w:after="0" w:line="70" w:lineRule="exact"/>
        <w:rPr>
          <w:rFonts w:ascii="Times New Roman" w:cs="Times New Roman" w:eastAsia="Times New Roman" w:hAnsi="Times New Roman"/>
          <w:sz w:val="20"/>
          <w:szCs w:val="20"/>
          <w:color w:val="auto"/>
        </w:rPr>
      </w:pPr>
    </w:p>
    <w:p>
      <w:pPr>
        <w:ind w:left="580" w:right="20" w:hanging="191"/>
        <w:spacing w:after="0" w:line="261" w:lineRule="auto"/>
        <w:tabs>
          <w:tab w:leader="none" w:pos="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negative impact on the health of the Company’s personnel, particularly if a significant number are impacted, or the impact of government actions or restrictions, including stay-at-home orders, restricting access to the Company’s headquarters, could result in a deterioration in our ability to ensure business continuity during a disruption.</w:t>
      </w:r>
    </w:p>
    <w:p>
      <w:pPr>
        <w:spacing w:after="0" w:line="117" w:lineRule="exact"/>
        <w:rPr>
          <w:sz w:val="20"/>
          <w:szCs w:val="20"/>
          <w:color w:val="auto"/>
        </w:rPr>
      </w:pPr>
    </w:p>
    <w:p>
      <w:pPr>
        <w:ind w:right="80" w:firstLine="399"/>
        <w:spacing w:after="0" w:line="261" w:lineRule="auto"/>
        <w:rPr>
          <w:sz w:val="20"/>
          <w:szCs w:val="20"/>
          <w:color w:val="auto"/>
        </w:rPr>
      </w:pPr>
      <w:r>
        <w:rPr>
          <w:rFonts w:ascii="Times New Roman" w:cs="Times New Roman" w:eastAsia="Times New Roman" w:hAnsi="Times New Roman"/>
          <w:sz w:val="20"/>
          <w:szCs w:val="20"/>
          <w:color w:val="auto"/>
        </w:rPr>
        <w:t>A prolonged continuation of or repeated temporary business closures, reduced capacity at businesses or other social-distancing practices, and quarantine orders may adversely impact our tenants’ ability to generate sufficient revenues to meet financial obligations, and could force tenants to default on their leases, or result in the bankruptcy of tenants, which would diminish the rental revenue we receive under our leases.</w:t>
      </w:r>
    </w:p>
    <w:p>
      <w:pPr>
        <w:sectPr>
          <w:pgSz w:w="11880" w:h="15480" w:orient="portrait"/>
          <w:cols w:equalWidth="0" w:num="1">
            <w:col w:w="9100"/>
          </w:cols>
          <w:pgMar w:left="1400" w:top="1025" w:right="1380" w:bottom="70" w:gutter="0" w:footer="0" w:header="0"/>
        </w:sect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100"/>
          </w:cols>
          <w:pgMar w:left="1400" w:top="1025" w:right="1380" w:bottom="70" w:gutter="0" w:footer="0" w:header="0"/>
          <w:type w:val="continuous"/>
        </w:sectPr>
      </w:pPr>
    </w:p>
    <w:bookmarkStart w:id="49" w:name="page50"/>
    <w:bookmarkEnd w:id="49"/>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related to corporate social responsibility.</w:t>
      </w:r>
    </w:p>
    <w:p>
      <w:pPr>
        <w:spacing w:after="0" w:line="184"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Our business faces public scrutiny related to environmental, social and governance (“ESG”) activities. We risk damage to our reputation if we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cost of our operations and relationships with investors, all of which could adversely affect our business and results of operations. Additionally, new legislative or regulatory initiatives related to ESG could adversely affect our business.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Evolving investor-related sentiment related to ESG issues could adversely affect our business.</w:t>
      </w:r>
    </w:p>
    <w:p>
      <w:pPr>
        <w:spacing w:after="0" w:line="184"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So-called “anti-ESG” sentiment has also gained momentum across the U.S., with several states having enacted or proposed “anti-ESG” policies, legislation, or issued related legal opinions. For example, boycott bills in certain states target financial institutions that are perceived as “boycotting” or “discriminating against” companies in certain industries (e.g., energy and mining) and prohibit state entities from doing business with such institutions and/or investing the state’s assets through such institutions. In addition, certain states now require that relevant state entities or managers/administrators of state investments make investments based solely on pecuniary factors without consideration of ESG factors. If investors subject to such legislation viewed us, our policies, or our practices, as being in contradiction of such “anti-ESG” policies, legislation or legal opinions, such investors may not invest in us, which could negatively affect our financial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None.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71" w:lineRule="exact"/>
        <w:rPr>
          <w:sz w:val="20"/>
          <w:szCs w:val="20"/>
          <w:color w:val="auto"/>
        </w:rPr>
      </w:pPr>
    </w:p>
    <w:p>
      <w:pPr>
        <w:ind w:firstLine="399"/>
        <w:spacing w:after="0" w:line="257" w:lineRule="auto"/>
        <w:rPr>
          <w:sz w:val="20"/>
          <w:szCs w:val="20"/>
          <w:color w:val="auto"/>
        </w:rPr>
      </w:pPr>
      <w:r>
        <w:rPr>
          <w:rFonts w:ascii="Times New Roman" w:cs="Times New Roman" w:eastAsia="Times New Roman" w:hAnsi="Times New Roman"/>
          <w:sz w:val="20"/>
          <w:szCs w:val="20"/>
          <w:color w:val="auto"/>
        </w:rPr>
        <w:t>The Board recognizes the critical importance of maintaining the trust and confidence of our tenants, borrowers and business partners. The Board plays an active role in overseeing management of our risks, and cybersecurity represents an important component of the Company’s overall approach to risk management and oversight. The Company’s cybersecurity processes and practices are integrated into our risk management and oversight program.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 We utilize a third-party managed IT service provider (the “MSP”) to provide comprehensive cybersecurity services for the Company, including threat detection and response, vulnerability assessment and monitoring, security incident response and recovery, and cybersecurity education and awareness. The Company has adopted a written information security incident response plan, which, as discussed below, is overseen by the Audit Committee of the Board (the “Audit Committee”).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Company’s cybersecurity program is focused on the following key areas:</w:t>
      </w:r>
    </w:p>
    <w:p>
      <w:pPr>
        <w:spacing w:after="0" w:line="145" w:lineRule="exact"/>
        <w:rPr>
          <w:sz w:val="20"/>
          <w:szCs w:val="20"/>
          <w:color w:val="auto"/>
        </w:rPr>
      </w:pPr>
    </w:p>
    <w:p>
      <w:pPr>
        <w:ind w:left="580" w:right="340" w:hanging="191"/>
        <w:spacing w:after="0" w:line="271" w:lineRule="auto"/>
        <w:tabs>
          <w:tab w:leader="none" w:pos="5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Governance: As discussed in more detail under “Item 1C. Cybersecurity — Governance,” the Board’s oversight of cybersecurity risk management is supported by the Audit Committee, which regularly interacts with the Company’s management team.</w:t>
      </w:r>
    </w:p>
    <w:p>
      <w:pPr>
        <w:spacing w:after="0" w:line="86" w:lineRule="exact"/>
        <w:rPr>
          <w:rFonts w:ascii="Times New Roman" w:cs="Times New Roman" w:eastAsia="Times New Roman" w:hAnsi="Times New Roman"/>
          <w:sz w:val="20"/>
          <w:szCs w:val="20"/>
          <w:color w:val="auto"/>
        </w:rPr>
      </w:pPr>
    </w:p>
    <w:p>
      <w:pPr>
        <w:ind w:left="580" w:right="120" w:hanging="191"/>
        <w:spacing w:after="0" w:line="262" w:lineRule="auto"/>
        <w:tabs>
          <w:tab w:leader="none" w:pos="5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Collaborative Approach: CTO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the Audit Committee, and the Board in a timely manner.</w:t>
      </w:r>
    </w:p>
    <w:p>
      <w:pPr>
        <w:spacing w:after="0" w:line="97" w:lineRule="exact"/>
        <w:rPr>
          <w:rFonts w:ascii="Times New Roman" w:cs="Times New Roman" w:eastAsia="Times New Roman" w:hAnsi="Times New Roman"/>
          <w:sz w:val="20"/>
          <w:szCs w:val="20"/>
          <w:color w:val="auto"/>
        </w:rPr>
      </w:pPr>
    </w:p>
    <w:p>
      <w:pPr>
        <w:ind w:left="580" w:right="120" w:hanging="191"/>
        <w:spacing w:after="0" w:line="288" w:lineRule="auto"/>
        <w:tabs>
          <w:tab w:leader="none" w:pos="5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Technical Safeguards: Together with the MSP, we deploy technical safeguards that are designed to protect information systems from cybersecurity threats, including firewalls, intrusion prevention</w:t>
      </w:r>
    </w:p>
    <w:p>
      <w:pPr>
        <w:sectPr>
          <w:pgSz w:w="11880" w:h="15480" w:orient="portrait"/>
          <w:cols w:equalWidth="0" w:num="1">
            <w:col w:w="9100"/>
          </w:cols>
          <w:pgMar w:left="1400" w:top="1026" w:right="1380" w:bottom="69"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100"/>
          </w:cols>
          <w:pgMar w:left="1400" w:top="1026" w:right="1380" w:bottom="69" w:gutter="0" w:footer="0" w:header="0"/>
          <w:type w:val="continuous"/>
        </w:sectPr>
      </w:pPr>
    </w:p>
    <w:bookmarkStart w:id="50" w:name="page51"/>
    <w:bookmarkEnd w:id="50"/>
    <w:p>
      <w:pPr>
        <w:ind w:left="580" w:right="280"/>
        <w:spacing w:after="0" w:line="264" w:lineRule="auto"/>
        <w:rPr>
          <w:sz w:val="20"/>
          <w:szCs w:val="20"/>
          <w:color w:val="auto"/>
        </w:rPr>
      </w:pPr>
      <w:r>
        <w:rPr>
          <w:rFonts w:ascii="Times New Roman" w:cs="Times New Roman" w:eastAsia="Times New Roman" w:hAnsi="Times New Roman"/>
          <w:sz w:val="20"/>
          <w:szCs w:val="20"/>
          <w:color w:val="auto"/>
        </w:rPr>
        <w:t>systems, endpoint detection and response systems, anti-malware functionality and access controls, which are evaluated and improved through vulnerability assessments and cybersecurity threat intelligence.</w:t>
      </w:r>
    </w:p>
    <w:p>
      <w:pPr>
        <w:spacing w:after="0" w:line="73" w:lineRule="exact"/>
        <w:rPr>
          <w:sz w:val="20"/>
          <w:szCs w:val="20"/>
          <w:color w:val="auto"/>
        </w:rPr>
      </w:pPr>
    </w:p>
    <w:p>
      <w:pPr>
        <w:ind w:left="580" w:right="120" w:hanging="191"/>
        <w:spacing w:after="0" w:line="264" w:lineRule="auto"/>
        <w:tabs>
          <w:tab w:leader="none" w:pos="5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Incident Response and Recovery Planning: Together with the MSP, we have established a written information security incident response plan that addresses the response to a cybersecurity incident, which is tested and evaluated on a regular basis.</w:t>
      </w:r>
    </w:p>
    <w:p>
      <w:pPr>
        <w:spacing w:after="0" w:line="73" w:lineRule="exact"/>
        <w:rPr>
          <w:rFonts w:ascii="Times New Roman" w:cs="Times New Roman" w:eastAsia="Times New Roman" w:hAnsi="Times New Roman"/>
          <w:sz w:val="20"/>
          <w:szCs w:val="20"/>
          <w:color w:val="auto"/>
        </w:rPr>
      </w:pPr>
    </w:p>
    <w:p>
      <w:pPr>
        <w:ind w:left="580" w:right="140" w:hanging="191"/>
        <w:spacing w:after="0" w:line="256" w:lineRule="auto"/>
        <w:tabs>
          <w:tab w:leader="none" w:pos="5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Risk Management: Together with the MSP, we maintain a comprehensive, risk-based approach to identifying and overseeing cybersecurity risks presented by third parties, including vendors, service providers and other external users of our systems, as well as the systems of third parties that could adversely impact the Company’s business in the event of a cybersecurity incident affecting those third-party systems.</w:t>
      </w:r>
    </w:p>
    <w:p>
      <w:pPr>
        <w:spacing w:after="0" w:line="82" w:lineRule="exact"/>
        <w:rPr>
          <w:rFonts w:ascii="Times New Roman" w:cs="Times New Roman" w:eastAsia="Times New Roman" w:hAnsi="Times New Roman"/>
          <w:sz w:val="20"/>
          <w:szCs w:val="20"/>
          <w:color w:val="auto"/>
        </w:rPr>
      </w:pPr>
    </w:p>
    <w:p>
      <w:pPr>
        <w:ind w:left="580" w:hanging="191"/>
        <w:spacing w:after="0" w:line="261" w:lineRule="auto"/>
        <w:tabs>
          <w:tab w:leader="none" w:pos="5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Education and Awareness: As directed by the Company, the MSP provides regular training for Company personnel regarding cybersecurity threats as a means to equip such personnel with effective tools to address cybersecurity threats, and to communicate evolving information security policies, standards, processes and practices.</w:t>
      </w:r>
    </w:p>
    <w:p>
      <w:pPr>
        <w:spacing w:after="0" w:line="117"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Together with the MSP, we engage in the periodic assessment and testing of our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MSP regularly assesses our cybersecurity measures, including information security maturity, and regularly reviews our information security control environment and operating effectiveness. The results of such assessments, audits and reviews are reported to the Audit Committee and the Board, and we will adjust our cybersecurity policies, standards, processes and practices as necessary based on the information provided by these assessments, audits and reviews.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68"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20"/>
          <w:szCs w:val="20"/>
          <w:color w:val="auto"/>
        </w:rPr>
        <w:t>The Board, in coordination with the Audit Committee, oversees the Company’s cybersecurity risk management process. The Audit Committee has adopted a charter that provides that the Audit Committee must review and discuss with the Company’s management team the Company’s privacy and cybersecurity risk exposures, including:</w:t>
      </w:r>
    </w:p>
    <w:p>
      <w:pPr>
        <w:spacing w:after="0" w:line="77" w:lineRule="exact"/>
        <w:rPr>
          <w:sz w:val="20"/>
          <w:szCs w:val="20"/>
          <w:color w:val="auto"/>
        </w:rPr>
      </w:pPr>
    </w:p>
    <w:p>
      <w:pPr>
        <w:ind w:left="580" w:right="80" w:hanging="191"/>
        <w:spacing w:after="0" w:line="284" w:lineRule="auto"/>
        <w:tabs>
          <w:tab w:leader="none" w:pos="5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impact of those exposures on the Company’s business, financial results, operations and reputation;</w:t>
      </w:r>
    </w:p>
    <w:p>
      <w:pPr>
        <w:spacing w:after="0" w:line="5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steps management has taken to monitor and mitigate such exposures;</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information governance policies and programs; and</w:t>
      </w:r>
    </w:p>
    <w:p>
      <w:pPr>
        <w:spacing w:after="0" w:line="129" w:lineRule="exact"/>
        <w:rPr>
          <w:rFonts w:ascii="Times New Roman" w:cs="Times New Roman" w:eastAsia="Times New Roman" w:hAnsi="Times New Roman"/>
          <w:sz w:val="20"/>
          <w:szCs w:val="20"/>
          <w:color w:val="auto"/>
        </w:rPr>
      </w:pPr>
    </w:p>
    <w:p>
      <w:pPr>
        <w:ind w:left="580" w:right="220" w:hanging="191"/>
        <w:spacing w:after="0" w:line="284" w:lineRule="auto"/>
        <w:tabs>
          <w:tab w:leader="none" w:pos="5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legislative and regulatory developments that could materially impact the Company’s privacy and cybersecurity risk exposure.</w:t>
      </w:r>
    </w:p>
    <w:p>
      <w:pPr>
        <w:spacing w:after="0" w:line="94"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20"/>
          <w:szCs w:val="20"/>
          <w:color w:val="auto"/>
        </w:rPr>
        <w:t>The charter of the Audit Committee also provides that the Audit Committee may receive additional training in cybersecurity and data privacy matters to enable its oversight of such risks and that the Audit Committee will regularly report to the Board the substance of such reviews and discussions and, as necessary, recommend to the Board such actions as the Audit Committee deems appropriate.</w:t>
      </w:r>
    </w:p>
    <w:p>
      <w:pPr>
        <w:spacing w:after="0" w:line="117"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Our Senior Vice President, Chief Financial Officer and Treasurer, Senior Vice President, General Counsel and Corporate Secretary, and Senior Vice President and Chief Accounting Officer work collaboratively with the MSP to implement a program designed to protect our information systems from cybersecurity threats and to promptly respond to any cybersecurity incidents in accordance with a written information security incident response plan that we have adopted. These members of our management team, together with the MSP, monitor the prevention, detection, mitigation and remediation of cybersecurity threats and incidents and will report such threats and incidents to the Audit Committee when appropriate.</w:t>
      </w:r>
    </w:p>
    <w:p>
      <w:pPr>
        <w:spacing w:after="0" w:line="125" w:lineRule="exact"/>
        <w:rPr>
          <w:sz w:val="20"/>
          <w:szCs w:val="20"/>
          <w:color w:val="auto"/>
        </w:rPr>
      </w:pPr>
    </w:p>
    <w:p>
      <w:pPr>
        <w:ind w:right="560" w:firstLine="399"/>
        <w:spacing w:after="0" w:line="284" w:lineRule="auto"/>
        <w:rPr>
          <w:sz w:val="20"/>
          <w:szCs w:val="20"/>
          <w:color w:val="auto"/>
        </w:rPr>
      </w:pPr>
      <w:r>
        <w:rPr>
          <w:rFonts w:ascii="Times New Roman" w:cs="Times New Roman" w:eastAsia="Times New Roman" w:hAnsi="Times New Roman"/>
          <w:sz w:val="20"/>
          <w:szCs w:val="20"/>
          <w:color w:val="auto"/>
        </w:rPr>
        <w:t>Our Senior Vice President, Chief Financial Officer and Treasurer, Senior Vice President, General Counsel and Corporate Secretary, and Senior Vice President and Chief Accounting Officer each hold</w:t>
      </w:r>
    </w:p>
    <w:p>
      <w:pPr>
        <w:sectPr>
          <w:pgSz w:w="11880" w:h="15480" w:orient="portrait"/>
          <w:cols w:equalWidth="0" w:num="1">
            <w:col w:w="9100"/>
          </w:cols>
          <w:pgMar w:left="1400" w:top="1025" w:right="1380" w:bottom="70" w:gutter="0" w:footer="0" w:header="0"/>
        </w:sect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100"/>
          </w:cols>
          <w:pgMar w:left="1400" w:top="1025" w:right="1380" w:bottom="70" w:gutter="0" w:footer="0" w:header="0"/>
          <w:type w:val="continuous"/>
        </w:sectPr>
      </w:pPr>
    </w:p>
    <w:bookmarkStart w:id="51" w:name="page52"/>
    <w:bookmarkEnd w:id="51"/>
    <w:p>
      <w:pPr>
        <w:ind w:right="120"/>
        <w:spacing w:after="0" w:line="284" w:lineRule="auto"/>
        <w:rPr>
          <w:sz w:val="20"/>
          <w:szCs w:val="20"/>
          <w:color w:val="auto"/>
        </w:rPr>
      </w:pPr>
      <w:r>
        <w:rPr>
          <w:rFonts w:ascii="Times New Roman" w:cs="Times New Roman" w:eastAsia="Times New Roman" w:hAnsi="Times New Roman"/>
          <w:sz w:val="20"/>
          <w:szCs w:val="20"/>
          <w:color w:val="auto"/>
        </w:rPr>
        <w:t>degrees in their respective fields, and have approximately 20 years or more of experience managing risks at the Company and similar companies, including risks arising from cybersecurity threats.</w:t>
      </w:r>
    </w:p>
    <w:p>
      <w:pPr>
        <w:spacing w:after="0" w:line="94" w:lineRule="exact"/>
        <w:rPr>
          <w:sz w:val="20"/>
          <w:szCs w:val="20"/>
          <w:color w:val="auto"/>
        </w:rPr>
      </w:pPr>
    </w:p>
    <w:p>
      <w:pPr>
        <w:ind w:right="20" w:firstLine="399"/>
        <w:spacing w:after="0" w:line="267" w:lineRule="auto"/>
        <w:rPr>
          <w:sz w:val="20"/>
          <w:szCs w:val="20"/>
          <w:color w:val="auto"/>
        </w:rPr>
      </w:pPr>
      <w:r>
        <w:rPr>
          <w:rFonts w:ascii="Times New Roman" w:cs="Times New Roman" w:eastAsia="Times New Roman" w:hAnsi="Times New Roman"/>
          <w:sz w:val="20"/>
          <w:szCs w:val="20"/>
          <w:color w:val="auto"/>
        </w:rPr>
        <w:t>Cybersecurity threats, including as a result of any previous cybersecurity incidents, have not materially affected and are not reasonably likely to affect the Company, including its business strategy, results of operations or financial condition.</w:t>
      </w:r>
    </w:p>
    <w:p>
      <w:pPr>
        <w:spacing w:after="0" w:line="18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2.</w:t>
        <w:tab/>
        <w:t>PROPERTIES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Our principal offices are located at 369 N. New York Avenue, Suite 201, Winter Park, Florida 32789.</w:t>
      </w:r>
    </w:p>
    <w:p>
      <w:pPr>
        <w:spacing w:after="0" w:line="169" w:lineRule="exact"/>
        <w:rPr>
          <w:sz w:val="20"/>
          <w:szCs w:val="20"/>
          <w:color w:val="auto"/>
        </w:rPr>
      </w:pPr>
    </w:p>
    <w:p>
      <w:pPr>
        <w:ind w:right="80" w:firstLine="399"/>
        <w:spacing w:after="0" w:line="261" w:lineRule="auto"/>
        <w:rPr>
          <w:sz w:val="20"/>
          <w:szCs w:val="20"/>
          <w:color w:val="auto"/>
        </w:rPr>
      </w:pPr>
      <w:r>
        <w:rPr>
          <w:rFonts w:ascii="Times New Roman" w:cs="Times New Roman" w:eastAsia="Times New Roman" w:hAnsi="Times New Roman"/>
          <w:sz w:val="20"/>
          <w:szCs w:val="20"/>
          <w:color w:val="auto"/>
        </w:rPr>
        <w:t>As of December 31, 2025, the Company owns the following assets: (i) 2 properties occupied by single-tenants located in Florida and (ii) 19 multi-tenanted properties located in Arizona, Florida, Georgia, North Carolina, Texas, Virginia and New Mexico. Please refer to Item 1. “Business” for a more detailed discussion of our properties.</w:t>
      </w:r>
    </w:p>
    <w:p>
      <w:pPr>
        <w:spacing w:after="0" w:line="1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3.</w:t>
        <w:tab/>
        <w:t>LEGAL PROCEEDINGS</w:t>
      </w:r>
    </w:p>
    <w:p>
      <w:pPr>
        <w:spacing w:after="0" w:line="171" w:lineRule="exact"/>
        <w:rPr>
          <w:sz w:val="20"/>
          <w:szCs w:val="20"/>
          <w:color w:val="auto"/>
        </w:rPr>
      </w:pPr>
    </w:p>
    <w:p>
      <w:pPr>
        <w:ind w:right="20" w:firstLine="399"/>
        <w:spacing w:after="0" w:line="256" w:lineRule="auto"/>
        <w:rPr>
          <w:sz w:val="20"/>
          <w:szCs w:val="20"/>
          <w:color w:val="auto"/>
        </w:rPr>
      </w:pPr>
      <w:r>
        <w:rPr>
          <w:rFonts w:ascii="Times New Roman" w:cs="Times New Roman" w:eastAsia="Times New Roman" w:hAnsi="Times New Roman"/>
          <w:sz w:val="20"/>
          <w:szCs w:val="20"/>
          <w:color w:val="auto"/>
        </w:rPr>
        <w:t>From time to time, the Company may be a party to certain legal proceedings, incidental to the normal course of its business. While the outcome of legal proceedings cannot be predicted with certainty, the Company is not currently a party to any pending or threatened legal proceedings that we believe could have a material adverse effect on the Company’s business or financial condition. See Note 22, “Commitments and Contingencies” in the notes to the consolidated financial statements in Item 8 for additional disclosure related to the Company’s legal proceedings.</w:t>
      </w:r>
    </w:p>
    <w:p>
      <w:pPr>
        <w:spacing w:after="0" w:line="20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4.</w:t>
        <w:tab/>
        <w:t>MINE SAFETY DISCLOSURES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040"/>
          </w:cols>
          <w:pgMar w:left="1400" w:top="1025" w:right="144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040"/>
          </w:cols>
          <w:pgMar w:left="1400" w:top="1025" w:right="1440" w:bottom="70" w:gutter="0" w:footer="0" w:header="0"/>
          <w:type w:val="continuous"/>
        </w:sectPr>
      </w:pPr>
    </w:p>
    <w:bookmarkStart w:id="52" w:name="page53"/>
    <w:bookmarkEnd w:id="52"/>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9" w:lineRule="exact"/>
        <w:rPr>
          <w:sz w:val="20"/>
          <w:szCs w:val="20"/>
          <w:color w:val="auto"/>
        </w:rPr>
      </w:pPr>
    </w:p>
    <w:p>
      <w:pPr>
        <w:ind w:left="10" w:right="620"/>
        <w:spacing w:after="0" w:line="27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REPURCHASES OF EQUITY SECURITIES</w:t>
      </w:r>
    </w:p>
    <w:p>
      <w:pPr>
        <w:spacing w:after="0" w:line="19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COMMON STOCK PRICES AND DIVIDENDS</w:t>
      </w:r>
    </w:p>
    <w:p>
      <w:pPr>
        <w:spacing w:after="0" w:line="171" w:lineRule="exact"/>
        <w:rPr>
          <w:sz w:val="20"/>
          <w:szCs w:val="20"/>
          <w:color w:val="auto"/>
        </w:rPr>
      </w:pPr>
    </w:p>
    <w:p>
      <w:pPr>
        <w:jc w:val="both"/>
        <w:ind w:left="10" w:right="560" w:firstLine="399"/>
        <w:spacing w:after="0" w:line="267" w:lineRule="auto"/>
        <w:rPr>
          <w:sz w:val="20"/>
          <w:szCs w:val="20"/>
          <w:color w:val="auto"/>
        </w:rPr>
      </w:pPr>
      <w:r>
        <w:rPr>
          <w:rFonts w:ascii="Times New Roman" w:cs="Times New Roman" w:eastAsia="Times New Roman" w:hAnsi="Times New Roman"/>
          <w:sz w:val="20"/>
          <w:szCs w:val="20"/>
          <w:color w:val="auto"/>
        </w:rPr>
        <w:t>The Company’s common stock trades on the NYSE under the symbol “CTO”. Aggregate annual dividends per common share, which were paid quarterly, totaled $1.52 during each of the years ended December 31, 2025 and 2024.</w:t>
      </w:r>
    </w:p>
    <w:p>
      <w:pPr>
        <w:spacing w:after="0" w:line="111" w:lineRule="exact"/>
        <w:rPr>
          <w:sz w:val="20"/>
          <w:szCs w:val="20"/>
          <w:color w:val="auto"/>
        </w:rPr>
      </w:pPr>
    </w:p>
    <w:p>
      <w:pPr>
        <w:ind w:left="10" w:right="60" w:firstLine="399"/>
        <w:spacing w:after="0" w:line="263" w:lineRule="auto"/>
        <w:rPr>
          <w:sz w:val="20"/>
          <w:szCs w:val="20"/>
          <w:color w:val="auto"/>
        </w:rPr>
      </w:pPr>
      <w:r>
        <w:rPr>
          <w:rFonts w:ascii="Times New Roman" w:cs="Times New Roman" w:eastAsia="Times New Roman" w:hAnsi="Times New Roman"/>
          <w:sz w:val="20"/>
          <w:szCs w:val="20"/>
          <w:color w:val="auto"/>
        </w:rPr>
        <w:t>The level of future dividends will be subject to an ongoing review of the Company’s operating results and financial position, the annual distribution requirements under the REIT provisions of the Code and, among other factors, the overall economy, with an emphasis on our local real estate markets and our capital needs.</w:t>
      </w:r>
    </w:p>
    <w:p>
      <w:pPr>
        <w:spacing w:after="0" w:line="361" w:lineRule="exact"/>
        <w:rPr>
          <w:sz w:val="20"/>
          <w:szCs w:val="20"/>
          <w:color w:val="auto"/>
        </w:rPr>
      </w:pPr>
    </w:p>
    <w:p>
      <w:pPr>
        <w:ind w:left="10" w:right="40" w:firstLine="399"/>
        <w:spacing w:after="0" w:line="261" w:lineRule="auto"/>
        <w:rPr>
          <w:sz w:val="20"/>
          <w:szCs w:val="20"/>
          <w:color w:val="auto"/>
        </w:rPr>
      </w:pPr>
      <w:r>
        <w:rPr>
          <w:rFonts w:ascii="Times New Roman" w:cs="Times New Roman" w:eastAsia="Times New Roman" w:hAnsi="Times New Roman"/>
          <w:sz w:val="20"/>
          <w:szCs w:val="20"/>
          <w:color w:val="auto"/>
        </w:rPr>
        <w:t>The number of stockholders of record as of February 10, 2026 (without regard to shares held in nominee or street name) was 500. Many of the Company’s shares of common stock are held by brokers and institutions on behalf of stockholders; consequently, the Company is unable to estimate the total number of stockholders represented by these record holders.</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71" w:lineRule="exact"/>
        <w:rPr>
          <w:sz w:val="20"/>
          <w:szCs w:val="20"/>
          <w:color w:val="auto"/>
        </w:rPr>
      </w:pPr>
    </w:p>
    <w:p>
      <w:pPr>
        <w:ind w:left="10" w:right="220" w:firstLine="399"/>
        <w:spacing w:after="0" w:line="284" w:lineRule="auto"/>
        <w:rPr>
          <w:sz w:val="20"/>
          <w:szCs w:val="20"/>
          <w:color w:val="auto"/>
        </w:rPr>
      </w:pPr>
      <w:r>
        <w:rPr>
          <w:rFonts w:ascii="Times New Roman" w:cs="Times New Roman" w:eastAsia="Times New Roman" w:hAnsi="Times New Roman"/>
          <w:sz w:val="20"/>
          <w:szCs w:val="20"/>
          <w:color w:val="auto"/>
        </w:rPr>
        <w:t>There were no unregistered sales of equity securities during the year ended December 31, 2025 which were not previously reported.</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71" w:lineRule="exact"/>
        <w:rPr>
          <w:sz w:val="20"/>
          <w:szCs w:val="20"/>
          <w:color w:val="auto"/>
        </w:rPr>
      </w:pPr>
    </w:p>
    <w:p>
      <w:pPr>
        <w:ind w:left="10" w:right="800" w:firstLine="399"/>
        <w:spacing w:after="0" w:line="284" w:lineRule="auto"/>
        <w:rPr>
          <w:sz w:val="20"/>
          <w:szCs w:val="20"/>
          <w:color w:val="auto"/>
        </w:rPr>
      </w:pPr>
      <w:r>
        <w:rPr>
          <w:rFonts w:ascii="Times New Roman" w:cs="Times New Roman" w:eastAsia="Times New Roman" w:hAnsi="Times New Roman"/>
          <w:sz w:val="20"/>
          <w:szCs w:val="20"/>
          <w:color w:val="auto"/>
        </w:rPr>
        <w:t>The following repurchases of shares of the Company’s common stock were made during the three months ended December 31, 2025:</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left="25"/>
              <w:spacing w:after="0"/>
              <w:rPr>
                <w:sz w:val="20"/>
                <w:szCs w:val="20"/>
                <w:color w:val="auto"/>
              </w:rPr>
            </w:pPr>
            <w:r>
              <w:rPr>
                <w:rFonts w:ascii="Times New Roman" w:cs="Times New Roman" w:eastAsia="Times New Roman" w:hAnsi="Times New Roman"/>
                <w:sz w:val="16"/>
                <w:szCs w:val="16"/>
                <w:b w:val="1"/>
                <w:bCs w:val="1"/>
                <w:color w:val="auto"/>
                <w:w w:val="97"/>
              </w:rPr>
              <w:t>Maximum Number (or</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Total Number of</w:t>
            </w:r>
          </w:p>
        </w:tc>
        <w:tc>
          <w:tcPr>
            <w:tcW w:w="120" w:type="dxa"/>
            <w:vAlign w:val="bottom"/>
          </w:tcPr>
          <w:p>
            <w:pPr>
              <w:spacing w:after="0"/>
              <w:rPr>
                <w:sz w:val="15"/>
                <w:szCs w:val="15"/>
                <w:color w:val="auto"/>
              </w:rPr>
            </w:pPr>
          </w:p>
        </w:tc>
        <w:tc>
          <w:tcPr>
            <w:tcW w:w="15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Approximate Dollar</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Value) of Shares That</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Shares Purchased as</w:t>
            </w:r>
          </w:p>
        </w:tc>
        <w:tc>
          <w:tcPr>
            <w:tcW w:w="120" w:type="dxa"/>
            <w:vAlign w:val="bottom"/>
          </w:tcPr>
          <w:p>
            <w:pPr>
              <w:spacing w:after="0"/>
              <w:rPr>
                <w:sz w:val="15"/>
                <w:szCs w:val="15"/>
                <w:color w:val="auto"/>
              </w:rPr>
            </w:pPr>
          </w:p>
        </w:tc>
        <w:tc>
          <w:tcPr>
            <w:tcW w:w="15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May yet be Purchased</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2520" w:type="dxa"/>
            <w:vAlign w:val="bottom"/>
            <w:gridSpan w:val="5"/>
          </w:tcPr>
          <w:p>
            <w:pPr>
              <w:jc w:val="center"/>
              <w:ind w:left="1272"/>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Total Number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 Part of Publicly</w:t>
            </w:r>
          </w:p>
        </w:tc>
        <w:tc>
          <w:tcPr>
            <w:tcW w:w="120" w:type="dxa"/>
            <w:vAlign w:val="bottom"/>
          </w:tcPr>
          <w:p>
            <w:pPr>
              <w:spacing w:after="0"/>
              <w:rPr>
                <w:sz w:val="15"/>
                <w:szCs w:val="15"/>
                <w:color w:val="auto"/>
              </w:rPr>
            </w:pPr>
          </w:p>
        </w:tc>
        <w:tc>
          <w:tcPr>
            <w:tcW w:w="15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Under the Plans or</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auto"/>
                <w:w w:val="97"/>
              </w:rPr>
              <w:t>of Shares</w:t>
            </w:r>
          </w:p>
        </w:tc>
        <w:tc>
          <w:tcPr>
            <w:tcW w:w="120" w:type="dxa"/>
            <w:vAlign w:val="bottom"/>
          </w:tcPr>
          <w:p>
            <w:pPr>
              <w:spacing w:after="0"/>
              <w:rPr>
                <w:sz w:val="14"/>
                <w:szCs w:val="14"/>
                <w:color w:val="auto"/>
              </w:rPr>
            </w:pPr>
          </w:p>
        </w:tc>
        <w:tc>
          <w:tcPr>
            <w:tcW w:w="1100" w:type="dxa"/>
            <w:vAlign w:val="bottom"/>
            <w:gridSpan w:val="5"/>
          </w:tcPr>
          <w:p>
            <w:pPr>
              <w:jc w:val="center"/>
              <w:ind w:right="140"/>
              <w:spacing w:after="0" w:line="172" w:lineRule="exact"/>
              <w:rPr>
                <w:sz w:val="20"/>
                <w:szCs w:val="20"/>
                <w:color w:val="auto"/>
              </w:rPr>
            </w:pPr>
            <w:r>
              <w:rPr>
                <w:rFonts w:ascii="Times New Roman" w:cs="Times New Roman" w:eastAsia="Times New Roman" w:hAnsi="Times New Roman"/>
                <w:sz w:val="16"/>
                <w:szCs w:val="16"/>
                <w:b w:val="1"/>
                <w:bCs w:val="1"/>
                <w:color w:val="auto"/>
                <w:w w:val="95"/>
              </w:rPr>
              <w:t>Average Price</w:t>
            </w:r>
          </w:p>
        </w:tc>
        <w:tc>
          <w:tcPr>
            <w:tcW w:w="120" w:type="dxa"/>
            <w:vAlign w:val="bottom"/>
          </w:tcPr>
          <w:p>
            <w:pPr>
              <w:spacing w:after="0"/>
              <w:rPr>
                <w:sz w:val="14"/>
                <w:szCs w:val="14"/>
                <w:color w:val="auto"/>
              </w:rPr>
            </w:pPr>
          </w:p>
        </w:tc>
        <w:tc>
          <w:tcPr>
            <w:tcW w:w="1460" w:type="dxa"/>
            <w:vAlign w:val="bottom"/>
            <w:gridSpan w:val="4"/>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w w:val="95"/>
              </w:rPr>
              <w:t>Announced Plans</w:t>
            </w:r>
          </w:p>
        </w:tc>
        <w:tc>
          <w:tcPr>
            <w:tcW w:w="120" w:type="dxa"/>
            <w:vAlign w:val="bottom"/>
          </w:tcPr>
          <w:p>
            <w:pPr>
              <w:spacing w:after="0"/>
              <w:rPr>
                <w:sz w:val="14"/>
                <w:szCs w:val="14"/>
                <w:color w:val="auto"/>
              </w:rPr>
            </w:pPr>
          </w:p>
        </w:tc>
        <w:tc>
          <w:tcPr>
            <w:tcW w:w="152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4"/>
              </w:rPr>
              <w:t>Programs</w:t>
            </w:r>
          </w:p>
        </w:tc>
        <w:tc>
          <w:tcPr>
            <w:tcW w:w="0" w:type="dxa"/>
            <w:vAlign w:val="bottom"/>
          </w:tcPr>
          <w:p>
            <w:pPr>
              <w:spacing w:after="0"/>
              <w:rPr>
                <w:sz w:val="1"/>
                <w:szCs w:val="1"/>
                <w:color w:val="auto"/>
              </w:rPr>
            </w:pPr>
          </w:p>
        </w:tc>
      </w:tr>
      <w:tr>
        <w:trPr>
          <w:trHeight w:val="240"/>
        </w:trPr>
        <w:tc>
          <w:tcPr>
            <w:tcW w:w="2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120" w:type="dxa"/>
            <w:vAlign w:val="bottom"/>
          </w:tcPr>
          <w:p>
            <w:pPr>
              <w:spacing w:after="0"/>
              <w:rPr>
                <w:sz w:val="20"/>
                <w:szCs w:val="20"/>
                <w:color w:val="auto"/>
              </w:rPr>
            </w:pPr>
          </w:p>
        </w:tc>
        <w:tc>
          <w:tcPr>
            <w:tcW w:w="1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Paid per Share</w:t>
            </w:r>
          </w:p>
        </w:tc>
        <w:tc>
          <w:tcPr>
            <w:tcW w:w="120" w:type="dxa"/>
            <w:vAlign w:val="bottom"/>
          </w:tcPr>
          <w:p>
            <w:pPr>
              <w:spacing w:after="0"/>
              <w:rPr>
                <w:sz w:val="20"/>
                <w:szCs w:val="20"/>
                <w:color w:val="auto"/>
              </w:rPr>
            </w:pPr>
          </w:p>
        </w:tc>
        <w:tc>
          <w:tcPr>
            <w:tcW w:w="14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or Programs</w:t>
            </w:r>
            <w:r>
              <w:rPr>
                <w:rFonts w:ascii="Times New Roman" w:cs="Times New Roman" w:eastAsia="Times New Roman" w:hAnsi="Times New Roman"/>
                <w:sz w:val="19"/>
                <w:szCs w:val="19"/>
                <w:b w:val="1"/>
                <w:bCs w:val="1"/>
                <w:color w:val="auto"/>
                <w:w w:val="96"/>
                <w:vertAlign w:val="superscript"/>
              </w:rPr>
              <w:t>(1)</w:t>
            </w: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($000’s)</w:t>
            </w:r>
            <w:r>
              <w:rPr>
                <w:rFonts w:ascii="Times New Roman" w:cs="Times New Roman" w:eastAsia="Times New Roman" w:hAnsi="Times New Roman"/>
                <w:sz w:val="19"/>
                <w:szCs w:val="19"/>
                <w:b w:val="1"/>
                <w:bCs w:val="1"/>
                <w:color w:val="auto"/>
                <w:w w:val="95"/>
                <w:vertAlign w:val="superscript"/>
              </w:rPr>
              <w:t>(1)</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w w:val="99"/>
              </w:rPr>
              <w:t>10/1/2025 – 10/31/2025 . .</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.307,563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7"/>
              </w:rPr>
              <w:t>16.26</w:t>
            </w:r>
          </w:p>
        </w:tc>
        <w:tc>
          <w:tcPr>
            <w:tcW w:w="120" w:type="dxa"/>
            <w:vAlign w:val="bottom"/>
          </w:tcPr>
          <w:p>
            <w:pPr>
              <w:spacing w:after="0"/>
              <w:rPr>
                <w:sz w:val="24"/>
                <w:szCs w:val="24"/>
                <w:color w:val="auto"/>
              </w:rPr>
            </w:pPr>
          </w:p>
        </w:tc>
        <w:tc>
          <w:tcPr>
            <w:tcW w:w="1460" w:type="dxa"/>
            <w:vAlign w:val="bottom"/>
            <w:gridSpan w:val="4"/>
          </w:tcPr>
          <w:p>
            <w:pPr>
              <w:jc w:val="right"/>
              <w:ind w:right="340"/>
              <w:spacing w:after="0"/>
              <w:rPr>
                <w:sz w:val="20"/>
                <w:szCs w:val="20"/>
                <w:color w:val="auto"/>
              </w:rPr>
            </w:pPr>
            <w:r>
              <w:rPr>
                <w:rFonts w:ascii="Times New Roman" w:cs="Times New Roman" w:eastAsia="Times New Roman" w:hAnsi="Times New Roman"/>
                <w:sz w:val="20"/>
                <w:szCs w:val="20"/>
                <w:color w:val="auto"/>
              </w:rPr>
              <w:t>307,563</w:t>
            </w:r>
          </w:p>
        </w:tc>
        <w:tc>
          <w:tcPr>
            <w:tcW w:w="120" w:type="dxa"/>
            <w:vAlign w:val="bottom"/>
          </w:tcPr>
          <w:p>
            <w:pPr>
              <w:spacing w:after="0"/>
              <w:rPr>
                <w:sz w:val="24"/>
                <w:szCs w:val="24"/>
                <w:color w:val="auto"/>
              </w:rPr>
            </w:pPr>
          </w:p>
        </w:tc>
        <w:tc>
          <w:tcPr>
            <w:tcW w:w="1640" w:type="dxa"/>
            <w:vAlign w:val="bottom"/>
            <w:gridSpan w:val="2"/>
          </w:tcPr>
          <w:p>
            <w:pPr>
              <w:jc w:val="center"/>
              <w:ind w:left="25"/>
              <w:spacing w:after="0"/>
              <w:rPr>
                <w:sz w:val="20"/>
                <w:szCs w:val="20"/>
                <w:color w:val="auto"/>
              </w:rPr>
            </w:pPr>
            <w:r>
              <w:rPr>
                <w:rFonts w:ascii="Times New Roman" w:cs="Times New Roman" w:eastAsia="Times New Roman" w:hAnsi="Times New Roman"/>
                <w:sz w:val="20"/>
                <w:szCs w:val="20"/>
                <w:color w:val="auto"/>
              </w:rPr>
              <w:t>$5,000</w:t>
            </w:r>
          </w:p>
        </w:tc>
        <w:tc>
          <w:tcPr>
            <w:tcW w:w="0" w:type="dxa"/>
            <w:vAlign w:val="bottom"/>
          </w:tcPr>
          <w:p>
            <w:pPr>
              <w:spacing w:after="0"/>
              <w:rPr>
                <w:sz w:val="1"/>
                <w:szCs w:val="1"/>
                <w:color w:val="auto"/>
              </w:rPr>
            </w:pPr>
          </w:p>
        </w:tc>
      </w:tr>
      <w:tr>
        <w:trPr>
          <w:trHeight w:val="299"/>
        </w:trPr>
        <w:tc>
          <w:tcPr>
            <w:tcW w:w="3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11/1/2025 – 11/30/2025 . . . . . . . . . . . .</w:t>
            </w:r>
          </w:p>
        </w:tc>
        <w:tc>
          <w:tcPr>
            <w:tcW w:w="140" w:type="dxa"/>
            <w:vAlign w:val="bottom"/>
          </w:tcPr>
          <w:p>
            <w:pPr>
              <w:spacing w:after="0"/>
              <w:rPr>
                <w:sz w:val="24"/>
                <w:szCs w:val="24"/>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gridSpan w:val="2"/>
          </w:tcPr>
          <w:p>
            <w:pPr>
              <w:jc w:val="center"/>
              <w:ind w:left="25"/>
              <w:spacing w:after="0"/>
              <w:rPr>
                <w:sz w:val="20"/>
                <w:szCs w:val="20"/>
                <w:color w:val="auto"/>
              </w:rPr>
            </w:pPr>
            <w:r>
              <w:rPr>
                <w:rFonts w:ascii="Times New Roman" w:cs="Times New Roman" w:eastAsia="Times New Roman" w:hAnsi="Times New Roman"/>
                <w:sz w:val="20"/>
                <w:szCs w:val="20"/>
                <w:color w:val="auto"/>
              </w:rPr>
              <w:t>$5,000</w:t>
            </w:r>
          </w:p>
        </w:tc>
        <w:tc>
          <w:tcPr>
            <w:tcW w:w="0" w:type="dxa"/>
            <w:vAlign w:val="bottom"/>
          </w:tcPr>
          <w:p>
            <w:pPr>
              <w:spacing w:after="0"/>
              <w:rPr>
                <w:sz w:val="1"/>
                <w:szCs w:val="1"/>
                <w:color w:val="auto"/>
              </w:rPr>
            </w:pPr>
          </w:p>
        </w:tc>
      </w:tr>
      <w:tr>
        <w:trPr>
          <w:trHeight w:val="302"/>
        </w:trPr>
        <w:tc>
          <w:tcPr>
            <w:tcW w:w="3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12/1/2025 – 12/31/2025 . . . . . . . . . . . .</w:t>
            </w:r>
          </w:p>
        </w:tc>
        <w:tc>
          <w:tcPr>
            <w:tcW w:w="1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spacing w:after="0"/>
              <w:rPr>
                <w:sz w:val="24"/>
                <w:szCs w:val="24"/>
                <w:color w:val="auto"/>
              </w:rPr>
            </w:pPr>
          </w:p>
        </w:tc>
        <w:tc>
          <w:tcPr>
            <w:tcW w:w="1640" w:type="dxa"/>
            <w:vAlign w:val="bottom"/>
            <w:gridSpan w:val="2"/>
          </w:tcPr>
          <w:p>
            <w:pPr>
              <w:jc w:val="center"/>
              <w:ind w:left="25"/>
              <w:spacing w:after="0"/>
              <w:rPr>
                <w:sz w:val="20"/>
                <w:szCs w:val="20"/>
                <w:color w:val="auto"/>
              </w:rPr>
            </w:pPr>
            <w:r>
              <w:rPr>
                <w:rFonts w:ascii="Times New Roman" w:cs="Times New Roman" w:eastAsia="Times New Roman" w:hAnsi="Times New Roman"/>
                <w:sz w:val="20"/>
                <w:szCs w:val="20"/>
                <w:color w:val="auto"/>
              </w:rPr>
              <w:t>$5,000</w:t>
            </w:r>
          </w:p>
        </w:tc>
        <w:tc>
          <w:tcPr>
            <w:tcW w:w="0" w:type="dxa"/>
            <w:vAlign w:val="bottom"/>
          </w:tcPr>
          <w:p>
            <w:pPr>
              <w:spacing w:after="0"/>
              <w:rPr>
                <w:sz w:val="1"/>
                <w:szCs w:val="1"/>
                <w:color w:val="auto"/>
              </w:rPr>
            </w:pPr>
          </w:p>
        </w:tc>
      </w:tr>
      <w:tr>
        <w:trPr>
          <w:trHeight w:val="289"/>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.307,563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7"/>
              </w:rPr>
              <w:t>16.26</w:t>
            </w:r>
          </w:p>
        </w:tc>
        <w:tc>
          <w:tcPr>
            <w:tcW w:w="120" w:type="dxa"/>
            <w:vAlign w:val="bottom"/>
          </w:tcPr>
          <w:p>
            <w:pPr>
              <w:spacing w:after="0"/>
              <w:rPr>
                <w:sz w:val="24"/>
                <w:szCs w:val="24"/>
                <w:color w:val="auto"/>
              </w:rPr>
            </w:pPr>
          </w:p>
        </w:tc>
        <w:tc>
          <w:tcPr>
            <w:tcW w:w="1460" w:type="dxa"/>
            <w:vAlign w:val="bottom"/>
            <w:gridSpan w:val="4"/>
          </w:tcPr>
          <w:p>
            <w:pPr>
              <w:jc w:val="right"/>
              <w:ind w:right="340"/>
              <w:spacing w:after="0"/>
              <w:rPr>
                <w:sz w:val="20"/>
                <w:szCs w:val="20"/>
                <w:color w:val="auto"/>
              </w:rPr>
            </w:pPr>
            <w:r>
              <w:rPr>
                <w:rFonts w:ascii="Times New Roman" w:cs="Times New Roman" w:eastAsia="Times New Roman" w:hAnsi="Times New Roman"/>
                <w:sz w:val="20"/>
                <w:szCs w:val="20"/>
                <w:color w:val="auto"/>
              </w:rPr>
              <w:t>307,563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14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90" w:right="220" w:hanging="390"/>
        <w:spacing w:after="0" w:line="295" w:lineRule="auto"/>
        <w:tabs>
          <w:tab w:leader="none" w:pos="39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24, 2025, the Company’s Board of Directors approved a $10.0 million common stock repurchase program. The repurchase program does not have an expiration date.</w:t>
      </w:r>
    </w:p>
    <w:p>
      <w:pPr>
        <w:sectPr>
          <w:pgSz w:w="11880" w:h="15480" w:orient="portrait"/>
          <w:cols w:equalWidth="0" w:num="1">
            <w:col w:w="9110"/>
          </w:cols>
          <w:pgMar w:left="139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110"/>
          </w:cols>
          <w:pgMar w:left="1390" w:top="1023" w:right="1380" w:bottom="70" w:gutter="0" w:footer="0" w:header="0"/>
          <w:type w:val="continuous"/>
        </w:sectPr>
      </w:pPr>
    </w:p>
    <w:bookmarkStart w:id="53" w:name="page54"/>
    <w:bookmarkEnd w:id="53"/>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49" w:lineRule="exact"/>
        <w:rPr>
          <w:sz w:val="20"/>
          <w:szCs w:val="20"/>
          <w:color w:val="auto"/>
        </w:rPr>
      </w:pPr>
    </w:p>
    <w:p>
      <w:pPr>
        <w:jc w:val="center"/>
        <w:ind w:right="10"/>
        <w:spacing w:after="0" w:line="262" w:lineRule="auto"/>
        <w:rPr>
          <w:sz w:val="20"/>
          <w:szCs w:val="20"/>
          <w:color w:val="auto"/>
        </w:rPr>
      </w:pPr>
      <w:r>
        <w:rPr>
          <w:rFonts w:ascii="Times New Roman" w:cs="Times New Roman" w:eastAsia="Times New Roman" w:hAnsi="Times New Roman"/>
          <w:sz w:val="20"/>
          <w:szCs w:val="20"/>
          <w:b w:val="1"/>
          <w:bCs w:val="1"/>
          <w:color w:val="auto"/>
        </w:rPr>
        <w:t>COMPARISON OF 5-YEAR CUMULATIVE TOTAL RETURN* Among CTO Realty Growth, Inc., the Russell 2000 Index, the FTSE Nareit Equity REITs Index, the NYSE Composite Index, and the 2025 and 2024 Peer Group</w:t>
      </w:r>
    </w:p>
    <w:p>
      <w:pPr>
        <w:spacing w:after="0" w:line="127" w:lineRule="exact"/>
        <w:rPr>
          <w:sz w:val="20"/>
          <w:szCs w:val="20"/>
          <w:color w:val="auto"/>
        </w:rPr>
      </w:pPr>
    </w:p>
    <w:p>
      <w:pPr>
        <w:ind w:left="10" w:right="120" w:firstLine="399"/>
        <w:spacing w:after="0" w:line="249" w:lineRule="auto"/>
        <w:rPr>
          <w:sz w:val="20"/>
          <w:szCs w:val="20"/>
          <w:color w:val="auto"/>
        </w:rPr>
      </w:pPr>
      <w:r>
        <w:rPr>
          <w:rFonts w:ascii="Times New Roman" w:cs="Times New Roman" w:eastAsia="Times New Roman" w:hAnsi="Times New Roman"/>
          <w:sz w:val="20"/>
          <w:szCs w:val="20"/>
          <w:color w:val="auto"/>
        </w:rPr>
        <w:t>The following performance graph shows a comparison of cumulative total stockholder return from a $100 investment in stock of the Company over the five-year period ending December 31, 2025, with the cumulative stockholder return of the following: (i) the Russell 2000 Index; (ii) the NYSE Composite Index;</w:t>
      </w:r>
    </w:p>
    <w:p>
      <w:pPr>
        <w:spacing w:after="0" w:line="3" w:lineRule="exact"/>
        <w:rPr>
          <w:sz w:val="20"/>
          <w:szCs w:val="20"/>
          <w:color w:val="auto"/>
        </w:rPr>
      </w:pPr>
    </w:p>
    <w:p>
      <w:pPr>
        <w:ind w:left="350" w:hanging="350"/>
        <w:spacing w:after="0"/>
        <w:tabs>
          <w:tab w:leader="none" w:pos="35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FTSE Nareit Equity REITs Index, a real estate industry index provided by Research Data Group;</w:t>
      </w:r>
    </w:p>
    <w:p>
      <w:pPr>
        <w:spacing w:after="0" w:line="9" w:lineRule="exact"/>
        <w:rPr>
          <w:rFonts w:ascii="Times New Roman" w:cs="Times New Roman" w:eastAsia="Times New Roman" w:hAnsi="Times New Roman"/>
          <w:sz w:val="20"/>
          <w:szCs w:val="20"/>
          <w:color w:val="auto"/>
        </w:rPr>
      </w:pPr>
    </w:p>
    <w:p>
      <w:pPr>
        <w:ind w:left="10" w:hanging="10"/>
        <w:spacing w:after="0" w:line="254" w:lineRule="auto"/>
        <w:tabs>
          <w:tab w:leader="none" w:pos="3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index of selected issuers in our Peer Group (composed of Alexander &amp; Baldwin, Inc., Armada Hoffler Properties, Inc., Chatham Lodging Trust, Community Healthcare Trust, Inc., Four Corners Property Trust, Inc., Frontview Reit, Inc., Getty Realty Corp., Inventrust Properties Corp, NETSTREIT Corp., Plymouth Industrial REIT, Inc., Seaport Entertainment Group, Inc., Urban Edge Properties, and Whitestone REIT (the “2025 Peer Group”), and (v) an index of selected issuers in our Peer Group (composed of Armada Hoffler Properties, Inc., Chatham Lodging Trust, City Office REIT Inc., Community Healthcare Trust, Inc., Four Corners Property Trust, Inc., Getty Realty Corp., NETSTREIT Corp., One Liberty Properties Inc., Plymouth Industrial REIT Inc., and Whitestone REIT (the “2024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100330</wp:posOffset>
            </wp:positionV>
            <wp:extent cx="5027295" cy="4612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extLst>
                    </a:blip>
                    <a:srcRect/>
                    <a:stretch>
                      <a:fillRect/>
                    </a:stretch>
                  </pic:blipFill>
                  <pic:spPr bwMode="auto">
                    <a:xfrm>
                      <a:off x="0" y="0"/>
                      <a:ext cx="5027295" cy="4612005"/>
                    </a:xfrm>
                    <a:prstGeom prst="rect">
                      <a:avLst/>
                    </a:prstGeom>
                    <a:noFill/>
                  </pic:spPr>
                </pic:pic>
              </a:graphicData>
            </a:graphic>
          </wp:anchor>
        </w:drawing>
      </w:r>
    </w:p>
    <w:p>
      <w:pPr>
        <w:sectPr>
          <w:pgSz w:w="11880" w:h="15480" w:orient="portrait"/>
          <w:cols w:equalWidth="0" w:num="1">
            <w:col w:w="9110"/>
          </w:cols>
          <w:pgMar w:left="139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110"/>
          </w:cols>
          <w:pgMar w:left="1390" w:top="1023" w:right="1380" w:bottom="70" w:gutter="0" w:footer="0" w:header="0"/>
          <w:type w:val="continuous"/>
        </w:sectPr>
      </w:pPr>
    </w:p>
    <w:bookmarkStart w:id="54" w:name="page55"/>
    <w:bookmarkEnd w:id="54"/>
    <w:p>
      <w:pPr>
        <w:ind w:left="10"/>
        <w:spacing w:after="0"/>
        <w:tabs>
          <w:tab w:leader="none" w:pos="929"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49" w:lineRule="exact"/>
        <w:rPr>
          <w:sz w:val="20"/>
          <w:szCs w:val="20"/>
          <w:color w:val="auto"/>
        </w:rPr>
      </w:pPr>
    </w:p>
    <w:p>
      <w:pPr>
        <w:ind w:left="10" w:right="280"/>
        <w:spacing w:after="0" w:line="273"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6" w:lineRule="exact"/>
        <w:rPr>
          <w:sz w:val="20"/>
          <w:szCs w:val="20"/>
          <w:color w:val="auto"/>
        </w:rPr>
      </w:pPr>
    </w:p>
    <w:p>
      <w:pPr>
        <w:ind w:left="10" w:firstLine="399"/>
        <w:spacing w:after="0" w:line="250" w:lineRule="auto"/>
        <w:rPr>
          <w:sz w:val="20"/>
          <w:szCs w:val="20"/>
          <w:color w:val="auto"/>
        </w:rPr>
      </w:pPr>
      <w:r>
        <w:rPr>
          <w:rFonts w:ascii="Times New Roman" w:cs="Times New Roman" w:eastAsia="Times New Roman" w:hAnsi="Times New Roman"/>
          <w:sz w:val="20"/>
          <w:szCs w:val="20"/>
          <w:i w:val="1"/>
          <w:iCs w:val="1"/>
          <w:color w:val="auto"/>
        </w:rPr>
        <w:t>When the Company uses any words such as “anticipate,” “assume,” “believe,” “estimate,” “expect,” “intend,” or similar expressions, the Company is making forward-looking statements. Although management believes that the expectations reflected in such forward-looking statements are based upon current expectations and reasonable assumptions, the Company’s actual results could differ materially from those set forth in the forward-looking statements. Certain factors or risks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Our Business</w:t>
      </w:r>
    </w:p>
    <w:p>
      <w:pPr>
        <w:spacing w:after="0" w:line="168" w:lineRule="exact"/>
        <w:rPr>
          <w:sz w:val="20"/>
          <w:szCs w:val="20"/>
          <w:color w:val="auto"/>
        </w:rPr>
      </w:pPr>
    </w:p>
    <w:p>
      <w:pPr>
        <w:ind w:left="10" w:firstLine="399"/>
        <w:spacing w:after="0" w:line="256" w:lineRule="auto"/>
        <w:rPr>
          <w:sz w:val="20"/>
          <w:szCs w:val="20"/>
          <w:color w:val="auto"/>
        </w:rPr>
      </w:pPr>
      <w:r>
        <w:rPr>
          <w:rFonts w:ascii="Times New Roman" w:cs="Times New Roman" w:eastAsia="Times New Roman" w:hAnsi="Times New Roman"/>
          <w:sz w:val="20"/>
          <w:szCs w:val="20"/>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20" w:lineRule="exact"/>
        <w:rPr>
          <w:sz w:val="20"/>
          <w:szCs w:val="20"/>
          <w:color w:val="auto"/>
        </w:rPr>
      </w:pPr>
    </w:p>
    <w:p>
      <w:pPr>
        <w:ind w:left="10" w:firstLine="399"/>
        <w:spacing w:after="0" w:line="259" w:lineRule="auto"/>
        <w:rPr>
          <w:sz w:val="20"/>
          <w:szCs w:val="20"/>
          <w:color w:val="auto"/>
        </w:rPr>
      </w:pPr>
      <w:r>
        <w:rPr>
          <w:rFonts w:ascii="Times New Roman" w:cs="Times New Roman" w:eastAsia="Times New Roman" w:hAnsi="Times New Roman"/>
          <w:sz w:val="20"/>
          <w:szCs w:val="20"/>
          <w:color w:val="auto"/>
        </w:rPr>
        <w:t>As of December 31, 2025, we own and manage, sometimes utilizing third-party property management companies, 21 commercial real estate properties in 7 states in the United States, comprising 5.5 million square feet of gross leasable space. In addition to our income property portfolio, as of December 31, 2025, our business included the following:</w:t>
      </w:r>
    </w:p>
    <w:p>
      <w:pPr>
        <w:spacing w:after="0" w:line="117" w:lineRule="exact"/>
        <w:rPr>
          <w:sz w:val="20"/>
          <w:szCs w:val="20"/>
          <w:color w:val="auto"/>
        </w:rPr>
      </w:pPr>
    </w:p>
    <w:p>
      <w:pPr>
        <w:ind w:left="390"/>
        <w:spacing w:after="0"/>
        <w:tabs>
          <w:tab w:leader="none" w:pos="2489" w:val="left"/>
        </w:tabs>
        <w:rPr>
          <w:sz w:val="20"/>
          <w:szCs w:val="20"/>
          <w:color w:val="auto"/>
        </w:rPr>
      </w:pPr>
      <w:r>
        <w:rPr>
          <w:rFonts w:ascii="Times New Roman" w:cs="Times New Roman" w:eastAsia="Times New Roman" w:hAnsi="Times New Roman"/>
          <w:sz w:val="20"/>
          <w:szCs w:val="20"/>
          <w:u w:val="single" w:color="auto"/>
          <w:color w:val="auto"/>
        </w:rPr>
        <w:t>Management Services:</w:t>
      </w:r>
      <w:r>
        <w:rPr>
          <w:sz w:val="20"/>
          <w:szCs w:val="20"/>
          <w:color w:val="auto"/>
        </w:rPr>
        <w:tab/>
      </w:r>
      <w:r>
        <w:rPr>
          <w:rFonts w:ascii="Times New Roman" w:cs="Times New Roman" w:eastAsia="Times New Roman" w:hAnsi="Times New Roman"/>
          <w:sz w:val="20"/>
          <w:szCs w:val="20"/>
          <w:color w:val="auto"/>
        </w:rPr>
        <w:t>A fee-based management business that is engaged in managing PINE, as well</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(i) a portfolio of assets pursuant to the Portfolio Management Agreement (hereinafter defined) and</w:t>
      </w:r>
    </w:p>
    <w:p>
      <w:pPr>
        <w:spacing w:after="0" w:line="7" w:lineRule="exact"/>
        <w:rPr>
          <w:sz w:val="20"/>
          <w:szCs w:val="20"/>
          <w:color w:val="auto"/>
        </w:rPr>
      </w:pPr>
    </w:p>
    <w:p>
      <w:pPr>
        <w:ind w:left="10" w:hanging="10"/>
        <w:spacing w:after="0" w:line="264" w:lineRule="auto"/>
        <w:tabs>
          <w:tab w:leader="none" w:pos="28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Subsurface Interests (hereinafter defined) pursuant to the Subsurface Management Agreement (hereinafter defined), as further described in Note 5, “Management Services Business” in the notes to the consolidated financial statements in Item 8.</w:t>
      </w:r>
    </w:p>
    <w:p>
      <w:pPr>
        <w:spacing w:after="0" w:line="113" w:lineRule="exact"/>
        <w:rPr>
          <w:sz w:val="20"/>
          <w:szCs w:val="20"/>
          <w:color w:val="auto"/>
        </w:rPr>
      </w:pPr>
    </w:p>
    <w:p>
      <w:pPr>
        <w:ind w:left="10" w:right="580" w:firstLine="399"/>
        <w:spacing w:after="0" w:line="282" w:lineRule="auto"/>
        <w:rPr>
          <w:sz w:val="20"/>
          <w:szCs w:val="20"/>
          <w:color w:val="auto"/>
        </w:rPr>
      </w:pPr>
      <w:r>
        <w:rPr>
          <w:rFonts w:ascii="Times New Roman" w:cs="Times New Roman" w:eastAsia="Times New Roman" w:hAnsi="Times New Roman"/>
          <w:sz w:val="20"/>
          <w:szCs w:val="20"/>
          <w:u w:val="single" w:color="auto"/>
          <w:color w:val="auto"/>
        </w:rPr>
        <w:t>Commercial Loans and Investments:</w:t>
      </w:r>
      <w:r>
        <w:rPr>
          <w:rFonts w:ascii="Times New Roman" w:cs="Times New Roman" w:eastAsia="Times New Roman" w:hAnsi="Times New Roman"/>
          <w:sz w:val="20"/>
          <w:szCs w:val="20"/>
          <w:color w:val="auto"/>
        </w:rPr>
        <w:t xml:space="preserve"> A portfolio of four commercial loan investments and two preferred equity investments which are classified as commercial loan investments.</w:t>
      </w:r>
    </w:p>
    <w:p>
      <w:pPr>
        <w:spacing w:after="0" w:line="94" w:lineRule="exact"/>
        <w:rPr>
          <w:sz w:val="20"/>
          <w:szCs w:val="20"/>
          <w:color w:val="auto"/>
        </w:rPr>
      </w:pPr>
    </w:p>
    <w:p>
      <w:pPr>
        <w:ind w:left="10" w:firstLine="399"/>
        <w:spacing w:after="0" w:line="254" w:lineRule="auto"/>
        <w:rPr>
          <w:sz w:val="20"/>
          <w:szCs w:val="20"/>
          <w:color w:val="auto"/>
        </w:rPr>
      </w:pPr>
      <w:r>
        <w:rPr>
          <w:rFonts w:ascii="Times New Roman" w:cs="Times New Roman" w:eastAsia="Times New Roman" w:hAnsi="Times New Roman"/>
          <w:sz w:val="20"/>
          <w:szCs w:val="20"/>
          <w:u w:val="single" w:color="auto"/>
          <w:color w:val="auto"/>
        </w:rPr>
        <w:t>Real Estate Operations:</w:t>
      </w:r>
      <w:r>
        <w:rPr>
          <w:rFonts w:ascii="Times New Roman" w:cs="Times New Roman" w:eastAsia="Times New Roman" w:hAnsi="Times New Roman"/>
          <w:sz w:val="20"/>
          <w:szCs w:val="20"/>
          <w:color w:val="auto"/>
        </w:rPr>
        <w:t xml:space="preserve"> There were no significant transactions within the Company’s real estate operations during the year ended December 31, 2025. During the year ended December 31, 2024, the Company sold its remaining mitigation credits. These credits were produced by the Company’s formerly owned mitigation bank. During the year ended December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24" w:lineRule="exact"/>
        <w:rPr>
          <w:sz w:val="20"/>
          <w:szCs w:val="20"/>
          <w:color w:val="auto"/>
        </w:rPr>
      </w:pPr>
    </w:p>
    <w:p>
      <w:pPr>
        <w:ind w:left="10" w:firstLine="399"/>
        <w:spacing w:after="0" w:line="254" w:lineRule="auto"/>
        <w:rPr>
          <w:sz w:val="20"/>
          <w:szCs w:val="20"/>
          <w:color w:val="auto"/>
        </w:rPr>
      </w:pPr>
      <w:r>
        <w:rPr>
          <w:rFonts w:ascii="Times New Roman" w:cs="Times New Roman" w:eastAsia="Times New Roman" w:hAnsi="Times New Roman"/>
          <w:sz w:val="20"/>
          <w:szCs w:val="20"/>
          <w:color w:val="auto"/>
        </w:rPr>
        <w:t>Our business also includes our investment in PINE. As of December 31, 2025, the fair value of our investment totaled $41.3 million, or 15.4% of PINE’s outstanding common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w:t>
      </w:r>
    </w:p>
    <w:p>
      <w:pPr>
        <w:sectPr>
          <w:pgSz w:w="11880" w:h="15480" w:orient="portrait"/>
          <w:cols w:equalWidth="0" w:num="1">
            <w:col w:w="9110"/>
          </w:cols>
          <w:pgMar w:left="1390" w:top="1023" w:right="1380" w:bottom="70" w:gutter="0" w:footer="0" w:header="0"/>
        </w:sectPr>
      </w:pPr>
    </w:p>
    <w:p>
      <w:pPr>
        <w:spacing w:after="0" w:line="28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110"/>
          </w:cols>
          <w:pgMar w:left="1390" w:top="1023" w:right="1380" w:bottom="70" w:gutter="0" w:footer="0" w:header="0"/>
          <w:type w:val="continuous"/>
        </w:sectPr>
      </w:pPr>
    </w:p>
    <w:bookmarkStart w:id="55" w:name="page56"/>
    <w:bookmarkEnd w:id="55"/>
    <w:p>
      <w:pPr>
        <w:jc w:val="both"/>
        <w:ind w:right="480"/>
        <w:spacing w:after="0" w:line="271" w:lineRule="auto"/>
        <w:rPr>
          <w:sz w:val="20"/>
          <w:szCs w:val="20"/>
          <w:color w:val="auto"/>
        </w:rPr>
      </w:pPr>
      <w:r>
        <w:rPr>
          <w:rFonts w:ascii="Times New Roman" w:cs="Times New Roman" w:eastAsia="Times New Roman" w:hAnsi="Times New Roman"/>
          <w:sz w:val="20"/>
          <w:szCs w:val="20"/>
          <w:color w:val="auto"/>
        </w:rPr>
        <w:t>occur, the amount by which our investment will increase in value, or the timing thereof. Any dividends received from PINE are included in investment and other income on the accompanying consolidated statements of operations.</w:t>
      </w:r>
    </w:p>
    <w:p>
      <w:pPr>
        <w:spacing w:after="0" w:line="111" w:lineRule="exact"/>
        <w:rPr>
          <w:sz w:val="20"/>
          <w:szCs w:val="20"/>
          <w:color w:val="auto"/>
        </w:rPr>
      </w:pPr>
    </w:p>
    <w:p>
      <w:pPr>
        <w:ind w:right="340" w:firstLine="399"/>
        <w:spacing w:after="0" w:line="288" w:lineRule="auto"/>
        <w:rPr>
          <w:sz w:val="20"/>
          <w:szCs w:val="20"/>
          <w:color w:val="auto"/>
        </w:rPr>
      </w:pPr>
      <w:r>
        <w:rPr>
          <w:rFonts w:ascii="Times New Roman" w:cs="Times New Roman" w:eastAsia="Times New Roman" w:hAnsi="Times New Roman"/>
          <w:sz w:val="20"/>
          <w:szCs w:val="20"/>
          <w:color w:val="auto"/>
        </w:rPr>
        <w:t>The Company operates in four primary business segments: income properties, management services, commercial loans and investments, and real estate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REIT Conversion and Merger</w:t>
      </w:r>
    </w:p>
    <w:p>
      <w:pPr>
        <w:spacing w:after="0" w:line="168" w:lineRule="exact"/>
        <w:rPr>
          <w:sz w:val="20"/>
          <w:szCs w:val="20"/>
          <w:color w:val="auto"/>
        </w:rPr>
      </w:pPr>
    </w:p>
    <w:p>
      <w:pPr>
        <w:ind w:right="60" w:firstLine="399"/>
        <w:spacing w:after="0" w:line="258" w:lineRule="auto"/>
        <w:rPr>
          <w:sz w:val="20"/>
          <w:szCs w:val="20"/>
          <w:color w:val="auto"/>
        </w:rPr>
      </w:pPr>
      <w:r>
        <w:rPr>
          <w:rFonts w:ascii="Times New Roman" w:cs="Times New Roman" w:eastAsia="Times New Roman" w:hAnsi="Times New Roman"/>
          <w:sz w:val="20"/>
          <w:szCs w:val="20"/>
          <w:color w:val="auto"/>
        </w:rPr>
        <w:t>As of December 31, 2020, the Company had completed certain internal reorganization transactions necessary to begin operating in compliance with the requirements for qualification and taxation as a REIT for U.S. federal income tax purposes, commencing with the taxable year ended December 31, 2020. See Item 1, “Business” for information related to the Company’s REIT conversion and related transactions. On January 29, 2021, in connection with the REIT conversion, the Company completed the Merger in order to reincorporate in Maryland and facilitate its ongoing compliance with the REIT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Selected Historical Financial Information</w:t>
      </w:r>
    </w:p>
    <w:p>
      <w:pPr>
        <w:spacing w:after="0" w:line="168" w:lineRule="exact"/>
        <w:rPr>
          <w:sz w:val="20"/>
          <w:szCs w:val="20"/>
          <w:color w:val="auto"/>
        </w:rPr>
      </w:pPr>
    </w:p>
    <w:p>
      <w:pPr>
        <w:ind w:right="180" w:firstLine="399"/>
        <w:spacing w:after="0" w:line="263" w:lineRule="auto"/>
        <w:rPr>
          <w:sz w:val="20"/>
          <w:szCs w:val="20"/>
          <w:color w:val="auto"/>
        </w:rPr>
      </w:pPr>
      <w:r>
        <w:rPr>
          <w:rFonts w:ascii="Times New Roman" w:cs="Times New Roman" w:eastAsia="Times New Roman" w:hAnsi="Times New Roman"/>
          <w:sz w:val="20"/>
          <w:szCs w:val="20"/>
          <w:color w:val="auto"/>
        </w:rPr>
        <w:t>The following table summarizes our selected historical financial information for each of the last five fiscal years (in thousands except per share amounts). The selected financial information has been derived from our audited consolidated financial statements. Additional data for fiscal years 2025, 2024, and 2023 is included elsewhere in this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4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 . . . . . . . . . . . . . . . . . . . . .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149,545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124,519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5"/>
              </w:rPr>
              <w:t>109,119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82,320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70,272</w:t>
            </w:r>
          </w:p>
        </w:tc>
        <w:tc>
          <w:tcPr>
            <w:tcW w:w="0" w:type="dxa"/>
            <w:vAlign w:val="bottom"/>
          </w:tcPr>
          <w:p>
            <w:pPr>
              <w:spacing w:after="0"/>
              <w:rPr>
                <w:sz w:val="1"/>
                <w:szCs w:val="1"/>
                <w:color w:val="auto"/>
              </w:rPr>
            </w:pPr>
          </w:p>
        </w:tc>
      </w:tr>
      <w:tr>
        <w:trPr>
          <w:trHeight w:val="299"/>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 . . . . . . . . . . . . . . . . . . .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34,015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17,611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26,506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10,667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23,345</w:t>
            </w:r>
          </w:p>
        </w:tc>
        <w:tc>
          <w:tcPr>
            <w:tcW w:w="0" w:type="dxa"/>
            <w:vAlign w:val="bottom"/>
          </w:tcPr>
          <w:p>
            <w:pPr>
              <w:spacing w:after="0"/>
              <w:rPr>
                <w:sz w:val="1"/>
                <w:szCs w:val="1"/>
                <w:color w:val="auto"/>
              </w:rPr>
            </w:pPr>
          </w:p>
        </w:tc>
      </w:tr>
      <w:tr>
        <w:trPr>
          <w:trHeight w:val="299"/>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Attributable to the Company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10,092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(1,965)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5,530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3,158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29,940</w:t>
            </w:r>
          </w:p>
        </w:tc>
        <w:tc>
          <w:tcPr>
            <w:tcW w:w="0" w:type="dxa"/>
            <w:vAlign w:val="bottom"/>
          </w:tcPr>
          <w:p>
            <w:pPr>
              <w:spacing w:after="0"/>
              <w:rPr>
                <w:sz w:val="1"/>
                <w:szCs w:val="1"/>
                <w:color w:val="auto"/>
              </w:rPr>
            </w:pPr>
          </w:p>
        </w:tc>
      </w:tr>
      <w:tr>
        <w:trPr>
          <w:trHeight w:val="299"/>
        </w:trPr>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Distributions to Preferred Stockholders . . . .</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 .</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(7,512)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(6,814)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(4,772)</w:t>
            </w: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(4,781)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(2,325)</w:t>
            </w:r>
          </w:p>
        </w:tc>
        <w:tc>
          <w:tcPr>
            <w:tcW w:w="0" w:type="dxa"/>
            <w:vAlign w:val="bottom"/>
          </w:tcPr>
          <w:p>
            <w:pPr>
              <w:spacing w:after="0"/>
              <w:rPr>
                <w:sz w:val="1"/>
                <w:szCs w:val="1"/>
                <w:color w:val="auto"/>
              </w:rPr>
            </w:pPr>
          </w:p>
        </w:tc>
      </w:tr>
      <w:tr>
        <w:trPr>
          <w:trHeight w:val="266"/>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Attributable to Common</w:t>
            </w:r>
          </w:p>
        </w:tc>
        <w:tc>
          <w:tcPr>
            <w:tcW w:w="4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Stockholders . . . . . . . . . . . . . . . . . . . . .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(8,779)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(1,623)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27,615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Per Share Information:</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1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Income (Loss) Attributable to Common</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1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Stockholders . . . . . . . . . . . . . . . . . . .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(0.35)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0.03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(0.09)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Dividends Declared and Paid – Preferred Stock</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Dividends Declared and Paid – Common Stock</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Summary of Financial Position:</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Real Estate – Net . . . . . . . . . . . . . . . . . .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953,129</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901,338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5"/>
              </w:rPr>
              <w:t>734,463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8"/>
              </w:rPr>
              <w:t>734,721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494,695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Assets  . . . . . . . . . . . . . . . . . . . . .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1,263,902</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1,181,644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989,668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8"/>
              </w:rPr>
              <w:t>986,545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733,139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Stockholders’ Equity . . . . . . . . . . . . . . .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567,346</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612,798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5"/>
              </w:rPr>
              <w:t>457,526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8"/>
              </w:rPr>
              <w:t>504,770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430,480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Long-Term Debt . . . . . . . . . . . . . . . . . .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616,345</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518,993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5"/>
              </w:rPr>
              <w:t>495,370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8"/>
              </w:rPr>
              <w:t>445,583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278,273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Non-U.S. GAAP Financial Measures</w:t>
      </w:r>
    </w:p>
    <w:p>
      <w:pPr>
        <w:spacing w:after="0" w:line="171" w:lineRule="exact"/>
        <w:rPr>
          <w:sz w:val="20"/>
          <w:szCs w:val="20"/>
          <w:color w:val="auto"/>
        </w:rPr>
      </w:pPr>
    </w:p>
    <w:p>
      <w:pPr>
        <w:ind w:right="60" w:firstLine="399"/>
        <w:spacing w:after="0" w:line="260" w:lineRule="auto"/>
        <w:rPr>
          <w:sz w:val="20"/>
          <w:szCs w:val="20"/>
          <w:color w:val="auto"/>
        </w:rPr>
      </w:pPr>
      <w:r>
        <w:rPr>
          <w:rFonts w:ascii="Times New Roman" w:cs="Times New Roman" w:eastAsia="Times New Roman" w:hAnsi="Times New Roman"/>
          <w:sz w:val="20"/>
          <w:szCs w:val="20"/>
          <w:color w:val="auto"/>
        </w:rPr>
        <w:t>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21" w:lineRule="exact"/>
        <w:rPr>
          <w:sz w:val="20"/>
          <w:szCs w:val="20"/>
          <w:color w:val="auto"/>
        </w:rPr>
      </w:pPr>
    </w:p>
    <w:p>
      <w:pPr>
        <w:jc w:val="center"/>
        <w:ind w:right="60"/>
        <w:spacing w:after="0" w:line="286" w:lineRule="auto"/>
        <w:rPr>
          <w:sz w:val="20"/>
          <w:szCs w:val="20"/>
          <w:color w:val="auto"/>
        </w:rPr>
      </w:pPr>
      <w:r>
        <w:rPr>
          <w:rFonts w:ascii="Times New Roman" w:cs="Times New Roman" w:eastAsia="Times New Roman" w:hAnsi="Times New Roman"/>
          <w:sz w:val="20"/>
          <w:szCs w:val="20"/>
          <w:color w:val="auto"/>
        </w:rPr>
        <w:t>FFO, Core FFO, and AFFO do not represent cash generated from operating activities and are not necessarily indicative of cash available to fund cash requirements; accordingly, they should not be considered</w:t>
      </w:r>
    </w:p>
    <w:p>
      <w:pPr>
        <w:sectPr>
          <w:pgSz w:w="11880" w:h="15480" w:orient="portrait"/>
          <w:cols w:equalWidth="0" w:num="1">
            <w:col w:w="9160"/>
          </w:cols>
          <w:pgMar w:left="1400" w:top="1025" w:right="1320" w:bottom="70" w:gutter="0" w:footer="0" w:header="0"/>
        </w:sectPr>
      </w:pP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160"/>
          </w:cols>
          <w:pgMar w:left="1400" w:top="1025" w:right="1320" w:bottom="70" w:gutter="0" w:footer="0" w:header="0"/>
          <w:type w:val="continuous"/>
        </w:sectPr>
      </w:pPr>
    </w:p>
    <w:bookmarkStart w:id="56" w:name="page57"/>
    <w:bookmarkEnd w:id="56"/>
    <w:p>
      <w:pPr>
        <w:ind w:left="20"/>
        <w:spacing w:after="0" w:line="267" w:lineRule="auto"/>
        <w:rPr>
          <w:sz w:val="20"/>
          <w:szCs w:val="20"/>
          <w:color w:val="auto"/>
        </w:rPr>
      </w:pPr>
      <w:r>
        <w:rPr>
          <w:rFonts w:ascii="Times New Roman" w:cs="Times New Roman" w:eastAsia="Times New Roman" w:hAnsi="Times New Roman"/>
          <w:sz w:val="20"/>
          <w:szCs w:val="20"/>
          <w:color w:val="auto"/>
        </w:rPr>
        <w:t>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11" w:lineRule="exact"/>
        <w:rPr>
          <w:sz w:val="20"/>
          <w:szCs w:val="20"/>
          <w:color w:val="auto"/>
        </w:rPr>
      </w:pPr>
    </w:p>
    <w:p>
      <w:pPr>
        <w:ind w:left="20" w:right="700" w:firstLine="399"/>
        <w:spacing w:after="0" w:line="284" w:lineRule="auto"/>
        <w:rPr>
          <w:sz w:val="20"/>
          <w:szCs w:val="20"/>
          <w:color w:val="auto"/>
        </w:rPr>
      </w:pPr>
      <w:r>
        <w:rPr>
          <w:rFonts w:ascii="Times New Roman" w:cs="Times New Roman" w:eastAsia="Times New Roman" w:hAnsi="Times New Roman"/>
          <w:sz w:val="20"/>
          <w:szCs w:val="20"/>
          <w:color w:val="auto"/>
        </w:rPr>
        <w:t>We compute FFO in accordance with the definition adopted by the Board of Governors of the National Association of Real Estate Investment Trusts, or NAREIT.</w:t>
      </w:r>
    </w:p>
    <w:p>
      <w:pPr>
        <w:spacing w:after="0" w:line="94" w:lineRule="exact"/>
        <w:rPr>
          <w:sz w:val="20"/>
          <w:szCs w:val="20"/>
          <w:color w:val="auto"/>
        </w:rPr>
      </w:pPr>
    </w:p>
    <w:p>
      <w:pPr>
        <w:ind w:left="20" w:firstLine="399"/>
        <w:spacing w:after="0" w:line="251" w:lineRule="auto"/>
        <w:rPr>
          <w:sz w:val="20"/>
          <w:szCs w:val="20"/>
          <w:color w:val="auto"/>
        </w:rPr>
      </w:pPr>
      <w:r>
        <w:rPr>
          <w:rFonts w:ascii="Times New Roman" w:cs="Times New Roman" w:eastAsia="Times New Roman" w:hAnsi="Times New Roman"/>
          <w:sz w:val="20"/>
          <w:szCs w:val="20"/>
          <w:color w:val="auto"/>
        </w:rPr>
        <w:t>NAREIT defines FFO as GAAP net income or loss adjusted to exclude real estate related depreciation and amortization, as well as extraordinary items (as defined by U.S. GAAP) such as net gain or loss from sales of depreciable real estate assets, impairment write-downs associated with depreciable real estate assets and impairments associated with the implementation of current expected credit losses (“CECL”)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and interest related to the 2025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as well as adding back the interest related to the 2025 Notes, if the effect is dilutive. To derive AFFO, we further modify the NAREIT computation of FFO and Core FFO to include other adjustments to U.S.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w:t>
      </w:r>
    </w:p>
    <w:p>
      <w:pPr>
        <w:spacing w:after="0" w:line="381" w:lineRule="exact"/>
        <w:rPr>
          <w:sz w:val="20"/>
          <w:szCs w:val="20"/>
          <w:color w:val="auto"/>
        </w:rPr>
      </w:pPr>
    </w:p>
    <w:p>
      <w:pPr>
        <w:ind w:left="20" w:firstLine="399"/>
        <w:spacing w:after="0" w:line="254" w:lineRule="auto"/>
        <w:rPr>
          <w:sz w:val="20"/>
          <w:szCs w:val="20"/>
          <w:color w:val="auto"/>
        </w:rPr>
      </w:pPr>
      <w:r>
        <w:rPr>
          <w:rFonts w:ascii="Times New Roman" w:cs="Times New Roman" w:eastAsia="Times New Roman" w:hAnsi="Times New Roman"/>
          <w:sz w:val="20"/>
          <w:szCs w:val="20"/>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Reconciliation of Non-U.S. GAAP Measures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2"/>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0"/>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6"/>
        </w:trPr>
        <w:tc>
          <w:tcPr>
            <w:tcW w:w="5880" w:type="dxa"/>
            <w:vAlign w:val="bottom"/>
          </w:tcPr>
          <w:p>
            <w:pPr>
              <w:spacing w:after="0"/>
              <w:rPr>
                <w:sz w:val="17"/>
                <w:szCs w:val="17"/>
                <w:color w:val="auto"/>
              </w:rPr>
            </w:pPr>
          </w:p>
        </w:tc>
        <w:tc>
          <w:tcPr>
            <w:tcW w:w="11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gridSpan w:val="2"/>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auto"/>
            </w:tcBorders>
          </w:tcPr>
          <w:p>
            <w:pPr>
              <w:spacing w:after="0"/>
              <w:rPr>
                <w:sz w:val="17"/>
                <w:szCs w:val="17"/>
                <w:color w:val="auto"/>
              </w:rPr>
            </w:pPr>
          </w:p>
        </w:tc>
      </w:tr>
      <w:tr>
        <w:trPr>
          <w:trHeight w:val="270"/>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(Loss) Attributable to the Company . . . . . . . . . . . . . .</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$ 10,092</w:t>
            </w:r>
          </w:p>
        </w:tc>
        <w:tc>
          <w:tcPr>
            <w:tcW w:w="100" w:type="dxa"/>
            <w:vAlign w:val="bottom"/>
          </w:tcPr>
          <w:p>
            <w:pPr>
              <w:spacing w:after="0"/>
              <w:rPr>
                <w:sz w:val="23"/>
                <w:szCs w:val="23"/>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 (1,965)</w:t>
            </w:r>
          </w:p>
        </w:tc>
        <w:tc>
          <w:tcPr>
            <w:tcW w:w="100" w:type="dxa"/>
            <w:vAlign w:val="bottom"/>
          </w:tcPr>
          <w:p>
            <w:pPr>
              <w:spacing w:after="0"/>
              <w:rPr>
                <w:sz w:val="23"/>
                <w:szCs w:val="23"/>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$ 5,530</w:t>
            </w:r>
          </w:p>
        </w:tc>
      </w:tr>
      <w:tr>
        <w:trPr>
          <w:trHeight w:val="259"/>
        </w:trPr>
        <w:tc>
          <w:tcPr>
            <w:tcW w:w="5880" w:type="dxa"/>
            <w:vAlign w:val="bottom"/>
          </w:tcPr>
          <w:p>
            <w:pPr>
              <w:jc w:val="right"/>
              <w:ind w:right="4640"/>
              <w:spacing w:after="0"/>
              <w:rPr>
                <w:sz w:val="20"/>
                <w:szCs w:val="20"/>
                <w:color w:val="auto"/>
              </w:rPr>
            </w:pPr>
            <w:r>
              <w:rPr>
                <w:rFonts w:ascii="Times New Roman" w:cs="Times New Roman" w:eastAsia="Times New Roman" w:hAnsi="Times New Roman"/>
                <w:sz w:val="20"/>
                <w:szCs w:val="20"/>
                <w:color w:val="auto"/>
              </w:rPr>
              <w:t>Adjustments: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9"/>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of Real Estate . . . . . . . . . . . . .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59,947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64,981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44,107</w:t>
            </w:r>
          </w:p>
        </w:tc>
        <w:tc>
          <w:tcPr>
            <w:tcW w:w="140" w:type="dxa"/>
            <w:vAlign w:val="bottom"/>
          </w:tcPr>
          <w:p>
            <w:pPr>
              <w:spacing w:after="0"/>
              <w:rPr>
                <w:sz w:val="22"/>
                <w:szCs w:val="22"/>
                <w:color w:val="auto"/>
              </w:rPr>
            </w:pPr>
          </w:p>
        </w:tc>
      </w:tr>
      <w:tr>
        <w:trPr>
          <w:trHeight w:val="259"/>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Disposition of Assets . . . . . . . . . . . . . . . . . . . . . . . . .</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(21,452)</w:t>
            </w:r>
          </w:p>
        </w:tc>
        <w:tc>
          <w:tcPr>
            <w:tcW w:w="100" w:type="dxa"/>
            <w:vAlign w:val="bottom"/>
          </w:tcPr>
          <w:p>
            <w:pPr>
              <w:spacing w:after="0"/>
              <w:rPr>
                <w:sz w:val="22"/>
                <w:szCs w:val="22"/>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(8,308)</w:t>
            </w:r>
          </w:p>
        </w:tc>
        <w:tc>
          <w:tcPr>
            <w:tcW w:w="100" w:type="dxa"/>
            <w:vAlign w:val="bottom"/>
          </w:tcPr>
          <w:p>
            <w:pPr>
              <w:spacing w:after="0"/>
              <w:rPr>
                <w:sz w:val="22"/>
                <w:szCs w:val="22"/>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(7,543)</w:t>
            </w:r>
          </w:p>
        </w:tc>
      </w:tr>
      <w:tr>
        <w:trPr>
          <w:trHeight w:val="259"/>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Disposition of Other Assets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(904)</w:t>
            </w:r>
          </w:p>
        </w:tc>
        <w:tc>
          <w:tcPr>
            <w:tcW w:w="100" w:type="dxa"/>
            <w:vAlign w:val="bottom"/>
          </w:tcPr>
          <w:p>
            <w:pPr>
              <w:spacing w:after="0"/>
              <w:rPr>
                <w:sz w:val="22"/>
                <w:szCs w:val="22"/>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(2,272)</w:t>
            </w:r>
          </w:p>
        </w:tc>
      </w:tr>
      <w:tr>
        <w:trPr>
          <w:trHeight w:val="259"/>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Provision for Impairment . . . . . . . . . . . . . . . . . . . . . . . . . . .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140" w:type="dxa"/>
            <w:vAlign w:val="bottom"/>
          </w:tcPr>
          <w:p>
            <w:pPr>
              <w:spacing w:after="0"/>
              <w:rPr>
                <w:sz w:val="22"/>
                <w:szCs w:val="22"/>
                <w:color w:val="auto"/>
              </w:rPr>
            </w:pPr>
          </w:p>
        </w:tc>
      </w:tr>
      <w:tr>
        <w:trPr>
          <w:trHeight w:val="259"/>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Realized and Unrealized Loss (Gain) on Investment Securities  . .</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(90)</w:t>
            </w:r>
          </w:p>
        </w:tc>
        <w:tc>
          <w:tcPr>
            <w:tcW w:w="1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3,689</w:t>
            </w:r>
          </w:p>
        </w:tc>
        <w:tc>
          <w:tcPr>
            <w:tcW w:w="140" w:type="dxa"/>
            <w:vAlign w:val="bottom"/>
          </w:tcPr>
          <w:p>
            <w:pPr>
              <w:spacing w:after="0"/>
              <w:rPr>
                <w:sz w:val="22"/>
                <w:szCs w:val="22"/>
                <w:color w:val="auto"/>
              </w:rPr>
            </w:pPr>
          </w:p>
        </w:tc>
      </w:tr>
      <w:tr>
        <w:trPr>
          <w:trHeight w:val="249"/>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Extinguishment of Contingent Obligation . . . . . . . . . . . . . . . .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(2,815)</w:t>
            </w:r>
          </w:p>
        </w:tc>
      </w:tr>
      <w:tr>
        <w:trPr>
          <w:trHeight w:val="260"/>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Funds from Operations  . . . . . . . . . . . . . . . . . . . . . . . . . . . . . . .</w:t>
            </w:r>
          </w:p>
        </w:tc>
        <w:tc>
          <w:tcPr>
            <w:tcW w:w="200" w:type="dxa"/>
            <w:vAlign w:val="bottom"/>
            <w:gridSpan w:val="2"/>
          </w:tcPr>
          <w:p>
            <w:pPr>
              <w:spacing w:after="0"/>
              <w:rPr>
                <w:sz w:val="22"/>
                <w:szCs w:val="2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42,252</w:t>
            </w:r>
          </w:p>
        </w:tc>
        <w:tc>
          <w:tcPr>
            <w:tcW w:w="140" w:type="dxa"/>
            <w:vAlign w:val="bottom"/>
          </w:tcPr>
          <w:p>
            <w:pPr>
              <w:spacing w:after="0"/>
              <w:rPr>
                <w:sz w:val="22"/>
                <w:szCs w:val="22"/>
                <w:color w:val="auto"/>
              </w:rPr>
            </w:pPr>
          </w:p>
        </w:tc>
      </w:tr>
      <w:tr>
        <w:trPr>
          <w:trHeight w:val="249"/>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Distributions to Preferred Stockholders  . . . . . . . . . . . . . . . . . .</w:t>
            </w:r>
          </w:p>
        </w:tc>
        <w:tc>
          <w:tcPr>
            <w:tcW w:w="200" w:type="dxa"/>
            <w:vAlign w:val="bottom"/>
            <w:gridSpan w:val="2"/>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(7,512)</w:t>
            </w:r>
          </w:p>
        </w:tc>
        <w:tc>
          <w:tcPr>
            <w:tcW w:w="100" w:type="dxa"/>
            <w:vAlign w:val="bottom"/>
          </w:tcPr>
          <w:p>
            <w:pPr>
              <w:spacing w:after="0"/>
              <w:rPr>
                <w:sz w:val="21"/>
                <w:szCs w:val="21"/>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(6,814)</w:t>
            </w:r>
          </w:p>
        </w:tc>
        <w:tc>
          <w:tcPr>
            <w:tcW w:w="100" w:type="dxa"/>
            <w:vAlign w:val="bottom"/>
          </w:tcPr>
          <w:p>
            <w:pPr>
              <w:spacing w:after="0"/>
              <w:rPr>
                <w:sz w:val="21"/>
                <w:szCs w:val="21"/>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(4,772)</w:t>
            </w:r>
          </w:p>
        </w:tc>
      </w:tr>
      <w:tr>
        <w:trPr>
          <w:trHeight w:val="264"/>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Funds From Operations Attributable to Common Stockholders . . .</w:t>
            </w:r>
          </w:p>
        </w:tc>
        <w:tc>
          <w:tcPr>
            <w:tcW w:w="200" w:type="dxa"/>
            <w:vAlign w:val="bottom"/>
            <w:gridSpan w:val="2"/>
          </w:tcPr>
          <w:p>
            <w:pPr>
              <w:spacing w:after="0"/>
              <w:rPr>
                <w:sz w:val="22"/>
                <w:szCs w:val="2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37,480</w:t>
            </w:r>
          </w:p>
        </w:tc>
        <w:tc>
          <w:tcPr>
            <w:tcW w:w="14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120"/>
          </w:cols>
          <w:pgMar w:left="138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120"/>
          </w:cols>
          <w:pgMar w:left="1380" w:top="1025" w:right="1380" w:bottom="70" w:gutter="0" w:footer="0" w:header="0"/>
          <w:type w:val="continuous"/>
        </w:sectPr>
      </w:pPr>
    </w:p>
    <w:bookmarkStart w:id="57" w:name="page58"/>
    <w:bookmarkEnd w:id="57"/>
    <w:tbl>
      <w:tblPr>
        <w:tblLayout w:type="fixed"/>
        <w:tblInd w:w="1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2"/>
              </w:rPr>
              <w:t>Year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Extinguishment of Debt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20,449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Intangibles to Lease Income . . . . . . . . . . . . .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(254)</w:t>
            </w:r>
          </w:p>
        </w:tc>
        <w:tc>
          <w:tcPr>
            <w:tcW w:w="1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2,303</w:t>
            </w:r>
          </w:p>
        </w:tc>
        <w:tc>
          <w:tcPr>
            <w:tcW w:w="0" w:type="dxa"/>
            <w:vAlign w:val="bottom"/>
          </w:tcPr>
          <w:p>
            <w:pPr>
              <w:spacing w:after="0"/>
              <w:rPr>
                <w:sz w:val="1"/>
                <w:szCs w:val="1"/>
                <w:color w:val="auto"/>
              </w:rPr>
            </w:pP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Core Funds From Operations Attributable to Common</w:t>
            </w: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Stockholders . . . . . . . . . . . . . .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60,496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47,875</w:t>
            </w: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39,783</w:t>
            </w:r>
          </w:p>
        </w:tc>
        <w:tc>
          <w:tcPr>
            <w:tcW w:w="0" w:type="dxa"/>
            <w:vAlign w:val="bottom"/>
          </w:tcPr>
          <w:p>
            <w:pPr>
              <w:spacing w:after="0"/>
              <w:rPr>
                <w:sz w:val="1"/>
                <w:szCs w:val="1"/>
                <w:color w:val="auto"/>
              </w:rPr>
            </w:pPr>
          </w:p>
        </w:tc>
      </w:tr>
      <w:tr>
        <w:trPr>
          <w:trHeight w:val="259"/>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Straight-Line Rent Adjustment .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(2,159)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(1,681)</w:t>
            </w:r>
          </w:p>
        </w:tc>
        <w:tc>
          <w:tcPr>
            <w:tcW w:w="1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COVID-19 Rent Repayments  . .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Depreciation and Amortization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39"/>
        </w:trPr>
        <w:tc>
          <w:tcPr>
            <w:tcW w:w="58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Amortization of Loan Costs, Discount on Convertible Debt, and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Capitalized Interest . . . . . . . .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1,069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955</w:t>
            </w: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821</w:t>
            </w:r>
          </w:p>
        </w:tc>
        <w:tc>
          <w:tcPr>
            <w:tcW w:w="0" w:type="dxa"/>
            <w:vAlign w:val="bottom"/>
          </w:tcPr>
          <w:p>
            <w:pPr>
              <w:spacing w:after="0"/>
              <w:rPr>
                <w:sz w:val="1"/>
                <w:szCs w:val="1"/>
                <w:color w:val="auto"/>
              </w:rPr>
            </w:pPr>
          </w:p>
        </w:tc>
      </w:tr>
      <w:tr>
        <w:trPr>
          <w:trHeight w:val="249"/>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Non-Cash Compensation . . . . . . . . . . . . . . . . . . . . . . . . . . .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4,158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3,637</w:t>
            </w:r>
          </w:p>
        </w:tc>
        <w:tc>
          <w:tcPr>
            <w:tcW w:w="1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3,673</w:t>
            </w:r>
          </w:p>
        </w:tc>
        <w:tc>
          <w:tcPr>
            <w:tcW w:w="0" w:type="dxa"/>
            <w:vAlign w:val="bottom"/>
          </w:tcPr>
          <w:p>
            <w:pPr>
              <w:spacing w:after="0"/>
              <w:rPr>
                <w:sz w:val="1"/>
                <w:szCs w:val="1"/>
                <w:color w:val="auto"/>
              </w:rPr>
            </w:pP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Adjusted Funds From Operations Attributable to Common</w:t>
            </w: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Stockholders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63,562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50,773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43,073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 Common Shares: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32,267,365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7"/>
              </w:rPr>
              <w:t>25,361,379</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22,529,703</w:t>
            </w:r>
          </w:p>
        </w:tc>
        <w:tc>
          <w:tcPr>
            <w:tcW w:w="0" w:type="dxa"/>
            <w:vAlign w:val="bottom"/>
          </w:tcPr>
          <w:p>
            <w:pPr>
              <w:spacing w:after="0"/>
              <w:rPr>
                <w:sz w:val="1"/>
                <w:szCs w:val="1"/>
                <w:color w:val="auto"/>
              </w:rPr>
            </w:pPr>
          </w:p>
        </w:tc>
      </w:tr>
      <w:tr>
        <w:trPr>
          <w:trHeight w:val="278"/>
        </w:trPr>
        <w:tc>
          <w:tcPr>
            <w:tcW w:w="5820" w:type="dxa"/>
            <w:vAlign w:val="bottom"/>
          </w:tcPr>
          <w:p>
            <w:pPr>
              <w:jc w:val="right"/>
              <w:spacing w:after="0" w:line="278" w:lineRule="exact"/>
              <w:rPr>
                <w:sz w:val="20"/>
                <w:szCs w:val="20"/>
                <w:color w:val="auto"/>
              </w:rPr>
            </w:pPr>
            <w:r>
              <w:rPr>
                <w:rFonts w:ascii="Times New Roman" w:cs="Times New Roman" w:eastAsia="Times New Roman" w:hAnsi="Times New Roman"/>
                <w:sz w:val="20"/>
                <w:szCs w:val="20"/>
                <w:color w:val="auto"/>
              </w:rPr>
              <w:t>Diluted</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 . . . . . . . . . .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32,292,812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7"/>
              </w:rPr>
              <w:t>25,401,176</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22,529,703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Dividends Declared and Paid – Preferred Stock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Dividends Declared and Paid – Common Stock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138430</wp:posOffset>
                </wp:positionV>
                <wp:extent cx="13684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9pt" to="107.75pt,10.9pt" o:allowincell="f" strokecolor="#000000" strokeweight="0.499pt"/>
            </w:pict>
          </mc:Fallback>
        </mc:AlternateContent>
      </w:r>
    </w:p>
    <w:p>
      <w:pPr>
        <w:spacing w:after="0" w:line="310" w:lineRule="exact"/>
        <w:rPr>
          <w:sz w:val="20"/>
          <w:szCs w:val="20"/>
          <w:color w:val="auto"/>
        </w:rPr>
      </w:pPr>
    </w:p>
    <w:p>
      <w:pPr>
        <w:ind w:left="390" w:right="60" w:hanging="390"/>
        <w:spacing w:after="0" w:line="250" w:lineRule="auto"/>
        <w:tabs>
          <w:tab w:leader="none" w:pos="39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2025 Notes were settled during the year ended December 31, 2025. For the years ended December 31, 2025, 2024 and 2023, a total of $0.6 million, $2.1 million, and $2.1 million of interest, respectively, was excluded from net income (loss) attributable to the Company to derive FFO, as the impact to net income (loss) attributable to common stockholders would be antidilutive. Further, the weighted average shares used to compute per share amounts for FFO Attributable to Common Stockholders per Common Share — Diluted, Core FFO Attributable to Common Stockholders per Common Share — Diluted, and AFFO Attributable to Common Stockholders per Common Share — Diluted do not reflect any dilution related to the ultimate settlement of the 2025 Notes, other than as described below.</w:t>
      </w:r>
    </w:p>
    <w:p>
      <w:pPr>
        <w:spacing w:after="0" w:line="51" w:lineRule="exact"/>
        <w:rPr>
          <w:rFonts w:ascii="Times New Roman" w:cs="Times New Roman" w:eastAsia="Times New Roman" w:hAnsi="Times New Roman"/>
          <w:sz w:val="16"/>
          <w:szCs w:val="16"/>
          <w:color w:val="auto"/>
        </w:rPr>
      </w:pPr>
    </w:p>
    <w:p>
      <w:pPr>
        <w:ind w:left="390" w:right="8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the Company issued 1,089,555 shares of the Company’s common stock in connection with the settlement of the 2025 Notes and such shares were included in the basic and diluted weighted average share count for the period.</w:t>
      </w:r>
    </w:p>
    <w:p>
      <w:pPr>
        <w:spacing w:after="0" w:line="3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Other Data (in thousands except per share data):</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2"/>
              </w:rPr>
              <w:t>Year Ended</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96"/>
        </w:trPr>
        <w:tc>
          <w:tcPr>
            <w:tcW w:w="5760" w:type="dxa"/>
            <w:vAlign w:val="bottom"/>
          </w:tcPr>
          <w:p>
            <w:pPr>
              <w:spacing w:after="0"/>
              <w:rPr>
                <w:sz w:val="17"/>
                <w:szCs w:val="17"/>
                <w:color w:val="auto"/>
              </w:rPr>
            </w:pP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3"/>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84"/>
        </w:trPr>
        <w:tc>
          <w:tcPr>
            <w:tcW w:w="5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.FFOAttributabletoCommonStockholders..............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w w:val="98"/>
              </w:rPr>
              <w:t>41,053</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w w:val="98"/>
              </w:rPr>
              <w:t>48,129</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w w:val="98"/>
              </w:rPr>
              <w:t>37,480</w:t>
            </w: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FFO Attributable to Common Stockholders per Common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98"/>
        </w:trPr>
        <w:tc>
          <w:tcPr>
            <w:tcW w:w="5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Share – Diluted</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1.27</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1.89</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1.66</w:t>
            </w:r>
          </w:p>
        </w:tc>
      </w:tr>
      <w:tr>
        <w:trPr>
          <w:trHeight w:val="263"/>
        </w:trPr>
        <w:tc>
          <w:tcPr>
            <w:tcW w:w="5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Core FFO Attributable to Common Stockholders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w w:val="98"/>
              </w:rPr>
              <w:t>60,496</w:t>
            </w:r>
          </w:p>
        </w:tc>
        <w:tc>
          <w:tcPr>
            <w:tcW w:w="2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w w:val="98"/>
              </w:rPr>
              <w:t>47,875</w:t>
            </w:r>
          </w:p>
        </w:tc>
        <w:tc>
          <w:tcPr>
            <w:tcW w:w="12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w w:val="98"/>
              </w:rPr>
              <w:t>39,783</w:t>
            </w: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Core FFO Attributable to Common Stockholders per Common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98"/>
        </w:trPr>
        <w:tc>
          <w:tcPr>
            <w:tcW w:w="5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Share – Diluted</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1.87</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1.88</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1.77</w:t>
            </w:r>
          </w:p>
        </w:tc>
      </w:tr>
      <w:tr>
        <w:trPr>
          <w:trHeight w:val="263"/>
        </w:trPr>
        <w:tc>
          <w:tcPr>
            <w:tcW w:w="5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AFFO Attributable to Common Stockholders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w w:val="98"/>
              </w:rPr>
              <w:t>63,562</w:t>
            </w:r>
          </w:p>
        </w:tc>
        <w:tc>
          <w:tcPr>
            <w:tcW w:w="2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w w:val="98"/>
              </w:rPr>
              <w:t>50,773</w:t>
            </w:r>
          </w:p>
        </w:tc>
        <w:tc>
          <w:tcPr>
            <w:tcW w:w="12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w w:val="98"/>
              </w:rPr>
              <w:t>43,073</w:t>
            </w: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AFFO Attributable to Common Stockholders per Common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55"/>
        </w:trPr>
        <w:tc>
          <w:tcPr>
            <w:tcW w:w="5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Share – Diluted</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1.97</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2.00</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1.91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93345</wp:posOffset>
                </wp:positionV>
                <wp:extent cx="13684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5pt" to="107.75pt,7.35pt" o:allowincell="f" strokecolor="#000000" strokeweight="0.499pt"/>
            </w:pict>
          </mc:Fallback>
        </mc:AlternateContent>
      </w:r>
    </w:p>
    <w:p>
      <w:pPr>
        <w:spacing w:after="0" w:line="241" w:lineRule="exact"/>
        <w:rPr>
          <w:sz w:val="20"/>
          <w:szCs w:val="20"/>
          <w:color w:val="auto"/>
        </w:rPr>
      </w:pPr>
    </w:p>
    <w:p>
      <w:pPr>
        <w:ind w:left="390" w:right="60" w:hanging="390"/>
        <w:spacing w:after="0" w:line="253" w:lineRule="auto"/>
        <w:tabs>
          <w:tab w:leader="none" w:pos="39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2025 Notes were settled during the year ended December 31, 2025. During the year ended December 31, 2025, the Company issued 1,089,555 shares of the Company’s common stock in connection with the settlement of the 2025 Notes and such shares were included in the basic and diluted weighted average share count for the period. The weighted average shares used to compute per share amounts for FFO Attributable to Common Stockholders per Common Share — Diluted, Core FFO Attributable to Common Stockholders per Common Share — Diluted, and AFFO Attributable to Common Stockholders per Common Share — Diluted do not reflect any assumed dilution related to the ultimate settlement of the 2025 Notes other than the 1,089,555 shares of the Company’s common stock actually issued.</w:t>
      </w:r>
    </w:p>
    <w:p>
      <w:pPr>
        <w:sectPr>
          <w:pgSz w:w="11880" w:h="15480" w:orient="portrait"/>
          <w:cols w:equalWidth="0" w:num="1">
            <w:col w:w="9170"/>
          </w:cols>
          <w:pgMar w:left="1390" w:top="1021" w:right="1320" w:bottom="70" w:gutter="0" w:footer="0" w:header="0"/>
        </w:sectPr>
      </w:pPr>
    </w:p>
    <w:p>
      <w:pPr>
        <w:spacing w:after="0" w:line="300"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170"/>
          </w:cols>
          <w:pgMar w:left="1390" w:top="1021" w:right="1320" w:bottom="70" w:gutter="0" w:footer="0" w:header="0"/>
          <w:type w:val="continuous"/>
        </w:sectPr>
      </w:pPr>
    </w:p>
    <w:bookmarkStart w:id="58" w:name="page59"/>
    <w:bookmarkEnd w:id="58"/>
    <w:p>
      <w:pPr>
        <w:ind w:left="20"/>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2025 AND 2024</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171" w:lineRule="exact"/>
        <w:rPr>
          <w:sz w:val="20"/>
          <w:szCs w:val="20"/>
          <w:color w:val="auto"/>
        </w:rPr>
      </w:pPr>
    </w:p>
    <w:p>
      <w:pPr>
        <w:ind w:left="20" w:right="820" w:firstLine="399"/>
        <w:spacing w:after="0" w:line="277" w:lineRule="auto"/>
        <w:rPr>
          <w:sz w:val="20"/>
          <w:szCs w:val="20"/>
          <w:color w:val="auto"/>
        </w:rPr>
      </w:pPr>
      <w:r>
        <w:rPr>
          <w:rFonts w:ascii="Times New Roman" w:cs="Times New Roman" w:eastAsia="Times New Roman" w:hAnsi="Times New Roman"/>
          <w:sz w:val="20"/>
          <w:szCs w:val="20"/>
          <w:color w:val="auto"/>
        </w:rPr>
        <w:t>Total revenue for the year ended December 31, 2025 is presented in the following summary and indicates the changes as compared to the year ended December 31,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8"/>
          </w:tcPr>
          <w:p>
            <w:pPr>
              <w:ind w:left="5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Segment</w:t>
            </w:r>
          </w:p>
        </w:tc>
        <w:tc>
          <w:tcPr>
            <w:tcW w:w="1080" w:type="dxa"/>
            <w:vAlign w:val="bottom"/>
            <w:gridSpan w:val="3"/>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8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Variance</w:t>
            </w:r>
          </w:p>
        </w:tc>
      </w:tr>
      <w:tr>
        <w:trPr>
          <w:trHeight w:val="30"/>
        </w:trPr>
        <w:tc>
          <w:tcPr>
            <w:tcW w:w="2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Income Properties  . . . . . . . . . . . . . . . . . . . . . . . . .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$132,156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$110,591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$21,565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19.5%</w:t>
            </w:r>
          </w:p>
        </w:tc>
      </w:tr>
      <w:tr>
        <w:trPr>
          <w:trHeight w:val="29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Management Services . . . . . . . . . . . . . . . . . . . . . . .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4,849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4,590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5.6%</w:t>
            </w:r>
          </w:p>
        </w:tc>
      </w:tr>
      <w:tr>
        <w:trPr>
          <w:trHeight w:val="299"/>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Loans and Investments . . . . . . . . . . . . .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12,540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7,357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5,183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70.4%</w:t>
            </w:r>
          </w:p>
        </w:tc>
      </w:tr>
      <w:tr>
        <w:trPr>
          <w:trHeight w:val="302"/>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 Operations . . . . . . . . . . . . . . . . . . . . . . . .</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(1,981)</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0"/>
        </w:trPr>
        <w:tc>
          <w:tcPr>
            <w:tcW w:w="48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89"/>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Revenue . . . . . . . . . . . . . . . . . . . . . . . . . . . . . .</w:t>
            </w:r>
          </w:p>
        </w:tc>
        <w:tc>
          <w:tcPr>
            <w:tcW w:w="3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$149,545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$124,519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$25,026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20.1%</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399"/>
        <w:spacing w:after="0" w:line="248" w:lineRule="auto"/>
        <w:rPr>
          <w:sz w:val="20"/>
          <w:szCs w:val="20"/>
          <w:color w:val="auto"/>
        </w:rPr>
      </w:pPr>
      <w:r>
        <w:rPr>
          <w:rFonts w:ascii="Times New Roman" w:cs="Times New Roman" w:eastAsia="Times New Roman" w:hAnsi="Times New Roman"/>
          <w:sz w:val="20"/>
          <w:szCs w:val="20"/>
          <w:color w:val="auto"/>
        </w:rPr>
        <w:t>Total revenue for the year ended December 31, 2025 increased to $149.5 million, compared to $124.5 million during the year ended December 31, 2024. The increase in total revenue is primarily attributable to increased income produced by the Company’s recent income property acquisitions versus that of properties disposed of by the Company during the comparative period, as well as increased same store revenue from our properties owned during each period. Revenues further benefited from a $5.2 million increase in income from the Company’s commercial loans and investments. These increases were partially offset by a $2.0 million decrease in real estate operations which is primarily due the completion of the sales of all remaining Subsurface Interests and mitigation credits during the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Properties</w:t>
      </w:r>
    </w:p>
    <w:p>
      <w:pPr>
        <w:spacing w:after="0" w:line="171" w:lineRule="exact"/>
        <w:rPr>
          <w:sz w:val="20"/>
          <w:szCs w:val="20"/>
          <w:color w:val="auto"/>
        </w:rPr>
      </w:pPr>
    </w:p>
    <w:p>
      <w:pPr>
        <w:ind w:right="200" w:firstLine="399"/>
        <w:spacing w:after="0" w:line="243" w:lineRule="auto"/>
        <w:rPr>
          <w:sz w:val="20"/>
          <w:szCs w:val="20"/>
          <w:color w:val="auto"/>
        </w:rPr>
      </w:pPr>
      <w:r>
        <w:rPr>
          <w:rFonts w:ascii="Times New Roman" w:cs="Times New Roman" w:eastAsia="Times New Roman" w:hAnsi="Times New Roman"/>
          <w:sz w:val="20"/>
          <w:szCs w:val="20"/>
          <w:color w:val="auto"/>
        </w:rPr>
        <w:t>Revenue and operating income from our income property operations totaled $132.2 million and $94.2 million, respectively, during the year ended December 31, 2025, compared to total revenue and operating income of $110.6 million and $78.8 million, respectively, for the year ended December 31, 2024. The direct costs of revenues for our income property operations totaled $37.9 million and $31.8 million for the years ended December 31, 2025 and 2024, respectively. The increase in revenues of $21.6 million, or</w:t>
      </w:r>
    </w:p>
    <w:p>
      <w:pPr>
        <w:spacing w:after="0" w:line="3"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auto"/>
        </w:rPr>
        <w:t>19.5%, during the year ended December 31, 2025 is primarily related to the overall growth and lease up of the Company’s income property portfolio, as well as the timing of acquisitions versus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Services</w:t>
      </w:r>
    </w:p>
    <w:p>
      <w:pPr>
        <w:spacing w:after="0" w:line="171" w:lineRule="exact"/>
        <w:rPr>
          <w:sz w:val="20"/>
          <w:szCs w:val="20"/>
          <w:color w:val="auto"/>
        </w:rPr>
      </w:pPr>
    </w:p>
    <w:p>
      <w:pPr>
        <w:ind w:right="160" w:firstLine="399"/>
        <w:spacing w:after="0" w:line="250" w:lineRule="auto"/>
        <w:rPr>
          <w:sz w:val="20"/>
          <w:szCs w:val="20"/>
          <w:color w:val="auto"/>
        </w:rPr>
      </w:pPr>
      <w:r>
        <w:rPr>
          <w:rFonts w:ascii="Times New Roman" w:cs="Times New Roman" w:eastAsia="Times New Roman" w:hAnsi="Times New Roman"/>
          <w:sz w:val="20"/>
          <w:szCs w:val="20"/>
          <w:color w:val="auto"/>
        </w:rPr>
        <w:t>Revenue from our management services totaled $4.8 million during the year ended December 31, 2025, of which $4.4 million was earned from PINE, $0.3 million was earned from the Portfolio Management Agreement, and less than $0.1 million was earned from the Subsurface Management Agreement. Revenue from our management services totaled $4.6 million during the year ended December 31, 2024, of which $4.2 million was earned from PINE, $0.3 million was earned from the Portfolio Management Agreement, and less than $0.1 million was earned from the Subsurface Management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Loans and Investments</w:t>
      </w:r>
    </w:p>
    <w:p>
      <w:pPr>
        <w:spacing w:after="0" w:line="171" w:lineRule="exact"/>
        <w:rPr>
          <w:sz w:val="20"/>
          <w:szCs w:val="20"/>
          <w:color w:val="auto"/>
        </w:rPr>
      </w:pPr>
    </w:p>
    <w:p>
      <w:pPr>
        <w:ind w:right="160" w:firstLine="399"/>
        <w:spacing w:after="0" w:line="253" w:lineRule="auto"/>
        <w:rPr>
          <w:sz w:val="20"/>
          <w:szCs w:val="20"/>
          <w:color w:val="auto"/>
        </w:rPr>
      </w:pPr>
      <w:r>
        <w:rPr>
          <w:rFonts w:ascii="Times New Roman" w:cs="Times New Roman" w:eastAsia="Times New Roman" w:hAnsi="Times New Roman"/>
          <w:sz w:val="20"/>
          <w:szCs w:val="20"/>
          <w:color w:val="auto"/>
        </w:rPr>
        <w:t>Interest income from our commercial loans and investments totaled $12.5 million and $7.4 million during the years ended December 31, 2025 and 2024, respectively. The increase is primarily due to increased income as a result of the overall growth in the loan portfolio, including additional advances under existing construction and loan commitments, as well as the timing of the investments made related to new loan originations and structured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Real Estate Operations</w:t>
      </w:r>
    </w:p>
    <w:p>
      <w:pPr>
        <w:spacing w:after="0" w:line="171" w:lineRule="exact"/>
        <w:rPr>
          <w:sz w:val="20"/>
          <w:szCs w:val="20"/>
          <w:color w:val="auto"/>
        </w:rPr>
      </w:pPr>
    </w:p>
    <w:p>
      <w:pPr>
        <w:ind w:right="100" w:firstLine="399"/>
        <w:spacing w:after="0" w:line="262" w:lineRule="auto"/>
        <w:rPr>
          <w:sz w:val="20"/>
          <w:szCs w:val="20"/>
          <w:color w:val="auto"/>
        </w:rPr>
      </w:pPr>
      <w:r>
        <w:rPr>
          <w:rFonts w:ascii="Times New Roman" w:cs="Times New Roman" w:eastAsia="Times New Roman" w:hAnsi="Times New Roman"/>
          <w:sz w:val="20"/>
          <w:szCs w:val="20"/>
          <w:color w:val="auto"/>
        </w:rPr>
        <w:t>During the year ended December 31, 2024, operating income from real estate operations was $0.5 million on revenues totaling $2.0 million, which was primarily attributable to mitigation credits sold during the period. There was no revenue or operating income from real estate operations during the year ended</w:t>
      </w:r>
    </w:p>
    <w:p>
      <w:pPr>
        <w:sectPr>
          <w:pgSz w:w="11880" w:h="15480" w:orient="portrait"/>
          <w:cols w:equalWidth="0" w:num="1">
            <w:col w:w="9220"/>
          </w:cols>
          <w:pgMar w:left="1380" w:top="1023" w:right="1280" w:bottom="71" w:gutter="0" w:footer="0" w:header="0"/>
        </w:sectPr>
      </w:pPr>
    </w:p>
    <w:p>
      <w:pPr>
        <w:spacing w:after="0" w:line="2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220"/>
          </w:cols>
          <w:pgMar w:left="1380" w:top="1023" w:right="1280" w:bottom="71" w:gutter="0" w:footer="0" w:header="0"/>
          <w:type w:val="continuous"/>
        </w:sectPr>
      </w:pPr>
    </w:p>
    <w:bookmarkStart w:id="59" w:name="page60"/>
    <w:bookmarkEnd w:id="59"/>
    <w:p>
      <w:pPr>
        <w:ind w:left="10" w:right="560"/>
        <w:spacing w:after="0" w:line="290" w:lineRule="auto"/>
        <w:rPr>
          <w:sz w:val="20"/>
          <w:szCs w:val="20"/>
          <w:color w:val="auto"/>
        </w:rPr>
      </w:pPr>
      <w:r>
        <w:rPr>
          <w:rFonts w:ascii="Times New Roman" w:cs="Times New Roman" w:eastAsia="Times New Roman" w:hAnsi="Times New Roman"/>
          <w:sz w:val="20"/>
          <w:szCs w:val="20"/>
          <w:color w:val="auto"/>
        </w:rPr>
        <w:t>December 31, 2025, because the Company sold its portfolio of Subsurface Interests and all remaining mitigation credits during the year ended December 31, 2024.</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General and Administrative Expenses</w:t>
      </w:r>
    </w:p>
    <w:p>
      <w:pPr>
        <w:spacing w:after="0" w:line="171" w:lineRule="exact"/>
        <w:rPr>
          <w:sz w:val="20"/>
          <w:szCs w:val="20"/>
          <w:color w:val="auto"/>
        </w:rPr>
      </w:pPr>
    </w:p>
    <w:p>
      <w:pPr>
        <w:ind w:left="10" w:right="400" w:firstLine="399"/>
        <w:spacing w:after="0" w:line="273" w:lineRule="auto"/>
        <w:rPr>
          <w:sz w:val="20"/>
          <w:szCs w:val="20"/>
          <w:color w:val="auto"/>
        </w:rPr>
      </w:pPr>
      <w:r>
        <w:rPr>
          <w:rFonts w:ascii="Times New Roman" w:cs="Times New Roman" w:eastAsia="Times New Roman" w:hAnsi="Times New Roman"/>
          <w:sz w:val="20"/>
          <w:szCs w:val="20"/>
          <w:color w:val="auto"/>
        </w:rPr>
        <w:t>Total general and administrative expenses for the year ended December 31, 2025 is presented in the following summary and indicates the changes as compared to the year ended December 31, 2024 (in thousands):</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0"/>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4840" w:type="dxa"/>
            <w:vAlign w:val="bottom"/>
          </w:tcPr>
          <w:p>
            <w:pPr>
              <w:spacing w:after="0"/>
              <w:rPr>
                <w:sz w:val="17"/>
                <w:szCs w:val="17"/>
                <w:color w:val="auto"/>
              </w:rPr>
            </w:pPr>
          </w:p>
        </w:tc>
        <w:tc>
          <w:tcPr>
            <w:tcW w:w="12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 Expenses (in thousands)</w:t>
            </w: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r>
      <w:tr>
        <w:trPr>
          <w:trHeight w:val="30"/>
        </w:trPr>
        <w:tc>
          <w:tcPr>
            <w:tcW w:w="4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84"/>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 . . . . . . . . . . . . . .</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$14,369</w:t>
            </w:r>
          </w:p>
        </w:tc>
        <w:tc>
          <w:tcPr>
            <w:tcW w:w="120" w:type="dxa"/>
            <w:vAlign w:val="bottom"/>
          </w:tcPr>
          <w:p>
            <w:pPr>
              <w:spacing w:after="0"/>
              <w:rPr>
                <w:sz w:val="24"/>
                <w:szCs w:val="24"/>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$12,632</w:t>
            </w:r>
          </w:p>
        </w:tc>
        <w:tc>
          <w:tcPr>
            <w:tcW w:w="120" w:type="dxa"/>
            <w:vAlign w:val="bottom"/>
          </w:tcPr>
          <w:p>
            <w:pPr>
              <w:spacing w:after="0"/>
              <w:rPr>
                <w:sz w:val="24"/>
                <w:szCs w:val="24"/>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$1,737</w:t>
            </w:r>
          </w:p>
        </w:tc>
        <w:tc>
          <w:tcPr>
            <w:tcW w:w="120" w:type="dxa"/>
            <w:vAlign w:val="bottom"/>
          </w:tcPr>
          <w:p>
            <w:pPr>
              <w:spacing w:after="0"/>
              <w:rPr>
                <w:sz w:val="24"/>
                <w:szCs w:val="24"/>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13.8%</w:t>
            </w:r>
          </w:p>
        </w:tc>
      </w:tr>
      <w:tr>
        <w:trPr>
          <w:trHeight w:val="302"/>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Non-Cash Stock Compensation . . . . . . . . . . . . . . . . . .</w:t>
            </w:r>
          </w:p>
        </w:tc>
        <w:tc>
          <w:tcPr>
            <w:tcW w:w="380" w:type="dxa"/>
            <w:vAlign w:val="bottom"/>
            <w:gridSpan w:val="2"/>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4,158</w:t>
            </w:r>
          </w:p>
        </w:tc>
        <w:tc>
          <w:tcPr>
            <w:tcW w:w="120" w:type="dxa"/>
            <w:vAlign w:val="bottom"/>
          </w:tcPr>
          <w:p>
            <w:pPr>
              <w:spacing w:after="0"/>
              <w:rPr>
                <w:sz w:val="24"/>
                <w:szCs w:val="24"/>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3,637</w:t>
            </w:r>
          </w:p>
        </w:tc>
        <w:tc>
          <w:tcPr>
            <w:tcW w:w="120" w:type="dxa"/>
            <w:vAlign w:val="bottom"/>
          </w:tcPr>
          <w:p>
            <w:pPr>
              <w:spacing w:after="0"/>
              <w:rPr>
                <w:sz w:val="24"/>
                <w:szCs w:val="24"/>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521</w:t>
            </w:r>
          </w:p>
        </w:tc>
        <w:tc>
          <w:tcPr>
            <w:tcW w:w="120" w:type="dxa"/>
            <w:vAlign w:val="bottom"/>
          </w:tcPr>
          <w:p>
            <w:pPr>
              <w:spacing w:after="0"/>
              <w:rPr>
                <w:sz w:val="24"/>
                <w:szCs w:val="24"/>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14.3%</w:t>
            </w:r>
          </w:p>
        </w:tc>
      </w:tr>
      <w:tr>
        <w:trPr>
          <w:trHeight w:val="20"/>
        </w:trPr>
        <w:tc>
          <w:tcPr>
            <w:tcW w:w="48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9"/>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Total General and Administrative Expenses . . . . . . . . .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$18,527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$16,269</w:t>
            </w:r>
          </w:p>
        </w:tc>
        <w:tc>
          <w:tcPr>
            <w:tcW w:w="1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$2,258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13.9%</w:t>
            </w:r>
          </w:p>
        </w:tc>
      </w:tr>
      <w:tr>
        <w:trPr>
          <w:trHeight w:val="20"/>
        </w:trPr>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 w:firstLine="399"/>
        <w:spacing w:after="0" w:line="273" w:lineRule="auto"/>
        <w:rPr>
          <w:sz w:val="20"/>
          <w:szCs w:val="20"/>
          <w:color w:val="auto"/>
        </w:rPr>
      </w:pPr>
      <w:r>
        <w:rPr>
          <w:rFonts w:ascii="Times New Roman" w:cs="Times New Roman" w:eastAsia="Times New Roman" w:hAnsi="Times New Roman"/>
          <w:sz w:val="20"/>
          <w:szCs w:val="20"/>
          <w:color w:val="auto"/>
        </w:rPr>
        <w:t>The primary reason for the increase in total general and administrative expenses is the overall higher employee count, as a result of the increased operating activity from the increase in managed income property assets, as well as increases in compensation effective on January 1, 2025.</w:t>
      </w:r>
    </w:p>
    <w:p>
      <w:pPr>
        <w:spacing w:after="0" w:line="1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Gains on Disposition of Assets and Provision for Impairment</w:t>
      </w:r>
    </w:p>
    <w:p>
      <w:pPr>
        <w:spacing w:after="0" w:line="171" w:lineRule="exact"/>
        <w:rPr>
          <w:sz w:val="20"/>
          <w:szCs w:val="20"/>
          <w:color w:val="auto"/>
        </w:rPr>
      </w:pPr>
    </w:p>
    <w:p>
      <w:pPr>
        <w:ind w:left="10" w:firstLine="399"/>
        <w:spacing w:after="0" w:line="264" w:lineRule="auto"/>
        <w:rPr>
          <w:sz w:val="20"/>
          <w:szCs w:val="20"/>
          <w:color w:val="auto"/>
        </w:rPr>
      </w:pPr>
      <w:r>
        <w:rPr>
          <w:rFonts w:ascii="Times New Roman" w:cs="Times New Roman" w:eastAsia="Times New Roman" w:hAnsi="Times New Roman"/>
          <w:sz w:val="20"/>
          <w:szCs w:val="20"/>
          <w:i w:val="1"/>
          <w:iCs w:val="1"/>
          <w:color w:val="auto"/>
        </w:rPr>
        <w:t xml:space="preserve">Gain on Disposition of Assets — 2025 Dispositions. </w:t>
      </w:r>
      <w:r>
        <w:rPr>
          <w:rFonts w:ascii="Times New Roman" w:cs="Times New Roman" w:eastAsia="Times New Roman" w:hAnsi="Times New Roman"/>
          <w:sz w:val="20"/>
          <w:szCs w:val="20"/>
          <w:color w:val="auto"/>
        </w:rPr>
        <w:t>During the year ended December 31, 2025,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sold four income properties for an aggregate sales price of $85.1 million and aggregate gains of sales of $21.0 million. The sales consisted of (i) three single-tenant Main Street properties in Daytona Beach, Florida for $7.1 million, generating gains totaling $1.2 million, and (ii) one shopping center located in Plano, Texas for $78.0 million, resulting in a gain on sale of $19.8 million.</w:t>
      </w:r>
    </w:p>
    <w:p>
      <w:pPr>
        <w:spacing w:after="0" w:line="122" w:lineRule="exact"/>
        <w:rPr>
          <w:sz w:val="20"/>
          <w:szCs w:val="20"/>
          <w:color w:val="auto"/>
        </w:rPr>
      </w:pPr>
    </w:p>
    <w:p>
      <w:pPr>
        <w:ind w:left="390"/>
        <w:spacing w:after="0"/>
        <w:tabs>
          <w:tab w:leader="none" w:pos="4830" w:val="left"/>
        </w:tabs>
        <w:rPr>
          <w:sz w:val="20"/>
          <w:szCs w:val="20"/>
          <w:color w:val="auto"/>
        </w:rPr>
      </w:pPr>
      <w:r>
        <w:rPr>
          <w:rFonts w:ascii="Times New Roman" w:cs="Times New Roman" w:eastAsia="Times New Roman" w:hAnsi="Times New Roman"/>
          <w:sz w:val="20"/>
          <w:szCs w:val="20"/>
          <w:i w:val="1"/>
          <w:iCs w:val="1"/>
          <w:color w:val="auto"/>
        </w:rPr>
        <w:t>Gain on Disposition of Assets — 2024 Dispositions.</w:t>
      </w:r>
      <w:r>
        <w:rPr>
          <w:sz w:val="20"/>
          <w:szCs w:val="20"/>
          <w:color w:val="auto"/>
        </w:rPr>
        <w:tab/>
      </w:r>
      <w:r>
        <w:rPr>
          <w:rFonts w:ascii="Times New Roman" w:cs="Times New Roman" w:eastAsia="Times New Roman" w:hAnsi="Times New Roman"/>
          <w:sz w:val="20"/>
          <w:szCs w:val="20"/>
          <w:color w:val="auto"/>
        </w:rPr>
        <w:t>During the year ended December 31, 2024, the</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Company sold two income properties for an aggregate sales price of $38.0 million and aggregate gains on</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sales of $3.8 million. The sales consisted of (i) one mixed use income property in downtown Santa Fe, New</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Mexico for $20.0 million, resulting in a gain of $4.6 million, and (ii) one shopping center located in West</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Jordan, Utah for $18.0 million resulting in a loss on sale of $0.8 million. In addition, during the year</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ended December 31, 2024, the Company sold its remaining acres of Subsurface Interests for $5.0 million, or</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 gain on sale of $4.5 million. The sales of these two properties and the remaining acres of Subsurface</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Interests resulted in aggregate gains on sales of $8.3 million, which consisted of aggregate gains on disposition</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of $9.1 million and aggregate losses on disposition of $0.8 million.</w:t>
      </w:r>
    </w:p>
    <w:p>
      <w:pPr>
        <w:spacing w:after="0" w:line="175" w:lineRule="exact"/>
        <w:rPr>
          <w:sz w:val="20"/>
          <w:szCs w:val="20"/>
          <w:color w:val="auto"/>
        </w:rPr>
      </w:pPr>
    </w:p>
    <w:p>
      <w:pPr>
        <w:ind w:left="10" w:right="80" w:firstLine="399"/>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Provision for Impairment. </w:t>
      </w:r>
      <w:r>
        <w:rPr>
          <w:rFonts w:ascii="Times New Roman" w:cs="Times New Roman" w:eastAsia="Times New Roman" w:hAnsi="Times New Roman"/>
          <w:sz w:val="20"/>
          <w:szCs w:val="20"/>
          <w:color w:val="auto"/>
        </w:rPr>
        <w:t>There were no impairment charges on the Company’s income property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portfolio during the years ended December 31, 2025 and 2024, respectively. The Company recorded impairment charges representing the provision for credit losses related to the increase in the principal outstanding on the Company’s portfolio of commercial loans and investments of less than $0.1 million and $0.7 million for the years ended December 31, 2025 and 2024, respectively.</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p>
      <w:pPr>
        <w:spacing w:after="0" w:line="171" w:lineRule="exact"/>
        <w:rPr>
          <w:sz w:val="20"/>
          <w:szCs w:val="20"/>
          <w:color w:val="auto"/>
        </w:rPr>
      </w:pPr>
    </w:p>
    <w:p>
      <w:pPr>
        <w:ind w:left="10" w:right="20" w:firstLine="399"/>
        <w:spacing w:after="0" w:line="254" w:lineRule="auto"/>
        <w:rPr>
          <w:sz w:val="20"/>
          <w:szCs w:val="20"/>
          <w:color w:val="auto"/>
        </w:rPr>
      </w:pPr>
      <w:r>
        <w:rPr>
          <w:rFonts w:ascii="Times New Roman" w:cs="Times New Roman" w:eastAsia="Times New Roman" w:hAnsi="Times New Roman"/>
          <w:sz w:val="20"/>
          <w:szCs w:val="20"/>
          <w:color w:val="auto"/>
        </w:rPr>
        <w:t>Depreciation and amortization totaled $60.0 million and $65.1 million during the years ended December 31, 2025 and 2024, respectively. Depreciation and amortization expense generally increases commensurate with overall growth of the Company’s income property portfolio. During the year ended December 31, 2024, the Company recorded an out-of-period adjustment totaling $10.1 million consisting of</w:t>
      </w:r>
    </w:p>
    <w:p>
      <w:pPr>
        <w:ind w:left="10" w:hanging="10"/>
        <w:spacing w:after="0" w:line="260" w:lineRule="auto"/>
        <w:tabs>
          <w:tab w:leader="none" w:pos="24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$4.5 million associated with the acceleration of amortization for lease intangibles related to certain lease terminations that occurred prior to January 1, 2024 and (ii) $5.6 million associated with calculating amortization based on the remaining useful life of each lease on an individual basis as opposed to a property-level weighted average remaining useful lease life. Based on our quantitative and qualitative analyses, we do not consider the impact of the out-of-period adjustment to be material to our financial position or results of operations for the year ended December 31, 2024, or for any prior periods.</w:t>
      </w:r>
    </w:p>
    <w:p>
      <w:pPr>
        <w:sectPr>
          <w:pgSz w:w="11880" w:h="15480" w:orient="portrait"/>
          <w:cols w:equalWidth="0" w:num="1">
            <w:col w:w="9110"/>
          </w:cols>
          <w:pgMar w:left="1390" w:top="1025" w:right="1380" w:bottom="69" w:gutter="0" w:footer="0" w:header="0"/>
        </w:sectPr>
      </w:pPr>
    </w:p>
    <w:p>
      <w:pPr>
        <w:spacing w:after="0" w:line="28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110"/>
          </w:cols>
          <w:pgMar w:left="1390" w:top="1025" w:right="1380" w:bottom="69" w:gutter="0" w:footer="0" w:header="0"/>
          <w:type w:val="continuous"/>
        </w:sectPr>
      </w:pPr>
    </w:p>
    <w:bookmarkStart w:id="60" w:name="page61"/>
    <w:bookmarkEnd w:id="60"/>
    <w:p>
      <w:pPr>
        <w:ind w:left="20"/>
        <w:spacing w:after="0"/>
        <w:rPr>
          <w:sz w:val="20"/>
          <w:szCs w:val="20"/>
          <w:color w:val="auto"/>
        </w:rPr>
      </w:pPr>
      <w:r>
        <w:rPr>
          <w:rFonts w:ascii="Times New Roman" w:cs="Times New Roman" w:eastAsia="Times New Roman" w:hAnsi="Times New Roman"/>
          <w:sz w:val="20"/>
          <w:szCs w:val="20"/>
          <w:b w:val="1"/>
          <w:bCs w:val="1"/>
          <w:color w:val="auto"/>
        </w:rPr>
        <w:t>Investment and Other Income</w:t>
      </w:r>
    </w:p>
    <w:p>
      <w:pPr>
        <w:spacing w:after="0" w:line="171" w:lineRule="exact"/>
        <w:rPr>
          <w:sz w:val="20"/>
          <w:szCs w:val="20"/>
          <w:color w:val="auto"/>
        </w:rPr>
      </w:pPr>
    </w:p>
    <w:p>
      <w:pPr>
        <w:ind w:left="20" w:right="40" w:firstLine="399"/>
        <w:spacing w:after="0" w:line="251" w:lineRule="auto"/>
        <w:rPr>
          <w:sz w:val="20"/>
          <w:szCs w:val="20"/>
          <w:color w:val="auto"/>
        </w:rPr>
      </w:pPr>
      <w:r>
        <w:rPr>
          <w:rFonts w:ascii="Times New Roman" w:cs="Times New Roman" w:eastAsia="Times New Roman" w:hAnsi="Times New Roman"/>
          <w:sz w:val="20"/>
          <w:szCs w:val="20"/>
          <w:color w:val="auto"/>
        </w:rPr>
        <w:t>During the year ended December 31, 2025, the closing stock price of PINE decreased by $0.07 per share, with a closing price of $16.72 as of December 31, 2025, resulting in a $0.1 million non-cash gain inclusive of the gains associated with the purchase of 109,081 shares of PINE common stock on the open market during the year for aggregate consideration of $1.6 million, at an average purchase price of $14.24 per share. During the year ended December 31, 2024, the Company recognized a $0.2 million unrealized, non-cash loss related to a decrease of $0.12 per share of PINE common stock, which is included in investment and other income on the consolidated statements of operations.</w:t>
      </w:r>
    </w:p>
    <w:p>
      <w:pPr>
        <w:spacing w:after="0" w:line="124" w:lineRule="exact"/>
        <w:rPr>
          <w:sz w:val="20"/>
          <w:szCs w:val="20"/>
          <w:color w:val="auto"/>
        </w:rPr>
      </w:pPr>
    </w:p>
    <w:p>
      <w:pPr>
        <w:ind w:left="20" w:right="260" w:firstLine="399"/>
        <w:spacing w:after="0" w:line="279" w:lineRule="auto"/>
        <w:rPr>
          <w:sz w:val="20"/>
          <w:szCs w:val="20"/>
          <w:color w:val="auto"/>
        </w:rPr>
      </w:pPr>
      <w:r>
        <w:rPr>
          <w:rFonts w:ascii="Times New Roman" w:cs="Times New Roman" w:eastAsia="Times New Roman" w:hAnsi="Times New Roman"/>
          <w:sz w:val="20"/>
          <w:szCs w:val="20"/>
          <w:color w:val="auto"/>
        </w:rPr>
        <w:t>The Company earned dividend income from the investment in PINE of $2.8 million and $2.6 million during the years ended December 31, 2025 and 2024, respectively.</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171" w:lineRule="exact"/>
        <w:rPr>
          <w:sz w:val="20"/>
          <w:szCs w:val="20"/>
          <w:color w:val="auto"/>
        </w:rPr>
      </w:pPr>
    </w:p>
    <w:p>
      <w:pPr>
        <w:ind w:left="20" w:right="400" w:firstLine="399"/>
        <w:spacing w:after="0" w:line="262" w:lineRule="auto"/>
        <w:rPr>
          <w:sz w:val="20"/>
          <w:szCs w:val="20"/>
          <w:color w:val="auto"/>
        </w:rPr>
      </w:pPr>
      <w:r>
        <w:rPr>
          <w:rFonts w:ascii="Times New Roman" w:cs="Times New Roman" w:eastAsia="Times New Roman" w:hAnsi="Times New Roman"/>
          <w:sz w:val="20"/>
          <w:szCs w:val="20"/>
          <w:color w:val="auto"/>
        </w:rPr>
        <w:t>Interest expense totaled $26.9 million and $22.5 million for the years ended December 31, 2025 and 2024, respectively. The increase of $4.4 million is primarily attributable to an aggregate increase in the Company’s term loan balances.</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Net Income (Loss)</w:t>
      </w:r>
    </w:p>
    <w:p>
      <w:pPr>
        <w:spacing w:after="0" w:line="171" w:lineRule="exact"/>
        <w:rPr>
          <w:sz w:val="20"/>
          <w:szCs w:val="20"/>
          <w:color w:val="auto"/>
        </w:rPr>
      </w:pPr>
    </w:p>
    <w:p>
      <w:pPr>
        <w:ind w:left="20" w:right="60" w:firstLine="399"/>
        <w:spacing w:after="0" w:line="262" w:lineRule="auto"/>
        <w:rPr>
          <w:sz w:val="20"/>
          <w:szCs w:val="20"/>
          <w:color w:val="auto"/>
        </w:rPr>
      </w:pPr>
      <w:r>
        <w:rPr>
          <w:rFonts w:ascii="Times New Roman" w:cs="Times New Roman" w:eastAsia="Times New Roman" w:hAnsi="Times New Roman"/>
          <w:sz w:val="20"/>
          <w:szCs w:val="20"/>
          <w:color w:val="auto"/>
        </w:rPr>
        <w:t>Net income (loss) attributable to the Company totaled $10.1 million and $(2.0) million during the years ended December 31, 2025 and 2024, respectively. The increase in net income is attributable to the factors described above.</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2024 AND 2023</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171" w:lineRule="exact"/>
        <w:rPr>
          <w:sz w:val="20"/>
          <w:szCs w:val="20"/>
          <w:color w:val="auto"/>
        </w:rPr>
      </w:pPr>
    </w:p>
    <w:p>
      <w:pPr>
        <w:ind w:left="20" w:right="760" w:firstLine="399"/>
        <w:spacing w:after="0" w:line="279" w:lineRule="auto"/>
        <w:rPr>
          <w:sz w:val="20"/>
          <w:szCs w:val="20"/>
          <w:color w:val="auto"/>
        </w:rPr>
      </w:pPr>
      <w:r>
        <w:rPr>
          <w:rFonts w:ascii="Times New Roman" w:cs="Times New Roman" w:eastAsia="Times New Roman" w:hAnsi="Times New Roman"/>
          <w:sz w:val="20"/>
          <w:szCs w:val="20"/>
          <w:color w:val="auto"/>
        </w:rPr>
        <w:t>Total revenue for the year ended December 31, 2024 is presented in the following summary and indicates the changes as compared to the year ended December 31, 2023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9"/>
          </w:tcPr>
          <w:p>
            <w:pPr>
              <w:ind w:left="5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Segment</w:t>
            </w:r>
          </w:p>
        </w:tc>
        <w:tc>
          <w:tcPr>
            <w:tcW w:w="1080" w:type="dxa"/>
            <w:vAlign w:val="bottom"/>
            <w:gridSpan w:val="3"/>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Variance</w:t>
            </w:r>
          </w:p>
        </w:tc>
      </w:tr>
      <w:tr>
        <w:trPr>
          <w:trHeight w:val="30"/>
        </w:trPr>
        <w:tc>
          <w:tcPr>
            <w:tcW w:w="2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Income Properties  . . . . . . . . . . . . . . . . . . . . . . . . .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$110,591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$13,928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14.4%</w:t>
            </w:r>
          </w:p>
        </w:tc>
        <w:tc>
          <w:tcPr>
            <w:tcW w:w="40" w:type="dxa"/>
            <w:vAlign w:val="bottom"/>
          </w:tcPr>
          <w:p>
            <w:pPr>
              <w:spacing w:after="0"/>
              <w:rPr>
                <w:sz w:val="24"/>
                <w:szCs w:val="24"/>
                <w:color w:val="auto"/>
              </w:rPr>
            </w:pPr>
          </w:p>
        </w:tc>
      </w:tr>
      <w:tr>
        <w:trPr>
          <w:trHeight w:val="29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Management Services . . . . . . . . . . . . . . . . . . . . . . .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4,590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4.6%</w:t>
            </w:r>
          </w:p>
        </w:tc>
        <w:tc>
          <w:tcPr>
            <w:tcW w:w="40" w:type="dxa"/>
            <w:vAlign w:val="bottom"/>
          </w:tcPr>
          <w:p>
            <w:pPr>
              <w:spacing w:after="0"/>
              <w:rPr>
                <w:sz w:val="24"/>
                <w:szCs w:val="24"/>
                <w:color w:val="auto"/>
              </w:rPr>
            </w:pPr>
          </w:p>
        </w:tc>
      </w:tr>
      <w:tr>
        <w:trPr>
          <w:trHeight w:val="299"/>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Loans and Investments . . . . . . . . . . . . .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7,357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3,273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80.1%</w:t>
            </w:r>
          </w:p>
        </w:tc>
        <w:tc>
          <w:tcPr>
            <w:tcW w:w="40" w:type="dxa"/>
            <w:vAlign w:val="bottom"/>
          </w:tcPr>
          <w:p>
            <w:pPr>
              <w:spacing w:after="0"/>
              <w:rPr>
                <w:sz w:val="24"/>
                <w:szCs w:val="24"/>
                <w:color w:val="auto"/>
              </w:rPr>
            </w:pPr>
          </w:p>
        </w:tc>
      </w:tr>
      <w:tr>
        <w:trPr>
          <w:trHeight w:val="302"/>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 Operations . . . . . . . . . . . . . . . . . . . . . . . .</w:t>
            </w:r>
          </w:p>
        </w:tc>
        <w:tc>
          <w:tcPr>
            <w:tcW w:w="3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(2,003)</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(50.3)%</w:t>
            </w:r>
          </w:p>
        </w:tc>
      </w:tr>
      <w:tr>
        <w:trPr>
          <w:trHeight w:val="20"/>
        </w:trPr>
        <w:tc>
          <w:tcPr>
            <w:tcW w:w="48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9"/>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Revenue . . . . . . . . . . . . . . . . . . . . . . . . . . . . . .</w:t>
            </w:r>
          </w:p>
        </w:tc>
        <w:tc>
          <w:tcPr>
            <w:tcW w:w="3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$124,519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109,119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$15,400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14.1%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399"/>
        <w:spacing w:after="0" w:line="252" w:lineRule="auto"/>
        <w:rPr>
          <w:sz w:val="20"/>
          <w:szCs w:val="20"/>
          <w:color w:val="auto"/>
        </w:rPr>
      </w:pPr>
      <w:r>
        <w:rPr>
          <w:rFonts w:ascii="Times New Roman" w:cs="Times New Roman" w:eastAsia="Times New Roman" w:hAnsi="Times New Roman"/>
          <w:sz w:val="20"/>
          <w:szCs w:val="20"/>
          <w:color w:val="auto"/>
        </w:rPr>
        <w:t>Total revenue for the year ended December 31, 2024 increased to $124.5 million, compared to $109.1 million during the year ended December 31, 2023. The increase in total revenue is primarily attributable to increased revenue produced by the Company’s income property portfolio from the significant volume of acquisitions during the year ended December 31, 2024 versus that of properties disposed. Revenues further benefited from a $3.3 million increase in income from the Company’s commercial loans and investments. These increases were partially offset by a $2.0 million decrease in real estate operations which is primarily due to the completion of the sales of all remaining Subsurface Interests and mitigation credits during the year ended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Properties</w:t>
      </w:r>
    </w:p>
    <w:p>
      <w:pPr>
        <w:spacing w:after="0" w:line="171" w:lineRule="exact"/>
        <w:rPr>
          <w:sz w:val="20"/>
          <w:szCs w:val="20"/>
          <w:color w:val="auto"/>
        </w:rPr>
      </w:pPr>
    </w:p>
    <w:p>
      <w:pPr>
        <w:ind w:right="40" w:firstLine="399"/>
        <w:spacing w:after="0" w:line="256" w:lineRule="auto"/>
        <w:rPr>
          <w:sz w:val="20"/>
          <w:szCs w:val="20"/>
          <w:color w:val="auto"/>
        </w:rPr>
      </w:pPr>
      <w:r>
        <w:rPr>
          <w:rFonts w:ascii="Times New Roman" w:cs="Times New Roman" w:eastAsia="Times New Roman" w:hAnsi="Times New Roman"/>
          <w:sz w:val="20"/>
          <w:szCs w:val="20"/>
          <w:color w:val="auto"/>
        </w:rPr>
        <w:t>Revenue and operating income from our income property operations totaled $110.6 million and $78.8 million, respectively, during the year ended December 31, 2024, compared to total revenue and operating income of $96.7 million and $68.2 million, respectively, for the year ended December 31, 2023. The direct costs of revenues for our income property operations totaled $31.8 million and $28.5 million for the years ended December 31, 2024 and 2023, respectively. The increase in revenues of $13.9 million, or 14.4%,</w:t>
      </w:r>
    </w:p>
    <w:p>
      <w:pPr>
        <w:sectPr>
          <w:pgSz w:w="11880" w:h="15480" w:orient="portrait"/>
          <w:cols w:equalWidth="0" w:num="1">
            <w:col w:w="9160"/>
          </w:cols>
          <w:pgMar w:left="1380" w:top="1023" w:right="1340" w:bottom="70" w:gutter="0" w:footer="0" w:header="0"/>
        </w:sect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160"/>
          </w:cols>
          <w:pgMar w:left="1380" w:top="1023" w:right="1340" w:bottom="70" w:gutter="0" w:footer="0" w:header="0"/>
          <w:type w:val="continuous"/>
        </w:sectPr>
      </w:pPr>
    </w:p>
    <w:bookmarkStart w:id="61" w:name="page62"/>
    <w:bookmarkEnd w:id="61"/>
    <w:p>
      <w:pPr>
        <w:ind w:right="200"/>
        <w:spacing w:after="0" w:line="279" w:lineRule="auto"/>
        <w:rPr>
          <w:sz w:val="20"/>
          <w:szCs w:val="20"/>
          <w:color w:val="auto"/>
        </w:rPr>
      </w:pPr>
      <w:r>
        <w:rPr>
          <w:rFonts w:ascii="Times New Roman" w:cs="Times New Roman" w:eastAsia="Times New Roman" w:hAnsi="Times New Roman"/>
          <w:sz w:val="20"/>
          <w:szCs w:val="20"/>
          <w:color w:val="auto"/>
        </w:rPr>
        <w:t>during the year ended December 31, 2024 is primarily attributable to the Company’s significant volume of income property acquisitions versus that of properties disposed 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Services</w:t>
      </w:r>
    </w:p>
    <w:p>
      <w:pPr>
        <w:spacing w:after="0" w:line="171" w:lineRule="exact"/>
        <w:rPr>
          <w:sz w:val="20"/>
          <w:szCs w:val="20"/>
          <w:color w:val="auto"/>
        </w:rPr>
      </w:pPr>
    </w:p>
    <w:p>
      <w:pPr>
        <w:ind w:right="20" w:firstLine="399"/>
        <w:spacing w:after="0" w:line="254" w:lineRule="auto"/>
        <w:rPr>
          <w:sz w:val="20"/>
          <w:szCs w:val="20"/>
          <w:color w:val="auto"/>
        </w:rPr>
      </w:pPr>
      <w:r>
        <w:rPr>
          <w:rFonts w:ascii="Times New Roman" w:cs="Times New Roman" w:eastAsia="Times New Roman" w:hAnsi="Times New Roman"/>
          <w:sz w:val="20"/>
          <w:szCs w:val="20"/>
          <w:color w:val="auto"/>
        </w:rPr>
        <w:t>Revenue from our management services totaled $4.6 million during the year ended December 31, 2024, of which $4.2 million was earned from PINE, $0.3 million was earned from the Portfolio Management Agreement, and less than $0.1 million was earned from the Subsurface Management Agreement. Revenue from our management services totaled $4.4 million during the year ended December 31, 2023, and was earned primarily from PINE with less than $0.1 million earned from the Portfolio Management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Loans and Investments</w:t>
      </w:r>
    </w:p>
    <w:p>
      <w:pPr>
        <w:spacing w:after="0" w:line="171" w:lineRule="exact"/>
        <w:rPr>
          <w:sz w:val="20"/>
          <w:szCs w:val="20"/>
          <w:color w:val="auto"/>
        </w:rPr>
      </w:pPr>
    </w:p>
    <w:p>
      <w:pPr>
        <w:jc w:val="both"/>
        <w:ind w:right="480" w:firstLine="399"/>
        <w:spacing w:after="0" w:line="262" w:lineRule="auto"/>
        <w:rPr>
          <w:sz w:val="20"/>
          <w:szCs w:val="20"/>
          <w:color w:val="auto"/>
        </w:rPr>
      </w:pPr>
      <w:r>
        <w:rPr>
          <w:rFonts w:ascii="Times New Roman" w:cs="Times New Roman" w:eastAsia="Times New Roman" w:hAnsi="Times New Roman"/>
          <w:sz w:val="20"/>
          <w:szCs w:val="20"/>
          <w:color w:val="auto"/>
        </w:rPr>
        <w:t>Interest income from our commercial loans and investments totaled $7.4 million and $4.1 million during the years ended December 31, 2024 and 2023, respectively. The increase is due to the increase in investments made by the Company during the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Real Estate Operations</w:t>
      </w:r>
    </w:p>
    <w:p>
      <w:pPr>
        <w:spacing w:after="0" w:line="171" w:lineRule="exact"/>
        <w:rPr>
          <w:sz w:val="20"/>
          <w:szCs w:val="20"/>
          <w:color w:val="auto"/>
        </w:rPr>
      </w:pPr>
    </w:p>
    <w:p>
      <w:pPr>
        <w:ind w:right="20" w:firstLine="399"/>
        <w:spacing w:after="0" w:line="251" w:lineRule="auto"/>
        <w:rPr>
          <w:sz w:val="20"/>
          <w:szCs w:val="20"/>
          <w:color w:val="auto"/>
        </w:rPr>
      </w:pPr>
      <w:r>
        <w:rPr>
          <w:rFonts w:ascii="Times New Roman" w:cs="Times New Roman" w:eastAsia="Times New Roman" w:hAnsi="Times New Roman"/>
          <w:sz w:val="20"/>
          <w:szCs w:val="20"/>
          <w:color w:val="auto"/>
        </w:rPr>
        <w:t>During the year ended December 31, 2024, operating income from real estate operations was $0.5 million on revenues totaling $2.0 million. During the year ended December 31, 2023, operating income from real estate operations was $2.3 million on revenues totaling $4.0 million. The operating income during the years ended December 31, 2024 and 2023 was the result of mitigation credit sales and sales of Subsurface Interests. The remaining Subsurface Interests were sold during the first half of 2024 and all remaining mitigation credits were sold as of December 31, 2024; therefore, the Company expects no further revenue or operating income from real estate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and Administrative Expenses</w:t>
      </w:r>
    </w:p>
    <w:p>
      <w:pPr>
        <w:spacing w:after="0" w:line="171" w:lineRule="exact"/>
        <w:rPr>
          <w:sz w:val="20"/>
          <w:szCs w:val="20"/>
          <w:color w:val="auto"/>
        </w:rPr>
      </w:pPr>
    </w:p>
    <w:p>
      <w:pPr>
        <w:ind w:right="420" w:firstLine="399"/>
        <w:spacing w:after="0" w:line="262" w:lineRule="auto"/>
        <w:rPr>
          <w:sz w:val="20"/>
          <w:szCs w:val="20"/>
          <w:color w:val="auto"/>
        </w:rPr>
      </w:pPr>
      <w:r>
        <w:rPr>
          <w:rFonts w:ascii="Times New Roman" w:cs="Times New Roman" w:eastAsia="Times New Roman" w:hAnsi="Times New Roman"/>
          <w:sz w:val="20"/>
          <w:szCs w:val="20"/>
          <w:color w:val="auto"/>
        </w:rPr>
        <w:t>Total general and administrative expenses for the year ended December 31, 2024 is presented in the following summary and indicates the changes as compared to the year ended December 31, 2023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4840" w:type="dxa"/>
            <w:vAlign w:val="bottom"/>
          </w:tcPr>
          <w:p>
            <w:pPr>
              <w:spacing w:after="0"/>
              <w:rPr>
                <w:sz w:val="17"/>
                <w:szCs w:val="17"/>
                <w:color w:val="auto"/>
              </w:rPr>
            </w:pPr>
          </w:p>
        </w:tc>
        <w:tc>
          <w:tcPr>
            <w:tcW w:w="12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 Expenses (in thousands)</w:t>
            </w: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r>
      <w:tr>
        <w:trPr>
          <w:trHeight w:val="30"/>
        </w:trPr>
        <w:tc>
          <w:tcPr>
            <w:tcW w:w="4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 . . . . . . . . . . . . . .</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$12,632</w:t>
            </w:r>
          </w:p>
        </w:tc>
        <w:tc>
          <w:tcPr>
            <w:tcW w:w="120" w:type="dxa"/>
            <w:vAlign w:val="bottom"/>
          </w:tcPr>
          <w:p>
            <w:pPr>
              <w:spacing w:after="0"/>
              <w:rPr>
                <w:sz w:val="24"/>
                <w:szCs w:val="24"/>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$10,576</w:t>
            </w:r>
          </w:p>
        </w:tc>
        <w:tc>
          <w:tcPr>
            <w:tcW w:w="120" w:type="dxa"/>
            <w:vAlign w:val="bottom"/>
          </w:tcPr>
          <w:p>
            <w:pPr>
              <w:spacing w:after="0"/>
              <w:rPr>
                <w:sz w:val="24"/>
                <w:szCs w:val="24"/>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$2,056</w:t>
            </w:r>
          </w:p>
        </w:tc>
        <w:tc>
          <w:tcPr>
            <w:tcW w:w="120" w:type="dxa"/>
            <w:vAlign w:val="bottom"/>
          </w:tcPr>
          <w:p>
            <w:pPr>
              <w:spacing w:after="0"/>
              <w:rPr>
                <w:sz w:val="24"/>
                <w:szCs w:val="24"/>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19.4%</w:t>
            </w:r>
          </w:p>
        </w:tc>
        <w:tc>
          <w:tcPr>
            <w:tcW w:w="20" w:type="dxa"/>
            <w:vAlign w:val="bottom"/>
          </w:tcPr>
          <w:p>
            <w:pPr>
              <w:spacing w:after="0"/>
              <w:rPr>
                <w:sz w:val="24"/>
                <w:szCs w:val="24"/>
                <w:color w:val="auto"/>
              </w:rPr>
            </w:pPr>
          </w:p>
        </w:tc>
      </w:tr>
      <w:tr>
        <w:trPr>
          <w:trHeight w:val="302"/>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Non-Cash Stock Compensation . . . . . . . . . . . . . . . . . .</w:t>
            </w:r>
          </w:p>
        </w:tc>
        <w:tc>
          <w:tcPr>
            <w:tcW w:w="380" w:type="dxa"/>
            <w:vAlign w:val="bottom"/>
            <w:gridSpan w:val="2"/>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3,637</w:t>
            </w:r>
          </w:p>
        </w:tc>
        <w:tc>
          <w:tcPr>
            <w:tcW w:w="120" w:type="dxa"/>
            <w:vAlign w:val="bottom"/>
          </w:tcPr>
          <w:p>
            <w:pPr>
              <w:spacing w:after="0"/>
              <w:rPr>
                <w:sz w:val="24"/>
                <w:szCs w:val="24"/>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3,673</w:t>
            </w:r>
          </w:p>
        </w:tc>
        <w:tc>
          <w:tcPr>
            <w:tcW w:w="12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0"/>
        </w:trPr>
        <w:tc>
          <w:tcPr>
            <w:tcW w:w="48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Total General and Administrative Expenses . . . . . . . . .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$16,269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$14,249</w:t>
            </w:r>
          </w:p>
        </w:tc>
        <w:tc>
          <w:tcPr>
            <w:tcW w:w="1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$2,020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14.2%</w:t>
            </w:r>
          </w:p>
        </w:tc>
        <w:tc>
          <w:tcPr>
            <w:tcW w:w="20" w:type="dxa"/>
            <w:vAlign w:val="bottom"/>
          </w:tcPr>
          <w:p>
            <w:pPr>
              <w:spacing w:after="0"/>
              <w:rPr>
                <w:sz w:val="24"/>
                <w:szCs w:val="24"/>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0" w:firstLine="399"/>
        <w:spacing w:after="0" w:line="262" w:lineRule="auto"/>
        <w:rPr>
          <w:sz w:val="20"/>
          <w:szCs w:val="20"/>
          <w:color w:val="auto"/>
        </w:rPr>
      </w:pPr>
      <w:r>
        <w:rPr>
          <w:rFonts w:ascii="Times New Roman" w:cs="Times New Roman" w:eastAsia="Times New Roman" w:hAnsi="Times New Roman"/>
          <w:sz w:val="20"/>
          <w:szCs w:val="20"/>
          <w:color w:val="auto"/>
        </w:rPr>
        <w:t>The increase in total general and administrative expenses was generated primarily from overall higher employee count as a result of the significant growth in our portfolio of shopping center assets and an increase in executive incentive compensation related to growth in earnings.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Gains (Losses) on Disposition of Assets and Provision for Impairment</w:t>
      </w:r>
    </w:p>
    <w:p>
      <w:pPr>
        <w:spacing w:after="0" w:line="171" w:lineRule="exact"/>
        <w:rPr>
          <w:sz w:val="20"/>
          <w:szCs w:val="20"/>
          <w:color w:val="auto"/>
        </w:rPr>
      </w:pPr>
    </w:p>
    <w:p>
      <w:pPr>
        <w:ind w:left="380"/>
        <w:spacing w:after="0"/>
        <w:tabs>
          <w:tab w:leader="none" w:pos="4820" w:val="left"/>
        </w:tabs>
        <w:rPr>
          <w:sz w:val="20"/>
          <w:szCs w:val="20"/>
          <w:color w:val="auto"/>
        </w:rPr>
      </w:pPr>
      <w:r>
        <w:rPr>
          <w:rFonts w:ascii="Times New Roman" w:cs="Times New Roman" w:eastAsia="Times New Roman" w:hAnsi="Times New Roman"/>
          <w:sz w:val="20"/>
          <w:szCs w:val="20"/>
          <w:i w:val="1"/>
          <w:iCs w:val="1"/>
          <w:color w:val="auto"/>
        </w:rPr>
        <w:t>Gain on Disposition of Assets — 2024 Dispositions.</w:t>
      </w:r>
      <w:r>
        <w:rPr>
          <w:sz w:val="20"/>
          <w:szCs w:val="20"/>
          <w:color w:val="auto"/>
        </w:rPr>
        <w:tab/>
      </w:r>
      <w:r>
        <w:rPr>
          <w:rFonts w:ascii="Times New Roman" w:cs="Times New Roman" w:eastAsia="Times New Roman" w:hAnsi="Times New Roman"/>
          <w:sz w:val="20"/>
          <w:szCs w:val="20"/>
          <w:color w:val="auto"/>
        </w:rPr>
        <w:t>During the year ended December 31, 2024,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sold two income properties for an aggregate sales price of $38.0 million and aggregate gains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of $3.8 million. The sales consisted of (i) one mixed use income property in downtown Santa Fe, New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Mexico for $20.0 million, resulting in a gain of $4.6 million, and (ii) one shopping center located in West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Jordan, Utah for $18.0 million resulting in a loss on sale of $0.8 million. In addition, during the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ended December 31, 2024, the Company sold its remaining acres of Subsurface Interests for $5.0 million,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gain on sale of $4.5 million. The sales of these two properties and the remaining acres of Subsurface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Interests resulted in aggregate gains on sales of $8.3 million, which consisted of aggregate gains on disposition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$9.1 million and aggregate losses on disposition of $0.8 million.</w:t>
      </w:r>
    </w:p>
    <w:p>
      <w:pPr>
        <w:spacing w:after="0" w:line="155" w:lineRule="exact"/>
        <w:rPr>
          <w:sz w:val="20"/>
          <w:szCs w:val="20"/>
          <w:color w:val="auto"/>
        </w:rPr>
      </w:pPr>
    </w:p>
    <w:p>
      <w:pPr>
        <w:ind w:right="180" w:firstLine="399"/>
        <w:spacing w:after="0" w:line="279" w:lineRule="auto"/>
        <w:rPr>
          <w:sz w:val="20"/>
          <w:szCs w:val="20"/>
          <w:color w:val="auto"/>
        </w:rPr>
      </w:pPr>
      <w:r>
        <w:rPr>
          <w:rFonts w:ascii="Times New Roman" w:cs="Times New Roman" w:eastAsia="Times New Roman" w:hAnsi="Times New Roman"/>
          <w:sz w:val="20"/>
          <w:szCs w:val="20"/>
          <w:i w:val="1"/>
          <w:iCs w:val="1"/>
          <w:color w:val="auto"/>
        </w:rPr>
        <w:t xml:space="preserve">Gain on Disposition of Assets — 2023 Dispositions. </w:t>
      </w:r>
      <w:r>
        <w:rPr>
          <w:rFonts w:ascii="Times New Roman" w:cs="Times New Roman" w:eastAsia="Times New Roman" w:hAnsi="Times New Roman"/>
          <w:sz w:val="20"/>
          <w:szCs w:val="20"/>
          <w:color w:val="auto"/>
        </w:rPr>
        <w:t>During the year ended December 31, 2023,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sold nine income properties, including (i) an outparcel of the shopping center known as Eastern</w:t>
      </w:r>
    </w:p>
    <w:p>
      <w:pPr>
        <w:sectPr>
          <w:pgSz w:w="11880" w:h="15480" w:orient="portrait"/>
          <w:cols w:equalWidth="0" w:num="1">
            <w:col w:w="9120"/>
          </w:cols>
          <w:pgMar w:left="1400" w:top="1025" w:right="1360" w:bottom="70" w:gutter="0" w:footer="0" w:header="0"/>
        </w:sectPr>
      </w:pP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120"/>
          </w:cols>
          <w:pgMar w:left="1400" w:top="1025" w:right="1360" w:bottom="70" w:gutter="0" w:footer="0" w:header="0"/>
          <w:type w:val="continuous"/>
        </w:sectPr>
      </w:pPr>
    </w:p>
    <w:bookmarkStart w:id="62" w:name="page63"/>
    <w:bookmarkEnd w:id="62"/>
    <w:p>
      <w:pPr>
        <w:ind w:left="10"/>
        <w:spacing w:after="0" w:line="247" w:lineRule="auto"/>
        <w:rPr>
          <w:sz w:val="20"/>
          <w:szCs w:val="20"/>
          <w:color w:val="auto"/>
        </w:rPr>
      </w:pPr>
      <w:r>
        <w:rPr>
          <w:rFonts w:ascii="Times New Roman" w:cs="Times New Roman" w:eastAsia="Times New Roman" w:hAnsi="Times New Roman"/>
          <w:sz w:val="20"/>
          <w:szCs w:val="20"/>
          <w:color w:val="auto"/>
        </w:rPr>
        <w:t>Commons, located in Henderson, Nevada, for $2.1 million, (ii) four outparcels of the shopping center known as Crossroads Towne Center, located in Chandler, Arizona, for an aggregate sale price of $11.5 million,</w:t>
      </w:r>
    </w:p>
    <w:p>
      <w:pPr>
        <w:spacing w:after="0" w:line="2" w:lineRule="exact"/>
        <w:rPr>
          <w:sz w:val="20"/>
          <w:szCs w:val="20"/>
          <w:color w:val="auto"/>
        </w:rPr>
      </w:pPr>
    </w:p>
    <w:p>
      <w:pPr>
        <w:ind w:left="330" w:hanging="330"/>
        <w:spacing w:after="0"/>
        <w:tabs>
          <w:tab w:leader="none" w:pos="33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single tenant office property located in Reston, Virginia leased to General Dynamics for $18.5 million,</w:t>
      </w:r>
    </w:p>
    <w:p>
      <w:pPr>
        <w:spacing w:after="0" w:line="7" w:lineRule="exact"/>
        <w:rPr>
          <w:rFonts w:ascii="Times New Roman" w:cs="Times New Roman" w:eastAsia="Times New Roman" w:hAnsi="Times New Roman"/>
          <w:sz w:val="20"/>
          <w:szCs w:val="20"/>
          <w:color w:val="auto"/>
        </w:rPr>
      </w:pPr>
    </w:p>
    <w:p>
      <w:pPr>
        <w:ind w:left="10" w:hanging="10"/>
        <w:spacing w:after="0" w:line="254" w:lineRule="auto"/>
        <w:tabs>
          <w:tab w:leader="none" w:pos="3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shopping center known as Westcliff, located in Fort Worth, Texas, for $14.8 million, (v) a shopping center known as Eastern Commons, located in Henderson, Nevada, for $18.2 million, (vi) a single tenant office property known as Sabal Pavilion located in Tampa, Florida for $22.0 million. The sales of these nine properties reflect a total disposition volume of $87.1 million and resulted in aggregate gains on sales of $6.6 million, which consisted of aggregate gains on disposition of $8.2 million, aggregate losses on disposition of $0.7 million, and an impairment charge prior to sale of $0.9 million.</w:t>
      </w:r>
    </w:p>
    <w:p>
      <w:pPr>
        <w:spacing w:after="0" w:line="124" w:lineRule="exact"/>
        <w:rPr>
          <w:sz w:val="20"/>
          <w:szCs w:val="20"/>
          <w:color w:val="auto"/>
        </w:rPr>
      </w:pPr>
    </w:p>
    <w:p>
      <w:pPr>
        <w:ind w:left="10" w:firstLine="399"/>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Provision for Impairment. </w:t>
      </w:r>
      <w:r>
        <w:rPr>
          <w:rFonts w:ascii="Times New Roman" w:cs="Times New Roman" w:eastAsia="Times New Roman" w:hAnsi="Times New Roman"/>
          <w:sz w:val="20"/>
          <w:szCs w:val="20"/>
          <w:color w:val="auto"/>
        </w:rPr>
        <w:t>There were no impairment charges on the Company’s income property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portfolio during the year ended December 31, 2024. 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spacing w:after="0" w:line="124" w:lineRule="exact"/>
        <w:rPr>
          <w:sz w:val="20"/>
          <w:szCs w:val="20"/>
          <w:color w:val="auto"/>
        </w:rPr>
      </w:pPr>
    </w:p>
    <w:p>
      <w:pPr>
        <w:ind w:left="10" w:right="40" w:firstLine="399"/>
        <w:spacing w:after="0" w:line="264" w:lineRule="auto"/>
        <w:rPr>
          <w:sz w:val="20"/>
          <w:szCs w:val="20"/>
          <w:color w:val="auto"/>
        </w:rPr>
      </w:pPr>
      <w:r>
        <w:rPr>
          <w:rFonts w:ascii="Times New Roman" w:cs="Times New Roman" w:eastAsia="Times New Roman" w:hAnsi="Times New Roman"/>
          <w:sz w:val="20"/>
          <w:szCs w:val="20"/>
          <w:color w:val="auto"/>
        </w:rPr>
        <w:t>The Company recorded a $0.7 million and $0.6 million impairment charge representing the provision for credit losses related to our commercial loans and investments during the years ended December 31, 2024 and 2023, respectively.</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p>
      <w:pPr>
        <w:spacing w:after="0" w:line="171" w:lineRule="exact"/>
        <w:rPr>
          <w:sz w:val="20"/>
          <w:szCs w:val="20"/>
          <w:color w:val="auto"/>
        </w:rPr>
      </w:pPr>
    </w:p>
    <w:p>
      <w:pPr>
        <w:ind w:left="10" w:right="20" w:firstLine="399"/>
        <w:spacing w:after="0" w:line="247" w:lineRule="auto"/>
        <w:rPr>
          <w:sz w:val="20"/>
          <w:szCs w:val="20"/>
          <w:color w:val="auto"/>
        </w:rPr>
      </w:pPr>
      <w:r>
        <w:rPr>
          <w:rFonts w:ascii="Times New Roman" w:cs="Times New Roman" w:eastAsia="Times New Roman" w:hAnsi="Times New Roman"/>
          <w:sz w:val="20"/>
          <w:szCs w:val="20"/>
          <w:color w:val="auto"/>
        </w:rPr>
        <w:t>Depreciation and amortization totaled $65.1 million and $44.2 million during the years ended December 31, 2024 and 2023, respectively. Depreciation and amortization expense has generally increased commensurate with overall growth of the Company’s income property portfolio. During the year ended December 31, 2024, the Company recorded an out-of-period adjustment totaling $10.1 million consisting of</w:t>
      </w:r>
    </w:p>
    <w:p>
      <w:pPr>
        <w:spacing w:after="0" w:line="3" w:lineRule="exact"/>
        <w:rPr>
          <w:sz w:val="20"/>
          <w:szCs w:val="20"/>
          <w:color w:val="auto"/>
        </w:rPr>
      </w:pPr>
    </w:p>
    <w:p>
      <w:pPr>
        <w:ind w:left="10" w:hanging="10"/>
        <w:spacing w:after="0" w:line="254" w:lineRule="auto"/>
        <w:tabs>
          <w:tab w:leader="none" w:pos="24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$4.5 million associated with the acceleration of amortization for lease intangibles related to certain lease terminations that occurred prior to January 1, 2024 and (ii) $5.6 million associated with calculating amortization based on the remaining useful life of each lease on an individual basis as opposed to a property-level weighted average remaining useful lease life. Based on our quantitative and qualitative analyses, we do not consider the impact of the out-of-period adjustment to be material to our financial position or results of operations for the year ended December 31, 2024, or for any prior periods.</w:t>
      </w: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Investment and Other Income</w:t>
      </w:r>
    </w:p>
    <w:p>
      <w:pPr>
        <w:spacing w:after="0" w:line="171" w:lineRule="exact"/>
        <w:rPr>
          <w:sz w:val="20"/>
          <w:szCs w:val="20"/>
          <w:color w:val="auto"/>
        </w:rPr>
      </w:pPr>
    </w:p>
    <w:p>
      <w:pPr>
        <w:ind w:left="10" w:right="20" w:firstLine="399"/>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2024, the closing stock price of PINE decreased by $0.12 per share, with a closing price of $16.79 on December 31, 2024. During the year ended December 31, 2023, the closing stock price of PINE decreased by $2.17 per share, with a closing price of $16.91 on December 31, 2023. The decreases resulted in unrealized, non-cash losses on the Company’s investment in PINE of</w:t>
      </w:r>
    </w:p>
    <w:p>
      <w:pPr>
        <w:spacing w:after="0" w:line="3" w:lineRule="exact"/>
        <w:rPr>
          <w:sz w:val="20"/>
          <w:szCs w:val="20"/>
          <w:color w:val="auto"/>
        </w:rPr>
      </w:pPr>
    </w:p>
    <w:p>
      <w:pPr>
        <w:ind w:left="10"/>
        <w:spacing w:after="0" w:line="284" w:lineRule="auto"/>
        <w:rPr>
          <w:sz w:val="20"/>
          <w:szCs w:val="20"/>
          <w:color w:val="auto"/>
        </w:rPr>
      </w:pPr>
      <w:r>
        <w:rPr>
          <w:rFonts w:ascii="Times New Roman" w:cs="Times New Roman" w:eastAsia="Times New Roman" w:hAnsi="Times New Roman"/>
          <w:sz w:val="20"/>
          <w:szCs w:val="20"/>
          <w:color w:val="auto"/>
        </w:rPr>
        <w:t>$0.2 million and $4.7 million which is included in investment and other income in the consolidated statements of operations for the years ended December 31, 2024 and 2023, respectively.</w:t>
      </w:r>
    </w:p>
    <w:p>
      <w:pPr>
        <w:spacing w:after="0" w:line="94" w:lineRule="exact"/>
        <w:rPr>
          <w:sz w:val="20"/>
          <w:szCs w:val="20"/>
          <w:color w:val="auto"/>
        </w:rPr>
      </w:pPr>
    </w:p>
    <w:p>
      <w:pPr>
        <w:ind w:left="10" w:right="220" w:firstLine="399"/>
        <w:spacing w:after="0" w:line="284" w:lineRule="auto"/>
        <w:rPr>
          <w:sz w:val="20"/>
          <w:szCs w:val="20"/>
          <w:color w:val="auto"/>
        </w:rPr>
      </w:pPr>
      <w:r>
        <w:rPr>
          <w:rFonts w:ascii="Times New Roman" w:cs="Times New Roman" w:eastAsia="Times New Roman" w:hAnsi="Times New Roman"/>
          <w:sz w:val="20"/>
          <w:szCs w:val="20"/>
          <w:color w:val="auto"/>
        </w:rPr>
        <w:t>The Company earned dividend income from the investment in PINE of $2.6 million and $2.5 million during the years ended December 31, 2024 and 2023, respectively.</w:t>
      </w:r>
    </w:p>
    <w:p>
      <w:pPr>
        <w:spacing w:after="0" w:line="94" w:lineRule="exact"/>
        <w:rPr>
          <w:sz w:val="20"/>
          <w:szCs w:val="20"/>
          <w:color w:val="auto"/>
        </w:rPr>
      </w:pPr>
    </w:p>
    <w:p>
      <w:pPr>
        <w:ind w:left="10" w:right="20" w:firstLine="399"/>
        <w:spacing w:after="0" w:line="259" w:lineRule="auto"/>
        <w:rPr>
          <w:sz w:val="20"/>
          <w:szCs w:val="20"/>
          <w:color w:val="auto"/>
        </w:rPr>
      </w:pPr>
      <w:r>
        <w:rPr>
          <w:rFonts w:ascii="Times New Roman" w:cs="Times New Roman" w:eastAsia="Times New Roman" w:hAnsi="Times New Roman"/>
          <w:sz w:val="20"/>
          <w:szCs w:val="20"/>
          <w:color w:val="auto"/>
        </w:rPr>
        <w:t>The Company derecognized two contingent obligations through a $2.8 million increase in investment and other income during the year ended December 31, 2023, pursuant to two leases whereby the Company’s obligation to fund certain tenant improvements was eliminated or expired prior to being exercised. The liabilities were previously included in Accrued and Other Liabilities on the Company’s consolidated balance sheets.</w:t>
      </w:r>
    </w:p>
    <w:p>
      <w:pPr>
        <w:spacing w:after="0" w:line="200" w:lineRule="exact"/>
        <w:rPr>
          <w:sz w:val="20"/>
          <w:szCs w:val="20"/>
          <w:color w:val="auto"/>
        </w:rPr>
      </w:pPr>
    </w:p>
    <w:p>
      <w:pPr>
        <w:spacing w:after="0" w:line="2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171" w:lineRule="exact"/>
        <w:rPr>
          <w:sz w:val="20"/>
          <w:szCs w:val="20"/>
          <w:color w:val="auto"/>
        </w:rPr>
      </w:pPr>
    </w:p>
    <w:p>
      <w:pPr>
        <w:ind w:left="10" w:right="100" w:firstLine="399"/>
        <w:spacing w:after="0" w:line="261" w:lineRule="auto"/>
        <w:rPr>
          <w:sz w:val="20"/>
          <w:szCs w:val="20"/>
          <w:color w:val="auto"/>
        </w:rPr>
      </w:pPr>
      <w:r>
        <w:rPr>
          <w:rFonts w:ascii="Times New Roman" w:cs="Times New Roman" w:eastAsia="Times New Roman" w:hAnsi="Times New Roman"/>
          <w:sz w:val="20"/>
          <w:szCs w:val="20"/>
          <w:color w:val="auto"/>
        </w:rPr>
        <w:t>Interest expense totaled $22.5 million and $22.4 million for the years ended December 31, 2024 and 2023, respectively. While interest expense was relatively flat, there was an increase of $2.2 million in interest expense on our term loans, primarily due to the 2029 Term Loan entered into on September 30, 2024, with a corresponding $2.2 million decrease in interest expense on our Credit Facility.</w:t>
      </w:r>
    </w:p>
    <w:p>
      <w:pPr>
        <w:sectPr>
          <w:pgSz w:w="11880" w:h="15480" w:orient="portrait"/>
          <w:cols w:equalWidth="0" w:num="1">
            <w:col w:w="9110"/>
          </w:cols>
          <w:pgMar w:left="1390" w:top="1025" w:right="1380" w:bottom="70" w:gutter="0" w:footer="0" w:header="0"/>
        </w:sectPr>
      </w:pPr>
    </w:p>
    <w:p>
      <w:pPr>
        <w:spacing w:after="0" w:line="27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110"/>
          </w:cols>
          <w:pgMar w:left="1390" w:top="1025" w:right="1380" w:bottom="7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Net Income</w:t>
      </w:r>
    </w:p>
    <w:p>
      <w:pPr>
        <w:spacing w:after="0" w:line="171" w:lineRule="exact"/>
        <w:rPr>
          <w:sz w:val="20"/>
          <w:szCs w:val="20"/>
          <w:color w:val="auto"/>
        </w:rPr>
      </w:pPr>
    </w:p>
    <w:p>
      <w:pPr>
        <w:ind w:right="120" w:firstLine="399"/>
        <w:spacing w:after="0" w:line="277" w:lineRule="auto"/>
        <w:rPr>
          <w:sz w:val="20"/>
          <w:szCs w:val="20"/>
          <w:color w:val="auto"/>
        </w:rPr>
      </w:pPr>
      <w:r>
        <w:rPr>
          <w:rFonts w:ascii="Times New Roman" w:cs="Times New Roman" w:eastAsia="Times New Roman" w:hAnsi="Times New Roman"/>
          <w:sz w:val="20"/>
          <w:szCs w:val="20"/>
          <w:color w:val="auto"/>
        </w:rPr>
        <w:t>Net income (loss) attributable to the Company totaled $(2.0) million and $5.5 million during the years ended December 31, 2024 and 2023, respectively. The decrease in net income is attributable to the factors described above and most notably due to the increase in non-cash depreciation and amortization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1" w:lineRule="exact"/>
        <w:rPr>
          <w:sz w:val="20"/>
          <w:szCs w:val="20"/>
          <w:color w:val="auto"/>
        </w:rPr>
      </w:pPr>
    </w:p>
    <w:p>
      <w:pPr>
        <w:ind w:firstLine="399"/>
        <w:spacing w:after="0" w:line="271" w:lineRule="auto"/>
        <w:rPr>
          <w:sz w:val="20"/>
          <w:szCs w:val="20"/>
          <w:color w:val="auto"/>
        </w:rPr>
      </w:pPr>
      <w:r>
        <w:rPr>
          <w:rFonts w:ascii="Times New Roman" w:cs="Times New Roman" w:eastAsia="Times New Roman" w:hAnsi="Times New Roman"/>
          <w:sz w:val="20"/>
          <w:szCs w:val="20"/>
          <w:color w:val="auto"/>
        </w:rPr>
        <w:t>Cash totaled $41.1 million at December 31, 2025, including restricted cash of $34.7 million, see Note 2 “Summary of Significant Accounting Policies” under the heading Restricted Cash in the notes to the consolidated financial statements in Item 8 for the Company’s disclosure related to its restricted cash balance at December 31, 2025.</w:t>
      </w:r>
    </w:p>
    <w:p>
      <w:pPr>
        <w:spacing w:after="0" w:line="119" w:lineRule="exact"/>
        <w:rPr>
          <w:sz w:val="20"/>
          <w:szCs w:val="20"/>
          <w:color w:val="auto"/>
        </w:rPr>
      </w:pPr>
    </w:p>
    <w:p>
      <w:pPr>
        <w:ind w:firstLine="399"/>
        <w:spacing w:after="0" w:line="266" w:lineRule="auto"/>
        <w:rPr>
          <w:sz w:val="20"/>
          <w:szCs w:val="20"/>
          <w:color w:val="auto"/>
        </w:rPr>
      </w:pPr>
      <w:r>
        <w:rPr>
          <w:rFonts w:ascii="Times New Roman" w:cs="Times New Roman" w:eastAsia="Times New Roman" w:hAnsi="Times New Roman"/>
          <w:sz w:val="20"/>
          <w:szCs w:val="20"/>
          <w:color w:val="auto"/>
        </w:rPr>
        <w:t>Our total cash balance at December 31, 2025 reflected cash flows provided by operating activities totaling $64.6 million during the year ended December 31, 2025, compared to cash flows provided by operating activities totaling $59.9 million for the year ended December 31, 2024, an increase of $4.7 million. The increase in operating cash flows is primarily attributable to higher operating income from the Company’s income property portfolio, as a result of overall growth and lease-up activities, and increased income from its commercial loans and investments, partially offset by increases in interest expense and general and administrative expenses.</w:t>
      </w:r>
    </w:p>
    <w:p>
      <w:pPr>
        <w:spacing w:after="0" w:line="376" w:lineRule="exact"/>
        <w:rPr>
          <w:sz w:val="20"/>
          <w:szCs w:val="20"/>
          <w:color w:val="auto"/>
        </w:rPr>
      </w:pPr>
    </w:p>
    <w:p>
      <w:pPr>
        <w:ind w:firstLine="399"/>
        <w:spacing w:after="0" w:line="267" w:lineRule="auto"/>
        <w:rPr>
          <w:sz w:val="20"/>
          <w:szCs w:val="20"/>
          <w:color w:val="auto"/>
        </w:rPr>
      </w:pPr>
      <w:r>
        <w:rPr>
          <w:rFonts w:ascii="Times New Roman" w:cs="Times New Roman" w:eastAsia="Times New Roman" w:hAnsi="Times New Roman"/>
          <w:sz w:val="20"/>
          <w:szCs w:val="20"/>
          <w:color w:val="auto"/>
        </w:rPr>
        <w:t>Our cash flows used in investing activities totaled $71.5 million and $232.7 million for the years ended December 31, 2025 and 2024, respectively, representing a decrease of $161.2 million. The decrease is primarily attributable to (i) a net decrease in cash outflows of $126.5 million related to property transactions, reflecting lower acquisition activity offset by increased proceeds from dispositions, and (ii) $44.5 million of lower net funding of the Company’s commercial loans and investments portfolio, reflecting increased principal repayments received on such investments.</w:t>
      </w:r>
    </w:p>
    <w:p>
      <w:pPr>
        <w:spacing w:after="0" w:line="121"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20"/>
          <w:szCs w:val="20"/>
          <w:color w:val="auto"/>
        </w:rPr>
        <w:t>Our cash flows provided by financing activities totaled $30.7 million and $172.3 million for the years ended December 31, 2025 and 2024, respectively, representing a decrease of $141.6 million. The decrease is primarily attributable to $165.0 million of lower proceeds from common and preferred stock issuances under the Company’s ATM programs and a $33.0 million reduction in proceeds from preferred equity issuances. Cash flows were further reduced by a $14.1 million premium paid in connection with the settlement of the 2025 Notes, an $8.7 million increase in common stock repurchase activity, and a $9.5 million increase, compared to the prior year, in aggregate common and preferred dividends paid during the year ended December 31, 2025. These decreases were partially offset by a net increase of $88.7 million in long-term debt during the year ended December 31, 2025.</w:t>
      </w:r>
    </w:p>
    <w:p>
      <w:pPr>
        <w:spacing w:after="0" w:line="128" w:lineRule="exact"/>
        <w:rPr>
          <w:sz w:val="20"/>
          <w:szCs w:val="20"/>
          <w:color w:val="auto"/>
        </w:rPr>
      </w:pPr>
    </w:p>
    <w:p>
      <w:pPr>
        <w:ind w:right="120" w:firstLine="399"/>
        <w:spacing w:after="0" w:line="294" w:lineRule="auto"/>
        <w:rPr>
          <w:sz w:val="20"/>
          <w:szCs w:val="20"/>
          <w:color w:val="auto"/>
        </w:rPr>
      </w:pPr>
      <w:r>
        <w:rPr>
          <w:rFonts w:ascii="Times New Roman" w:cs="Times New Roman" w:eastAsia="Times New Roman" w:hAnsi="Times New Roman"/>
          <w:sz w:val="20"/>
          <w:szCs w:val="20"/>
          <w:color w:val="auto"/>
        </w:rPr>
        <w:t>See Note 16, “Long-Term Debt” in the notes to the consolidated financial statements in Item 8 for the Company’s disclosure related to its long-term debt balance at December 31, 2025.</w:t>
      </w:r>
    </w:p>
    <w:p>
      <w:pPr>
        <w:spacing w:after="0" w:line="95" w:lineRule="exact"/>
        <w:rPr>
          <w:sz w:val="20"/>
          <w:szCs w:val="20"/>
          <w:color w:val="auto"/>
        </w:rPr>
      </w:pPr>
    </w:p>
    <w:p>
      <w:pPr>
        <w:ind w:left="380"/>
        <w:spacing w:after="0"/>
        <w:tabs>
          <w:tab w:leader="none" w:pos="3000" w:val="left"/>
        </w:tabs>
        <w:rPr>
          <w:sz w:val="20"/>
          <w:szCs w:val="20"/>
          <w:color w:val="auto"/>
        </w:rPr>
      </w:pPr>
      <w:r>
        <w:rPr>
          <w:rFonts w:ascii="Times New Roman" w:cs="Times New Roman" w:eastAsia="Times New Roman" w:hAnsi="Times New Roman"/>
          <w:sz w:val="20"/>
          <w:szCs w:val="20"/>
          <w:i w:val="1"/>
          <w:iCs w:val="1"/>
          <w:color w:val="auto"/>
        </w:rPr>
        <w:t>Acquisitions and Investments.</w:t>
      </w:r>
      <w:r>
        <w:rPr>
          <w:sz w:val="20"/>
          <w:szCs w:val="20"/>
          <w:color w:val="auto"/>
        </w:rPr>
        <w:tab/>
      </w:r>
      <w:r>
        <w:rPr>
          <w:rFonts w:ascii="Times New Roman" w:cs="Times New Roman" w:eastAsia="Times New Roman" w:hAnsi="Times New Roman"/>
          <w:sz w:val="20"/>
          <w:szCs w:val="20"/>
          <w:color w:val="auto"/>
        </w:rPr>
        <w:t>During the year ended December 31, 2025, the Company acquired two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shopping centers for an aggregate purchase price of $144.9 million, or a total acquisition cost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$145.1 million, as further described in Note 3, “Income Properties” in the notes to the consolidated financial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in Item 8.</w:t>
      </w:r>
    </w:p>
    <w:p>
      <w:pPr>
        <w:spacing w:after="0" w:line="179" w:lineRule="exact"/>
        <w:rPr>
          <w:sz w:val="20"/>
          <w:szCs w:val="20"/>
          <w:color w:val="auto"/>
        </w:rPr>
      </w:pPr>
    </w:p>
    <w:p>
      <w:pPr>
        <w:ind w:firstLine="399"/>
        <w:spacing w:after="0" w:line="271" w:lineRule="auto"/>
        <w:rPr>
          <w:sz w:val="20"/>
          <w:szCs w:val="20"/>
          <w:color w:val="auto"/>
        </w:rPr>
      </w:pPr>
      <w:r>
        <w:rPr>
          <w:rFonts w:ascii="Times New Roman" w:cs="Times New Roman" w:eastAsia="Times New Roman" w:hAnsi="Times New Roman"/>
          <w:sz w:val="20"/>
          <w:szCs w:val="20"/>
          <w:color w:val="auto"/>
        </w:rPr>
        <w:t>We expect to fund future acquisitions utilizing cash on hand, cash from operations, proceeds from the dispositions of income properties through Section 1031 like-kind exchanges, and borrowings on our Credit Facility, if available and additional financing sources. We expect dispositions of income properties will qualify under the like-kind exchange deferred-tax structure.</w:t>
      </w:r>
    </w:p>
    <w:p>
      <w:pPr>
        <w:spacing w:after="0" w:line="119" w:lineRule="exact"/>
        <w:rPr>
          <w:sz w:val="20"/>
          <w:szCs w:val="20"/>
          <w:color w:val="auto"/>
        </w:rPr>
      </w:pPr>
    </w:p>
    <w:p>
      <w:pPr>
        <w:jc w:val="center"/>
        <w:spacing w:after="0" w:line="292" w:lineRule="auto"/>
        <w:rPr>
          <w:sz w:val="20"/>
          <w:szCs w:val="20"/>
          <w:color w:val="auto"/>
        </w:rPr>
      </w:pPr>
      <w:r>
        <w:rPr>
          <w:rFonts w:ascii="Times New Roman" w:cs="Times New Roman" w:eastAsia="Times New Roman" w:hAnsi="Times New Roman"/>
          <w:sz w:val="20"/>
          <w:szCs w:val="20"/>
          <w:i w:val="1"/>
          <w:iCs w:val="1"/>
          <w:color w:val="auto"/>
        </w:rPr>
        <w:t xml:space="preserve">Dispositions.  </w:t>
      </w:r>
      <w:r>
        <w:rPr>
          <w:rFonts w:ascii="Times New Roman" w:cs="Times New Roman" w:eastAsia="Times New Roman" w:hAnsi="Times New Roman"/>
          <w:sz w:val="20"/>
          <w:szCs w:val="20"/>
          <w:color w:val="auto"/>
        </w:rPr>
        <w:t>During the year ended December 31, 2025, the Company sold four properties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aggregate sales price of $85.1 million. The sales of the properties generated aggregate gains of $21.0 million.</w:t>
      </w:r>
    </w:p>
    <w:p>
      <w:pPr>
        <w:spacing w:after="0" w:line="95" w:lineRule="exact"/>
        <w:rPr>
          <w:sz w:val="20"/>
          <w:szCs w:val="20"/>
          <w:color w:val="auto"/>
        </w:rPr>
      </w:pPr>
    </w:p>
    <w:p>
      <w:pPr>
        <w:jc w:val="both"/>
        <w:ind w:right="260" w:firstLine="399"/>
        <w:spacing w:after="0" w:line="275" w:lineRule="auto"/>
        <w:rPr>
          <w:sz w:val="20"/>
          <w:szCs w:val="20"/>
          <w:color w:val="auto"/>
        </w:rPr>
      </w:pPr>
      <w:r>
        <w:rPr>
          <w:rFonts w:ascii="Times New Roman" w:cs="Times New Roman" w:eastAsia="Times New Roman" w:hAnsi="Times New Roman"/>
          <w:sz w:val="20"/>
          <w:szCs w:val="20"/>
          <w:i w:val="1"/>
          <w:iCs w:val="1"/>
          <w:color w:val="auto"/>
        </w:rPr>
        <w:t xml:space="preserve">Contractual Obligations. </w:t>
      </w:r>
      <w:r>
        <w:rPr>
          <w:rFonts w:ascii="Times New Roman" w:cs="Times New Roman" w:eastAsia="Times New Roman" w:hAnsi="Times New Roman"/>
          <w:sz w:val="20"/>
          <w:szCs w:val="20"/>
          <w:color w:val="auto"/>
        </w:rPr>
        <w:t>The Company has committed to fund the following capital improvements.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improvements, which are related to several properties, are estimated to be generally completed within twelve months. These commitments, as of December 31, 2025, are as follows (in thousands):</w:t>
      </w:r>
    </w:p>
    <w:p>
      <w:pPr>
        <w:sectPr>
          <w:pgSz w:w="11880" w:h="15480" w:orient="portrait"/>
          <w:cols w:equalWidth="0" w:num="1">
            <w:col w:w="9100"/>
          </w:cols>
          <w:pgMar w:left="1400" w:top="1023" w:right="1380" w:bottom="68" w:gutter="0" w:footer="0" w:header="0"/>
        </w:sect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100"/>
          </w:cols>
          <w:pgMar w:left="1400" w:top="1023" w:right="1380" w:bottom="68" w:gutter="0" w:footer="0" w:header="0"/>
          <w:type w:val="continuous"/>
        </w:sectPr>
      </w:pPr>
    </w:p>
    <w:bookmarkStart w:id="64" w:name="page65"/>
    <w:bookmarkEnd w:id="64"/>
    <w:tbl>
      <w:tblPr>
        <w:tblLayout w:type="fixed"/>
        <w:tblInd w:w="1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40" w:type="dxa"/>
            <w:vAlign w:val="bottom"/>
            <w:gridSpan w:val="4"/>
          </w:tcPr>
          <w:p>
            <w:pPr>
              <w:jc w:val="center"/>
              <w:ind w:left="34"/>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900" w:type="dxa"/>
            <w:vAlign w:val="bottom"/>
            <w:gridSpan w:val="3"/>
          </w:tcPr>
          <w:p>
            <w:pPr>
              <w:jc w:val="center"/>
              <w:ind w:left="1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660" w:type="dxa"/>
            <w:vAlign w:val="bottom"/>
            <w:gridSpan w:val="2"/>
            <w:vMerge w:val="restart"/>
          </w:tcPr>
          <w:p>
            <w:pPr>
              <w:jc w:val="right"/>
              <w:ind w:right="5480"/>
              <w:spacing w:after="0"/>
              <w:rPr>
                <w:sz w:val="20"/>
                <w:szCs w:val="20"/>
                <w:color w:val="auto"/>
              </w:rPr>
            </w:pPr>
            <w:r>
              <w:rPr>
                <w:rFonts w:ascii="Times New Roman" w:cs="Times New Roman" w:eastAsia="Times New Roman" w:hAnsi="Times New Roman"/>
                <w:sz w:val="20"/>
                <w:szCs w:val="20"/>
                <w:color w:val="auto"/>
              </w:rPr>
              <w:t>Total Commitment</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0"/>
        </w:trPr>
        <w:tc>
          <w:tcPr>
            <w:tcW w:w="7660" w:type="dxa"/>
            <w:vAlign w:val="bottom"/>
            <w:gridSpan w:val="2"/>
            <w:vMerge w:val="continue"/>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$23,105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Less Amount Funded . . . . . . . . . . . . . . . . . . . . . . . . . . . . . . . . . . . . . . . . . . . .</w:t>
            </w:r>
          </w:p>
        </w:tc>
        <w:tc>
          <w:tcPr>
            <w:tcW w:w="240" w:type="dxa"/>
            <w:vAlign w:val="bottom"/>
            <w:gridSpan w:val="2"/>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(2,612)</w:t>
            </w:r>
          </w:p>
        </w:tc>
        <w:tc>
          <w:tcPr>
            <w:tcW w:w="0" w:type="dxa"/>
            <w:vAlign w:val="bottom"/>
          </w:tcPr>
          <w:p>
            <w:pPr>
              <w:spacing w:after="0"/>
              <w:rPr>
                <w:sz w:val="1"/>
                <w:szCs w:val="1"/>
                <w:color w:val="auto"/>
              </w:rPr>
            </w:pPr>
          </w:p>
        </w:tc>
      </w:tr>
      <w:tr>
        <w:trPr>
          <w:trHeight w:val="289"/>
        </w:trPr>
        <w:tc>
          <w:tcPr>
            <w:tcW w:w="7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Remaining Commitment . . . . . . . . . . . . . . . . . . . . . . . . . . . . . . . . . . . . . . . . . .</w:t>
            </w:r>
          </w:p>
        </w:tc>
        <w:tc>
          <w:tcPr>
            <w:tcW w:w="240" w:type="dxa"/>
            <w:vAlign w:val="bottom"/>
            <w:gridSpan w:val="2"/>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$20,493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auto"/>
            </w:tcBorders>
          </w:tcPr>
          <w:p>
            <w:pPr>
              <w:spacing w:after="0"/>
              <w:rPr>
                <w:sz w:val="17"/>
                <w:szCs w:val="17"/>
                <w:color w:val="auto"/>
              </w:rPr>
            </w:pPr>
          </w:p>
        </w:tc>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90" w:hanging="390"/>
        <w:spacing w:after="0"/>
        <w:tabs>
          <w:tab w:leader="none" w:pos="39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includes tenant improvements, leasing commissions, rebranding, facility expansion and other capital improvements.</w:t>
      </w:r>
    </w:p>
    <w:p>
      <w:pPr>
        <w:spacing w:after="0" w:line="171" w:lineRule="exact"/>
        <w:rPr>
          <w:sz w:val="20"/>
          <w:szCs w:val="20"/>
          <w:color w:val="auto"/>
        </w:rPr>
      </w:pPr>
    </w:p>
    <w:p>
      <w:pPr>
        <w:ind w:left="10" w:firstLine="399"/>
        <w:spacing w:after="0" w:line="250" w:lineRule="auto"/>
        <w:rPr>
          <w:sz w:val="20"/>
          <w:szCs w:val="20"/>
          <w:color w:val="auto"/>
        </w:rPr>
      </w:pPr>
      <w:r>
        <w:rPr>
          <w:rFonts w:ascii="Times New Roman" w:cs="Times New Roman" w:eastAsia="Times New Roman" w:hAnsi="Times New Roman"/>
          <w:sz w:val="20"/>
          <w:szCs w:val="20"/>
          <w:color w:val="auto"/>
        </w:rPr>
        <w:t>The Company has unfunded loan commitments under two construction loans as described in Note 4, “Commercial Loans and Investments.” The unfunded portion of these construction loans totaled $51.6 million as of December 31, 2025. The Company is also contractually obligated under its various long-term debt and operating lease agreements. The company is obligated to repay an aggregate principal amount of $17.8 million within one year on August 1, 2026. Additionally, the Company has remaining obligations under these agreements totaling $601.0 million, which are due beyond one year.</w:t>
      </w:r>
    </w:p>
    <w:p>
      <w:pPr>
        <w:spacing w:after="0" w:line="12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As of December 31, 2025, we have no other contractual requirements to make capital expenditures.</w:t>
      </w:r>
    </w:p>
    <w:p>
      <w:pPr>
        <w:spacing w:after="0" w:line="162" w:lineRule="exact"/>
        <w:rPr>
          <w:sz w:val="20"/>
          <w:szCs w:val="20"/>
          <w:color w:val="auto"/>
        </w:rPr>
      </w:pPr>
    </w:p>
    <w:p>
      <w:pPr>
        <w:ind w:left="390"/>
        <w:spacing w:after="0"/>
        <w:tabs>
          <w:tab w:leader="none" w:pos="1809" w:val="left"/>
        </w:tabs>
        <w:rPr>
          <w:sz w:val="20"/>
          <w:szCs w:val="20"/>
          <w:color w:val="auto"/>
        </w:rPr>
      </w:pPr>
      <w:r>
        <w:rPr>
          <w:rFonts w:ascii="Times New Roman" w:cs="Times New Roman" w:eastAsia="Times New Roman" w:hAnsi="Times New Roman"/>
          <w:sz w:val="20"/>
          <w:szCs w:val="20"/>
          <w:i w:val="1"/>
          <w:iCs w:val="1"/>
          <w:color w:val="auto"/>
        </w:rPr>
        <w:t>Other Matters.</w:t>
      </w:r>
      <w:r>
        <w:rPr>
          <w:sz w:val="20"/>
          <w:szCs w:val="20"/>
          <w:color w:val="auto"/>
        </w:rPr>
        <w:tab/>
      </w:r>
      <w:r>
        <w:rPr>
          <w:rFonts w:ascii="Times New Roman" w:cs="Times New Roman" w:eastAsia="Times New Roman" w:hAnsi="Times New Roman"/>
          <w:sz w:val="20"/>
          <w:szCs w:val="20"/>
          <w:color w:val="auto"/>
        </w:rPr>
        <w:t>We believe we will have sufficient liquidity to fund our operations, capital requirements,</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maintenance, and debt service requirements over the next twelve months and into the foreseeable future, with</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cash on hand, cash flow from our operations, $216.5 million of availability remaining under our</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$250.0 million “at-the-market” equity offering program, and $149.0 million of undrawn commitments</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available on the existing $300.0 million Credit Facility as of December 31, 2025.</w:t>
      </w:r>
    </w:p>
    <w:p>
      <w:pPr>
        <w:spacing w:after="0" w:line="2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65" w:lineRule="exact"/>
        <w:rPr>
          <w:sz w:val="20"/>
          <w:szCs w:val="20"/>
          <w:color w:val="auto"/>
        </w:rPr>
      </w:pPr>
    </w:p>
    <w:p>
      <w:pPr>
        <w:ind w:left="10" w:firstLine="399"/>
        <w:spacing w:after="0" w:line="247" w:lineRule="auto"/>
        <w:rPr>
          <w:sz w:val="20"/>
          <w:szCs w:val="20"/>
          <w:color w:val="auto"/>
        </w:rPr>
      </w:pPr>
      <w:r>
        <w:rPr>
          <w:rFonts w:ascii="Times New Roman" w:cs="Times New Roman" w:eastAsia="Times New Roman" w:hAnsi="Times New Roman"/>
          <w:sz w:val="20"/>
          <w:szCs w:val="20"/>
          <w:color w:val="auto"/>
        </w:rPr>
        <w:t>In February 2020, the Board approved a $10.0 million common stock repurchase program (the “$10.0 Million Common Stock Repurchase Program”). During the year ended December 31, 2020, the Company repurchased 265,695 shares of its common stock on the open market for a total cost of $4.1 million, or an average price per share of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average price per share of $19.15. No repurchases were made pursuant to the $10.0 Million Common Stock Repurchase Program during the year ended December 31, 2023.</w:t>
      </w:r>
    </w:p>
    <w:p>
      <w:pPr>
        <w:spacing w:after="0" w:line="131"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On February 16, 2023, the Board approved a common stock repurchase program (the “February 2023</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$5.0 Million Common Stock Repurchase Program”), which eliminated the unutilized portion of the</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$10.0 Million Common Stock Repurchase Program. Pursuant to the February 2023 $5.0 Million Common</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Stock Repurchase Program, the Company was authorized to repurchase shares of its common stock for a</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total purchase price of up to $5.0 million. During the year ended December 31, 2023, prior to March 31,</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2023, the Company repurchased 303,354 shares of its common stock on the open market for a total cost of</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$5.0 million, or an average price per share of $16.48, pursuant to the February 2023 $5.0 Million Common</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Stock Repurchase Program. Accordingly, as of March 31, 2023, no shares of the Company’s common</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stock remained available for repurchase under the February 2023 $5.0 Million Common Stock Repurchase</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Program.</w:t>
      </w:r>
    </w:p>
    <w:p>
      <w:pPr>
        <w:spacing w:after="0" w:line="163" w:lineRule="exact"/>
        <w:rPr>
          <w:sz w:val="20"/>
          <w:szCs w:val="20"/>
          <w:color w:val="auto"/>
        </w:rPr>
      </w:pPr>
    </w:p>
    <w:p>
      <w:pPr>
        <w:ind w:left="10" w:firstLine="399"/>
        <w:spacing w:after="0" w:line="250" w:lineRule="auto"/>
        <w:rPr>
          <w:sz w:val="20"/>
          <w:szCs w:val="20"/>
          <w:color w:val="auto"/>
        </w:rPr>
      </w:pPr>
      <w:r>
        <w:rPr>
          <w:rFonts w:ascii="Times New Roman" w:cs="Times New Roman" w:eastAsia="Times New Roman" w:hAnsi="Times New Roman"/>
          <w:sz w:val="20"/>
          <w:szCs w:val="20"/>
          <w:color w:val="auto"/>
        </w:rPr>
        <w:t>On April 25, 2023, the Company’s Board of Directors approved a common stock repurchase program, (the “April 2023 $5.0 Million Common Stock Repurchase Program”). Pursuant to the April 2023 $5.0 Million Common Stock Repurchase Program, the Company was authorized to repurchase shares of its common stock for a total purchase price of up to $5.0 million. During the year ended December 31, 2023, the Company repurchased 65,946 shares of its common stock on the open market for a total cost of $1.0 million, or an average price per share of $15.72. The April 2023 $5.0 Million Common Stock Repurchase Program was terminated in connection with the establishment of the December 2023 $5.0 Million Common Stock Repurchase Program (hereinafter defined).</w:t>
      </w:r>
    </w:p>
    <w:p>
      <w:pPr>
        <w:spacing w:after="0" w:line="127" w:lineRule="exact"/>
        <w:rPr>
          <w:sz w:val="20"/>
          <w:szCs w:val="20"/>
          <w:color w:val="auto"/>
        </w:rPr>
      </w:pPr>
    </w:p>
    <w:p>
      <w:pPr>
        <w:ind w:left="10" w:right="500" w:firstLine="399"/>
        <w:spacing w:after="0" w:line="279" w:lineRule="auto"/>
        <w:rPr>
          <w:sz w:val="20"/>
          <w:szCs w:val="20"/>
          <w:color w:val="auto"/>
        </w:rPr>
      </w:pPr>
      <w:r>
        <w:rPr>
          <w:rFonts w:ascii="Times New Roman" w:cs="Times New Roman" w:eastAsia="Times New Roman" w:hAnsi="Times New Roman"/>
          <w:sz w:val="20"/>
          <w:szCs w:val="20"/>
          <w:color w:val="auto"/>
        </w:rPr>
        <w:t>On December 12, 2023, the Company’s Board of Directors approved a common stock repurchase program (the “December 2023 $5.0 Million Common Stock Repurchase Program”). Pursuant to the</w:t>
      </w:r>
    </w:p>
    <w:p>
      <w:pPr>
        <w:sectPr>
          <w:pgSz w:w="11880" w:h="15480" w:orient="portrait"/>
          <w:cols w:equalWidth="0" w:num="1">
            <w:col w:w="9110"/>
          </w:cols>
          <w:pgMar w:left="1390" w:top="1017" w:right="1380" w:bottom="71" w:gutter="0" w:footer="0" w:header="0"/>
        </w:sectPr>
      </w:pPr>
    </w:p>
    <w:p>
      <w:pPr>
        <w:spacing w:after="0" w:line="25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110"/>
          </w:cols>
          <w:pgMar w:left="1390" w:top="1017" w:right="1380" w:bottom="71"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color w:val="auto"/>
        </w:rPr>
        <w:t>December 2023 $5.0 Million Common Stock Repurchase Program, the Company was authorized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repurchase shares of its common stock for a total purchase price of up to $5.0 million. During the year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ended December 31, 2024, the Company repurchased 40,726 shares of its common stock on the open market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 total cost of $0.7 million, or an average price per share of $16.28 pursuant to the December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 Million Common Stock Repurchase Program. During the year ended December 31, 2025, the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repurchased 266,161 shares of its common stock on the open market for a total cost of $4.3 million, or 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average price per share of $16.29 pursuant to the December 2023 $5.0 Million Common Stock Repurchase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Program. Accordingly, as of the date that the Company’s Board of Directors established the September 2025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Million Common Stock Repurchase Program (hereinafter defined), no shares of the Company’s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remained available for repurchase under the December 2023 $5.0 Million Common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Repurchase Program.</w:t>
      </w:r>
    </w:p>
    <w:p>
      <w:pPr>
        <w:spacing w:after="0" w:line="167"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On September 24, 2025, the Company’s Board of Directors approved a common stock repurchase program, which is expected to be in effect until the approved dollar amount has been used to repurchase shares (the “September 2025 $10.0 Million Common Stock Repurchase Program”). Pursuant to the September 2025 $10.0 Million Common Stock Repurchase Program, the Company may repurchase shares of its common stock for a total purchase price of up to $10.0 million. Shares may be purchased under the September 2025 $10.0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September 2025 $10.0 Million Common Stock Repurchase Program does not obligate the Company to acquire any particular amount of shares of its common stock and may be modified or suspended. During the year ended December 31, 2025, the Company repurchased 307,563 shares of its common stock on the open market for a total cost of $5.0 million, or an average price per share of $16.26 under the September 2025 $10 Million Common Stock Repurchase Program. As of December 31, 2025, $5.0 million remained available for repurchases under the September 2025 $10 Million Common Stock Repurchase Program.</w:t>
      </w:r>
    </w:p>
    <w:p>
      <w:pPr>
        <w:spacing w:after="0" w:line="368"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20"/>
          <w:szCs w:val="20"/>
          <w:color w:val="auto"/>
        </w:rPr>
        <w:t>In the aggregate, under the December 2023 $5.0 Million Common Stock Repurchase Program and September 2025 $10.0 Million Common Stock Repurchase Program, the Company repurchased 573,724 shares of its common stock on the open market for a total cost of $9.3 million, or an average price per share of $16.27 during the year ended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SERIES A PREFERRED STOCK REPURCHASE PROGRAM</w:t>
      </w:r>
    </w:p>
    <w:p>
      <w:pPr>
        <w:spacing w:after="0" w:line="165" w:lineRule="exact"/>
        <w:rPr>
          <w:sz w:val="20"/>
          <w:szCs w:val="20"/>
          <w:color w:val="auto"/>
        </w:rPr>
      </w:pPr>
    </w:p>
    <w:p>
      <w:pPr>
        <w:ind w:right="20" w:firstLine="399"/>
        <w:spacing w:after="0" w:line="249" w:lineRule="auto"/>
        <w:rPr>
          <w:sz w:val="20"/>
          <w:szCs w:val="20"/>
          <w:color w:val="auto"/>
        </w:rPr>
      </w:pPr>
      <w:r>
        <w:rPr>
          <w:rFonts w:ascii="Times New Roman" w:cs="Times New Roman" w:eastAsia="Times New Roman" w:hAnsi="Times New Roman"/>
          <w:sz w:val="20"/>
          <w:szCs w:val="20"/>
          <w:color w:val="auto"/>
        </w:rPr>
        <w:t>On February 16, 2023, the Board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year ended December 31, 2023, the Company repurchased 21,192 shares of Series A Preferred Stock on the open market for a total cost of $0.4 million, or an average price per share of $18.45. The Company did not purchase any shares of its Series A Preferred Stock under the Series A Preferred Stock Repurchase Program during the years ended December 31, 2025 and 2024.</w:t>
      </w:r>
    </w:p>
    <w:p>
      <w:pPr>
        <w:spacing w:after="0" w:line="124" w:lineRule="exact"/>
        <w:rPr>
          <w:sz w:val="20"/>
          <w:szCs w:val="20"/>
          <w:color w:val="auto"/>
        </w:rPr>
      </w:pPr>
    </w:p>
    <w:p>
      <w:pPr>
        <w:jc w:val="both"/>
        <w:ind w:right="40" w:firstLine="399"/>
        <w:spacing w:after="0" w:line="249" w:lineRule="auto"/>
        <w:rPr>
          <w:sz w:val="20"/>
          <w:szCs w:val="20"/>
          <w:color w:val="auto"/>
        </w:rPr>
      </w:pPr>
      <w:r>
        <w:rPr>
          <w:rFonts w:ascii="Times New Roman" w:cs="Times New Roman" w:eastAsia="Times New Roman" w:hAnsi="Times New Roman"/>
          <w:sz w:val="20"/>
          <w:szCs w:val="20"/>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w:t>
      </w:r>
    </w:p>
    <w:p>
      <w:pPr>
        <w:spacing w:after="0" w:line="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ectPr>
          <w:pgSz w:w="11880" w:h="15480" w:orient="portrait"/>
          <w:cols w:equalWidth="0" w:num="1">
            <w:col w:w="9100"/>
          </w:cols>
          <w:pgMar w:left="1400" w:top="1025" w:right="1380" w:bottom="70" w:gutter="0" w:footer="0" w:header="0"/>
        </w:sect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100"/>
          </w:cols>
          <w:pgMar w:left="1400" w:top="1025" w:right="1380" w:bottom="7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71" w:lineRule="exact"/>
        <w:rPr>
          <w:sz w:val="20"/>
          <w:szCs w:val="20"/>
          <w:color w:val="auto"/>
        </w:rPr>
      </w:pPr>
    </w:p>
    <w:p>
      <w:pPr>
        <w:jc w:val="both"/>
        <w:ind w:right="40" w:firstLine="399"/>
        <w:spacing w:after="0" w:line="262" w:lineRule="auto"/>
        <w:rPr>
          <w:sz w:val="20"/>
          <w:szCs w:val="20"/>
          <w:color w:val="auto"/>
        </w:rPr>
      </w:pPr>
      <w:r>
        <w:rPr>
          <w:rFonts w:ascii="Times New Roman" w:cs="Times New Roman" w:eastAsia="Times New Roman" w:hAnsi="Times New Roman"/>
          <w:sz w:val="20"/>
          <w:szCs w:val="20"/>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13" w:lineRule="exact"/>
        <w:rPr>
          <w:sz w:val="20"/>
          <w:szCs w:val="20"/>
          <w:color w:val="auto"/>
        </w:rPr>
      </w:pPr>
    </w:p>
    <w:p>
      <w:pPr>
        <w:ind w:left="380"/>
        <w:spacing w:after="0"/>
        <w:tabs>
          <w:tab w:leader="none" w:pos="6520" w:val="left"/>
        </w:tabs>
        <w:rPr>
          <w:sz w:val="20"/>
          <w:szCs w:val="20"/>
          <w:color w:val="auto"/>
        </w:rPr>
      </w:pPr>
      <w:r>
        <w:rPr>
          <w:rFonts w:ascii="Times New Roman" w:cs="Times New Roman" w:eastAsia="Times New Roman" w:hAnsi="Times New Roman"/>
          <w:sz w:val="20"/>
          <w:szCs w:val="20"/>
          <w:i w:val="1"/>
          <w:iCs w:val="1"/>
          <w:color w:val="auto"/>
        </w:rPr>
        <w:t>Purchase Accounting for Acquisitions of Real Estate Subject to a Lease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As required by U.S. GAAP,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the real estate acquired with in-place leases is allocated to the acquired tangible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consisting of land, building and tenant improvements, and identified intangible assets and liabilities,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consisting of the value of above-market and below-market leases, the value of in-place leases, and the value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leasing costs, based in each case on their relative fair values. In allocating the fair value of the identified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assets and liabilities of an acquired property, above-market and below-market in-place lease values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 recorded as other assets or liabilities based on the present value. The assumptions underlying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allocation of relative fair values are based on market information including, but not limited to: (i) the estimate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replacement cost of improvements under the cost approach, (ii) the estimate of land values based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comparable sales under the sales comparison approach, and (iii) the estimate of future benefits determined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either a reasonable rate of return over a single year’s net cash flow, or a forecast of net cash flows projected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 a reasonable investment horizon under the income capitalization approach. The underlying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assumptions are subject to uncertainty and thus any changes to the allocation of fair value to each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various line items within the Company’s consolidated balance sheets could have an impact on the Company’s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condition as well as results of operations due to resulting changes in depreciation and amortization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of the fair value allocation. The acquisitions of real estate subject to this estimate totaled two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shopping centers for an aggregate purchase price of $144.9 million, or a total acquisition cost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$145.1 million, for the year ended December 31, 2025, and five shopping centers, one building within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shopping center owned by the Company, and one vacant land parcel within an existing shopping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center owned by the Company for an aggregate purchase price of $226.8 million, or a total acquisition cost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$224.4 million, for the year ended December 31, 2024.</w:t>
      </w:r>
    </w:p>
    <w:p>
      <w:pPr>
        <w:spacing w:after="0" w:line="165" w:lineRule="exact"/>
        <w:rPr>
          <w:sz w:val="20"/>
          <w:szCs w:val="20"/>
          <w:color w:val="auto"/>
        </w:rPr>
      </w:pPr>
    </w:p>
    <w:p>
      <w:pPr>
        <w:ind w:right="260" w:firstLine="399"/>
        <w:spacing w:after="0" w:line="282" w:lineRule="auto"/>
        <w:rPr>
          <w:sz w:val="20"/>
          <w:szCs w:val="20"/>
          <w:color w:val="auto"/>
        </w:rPr>
      </w:pPr>
      <w:r>
        <w:rPr>
          <w:rFonts w:ascii="Times New Roman" w:cs="Times New Roman" w:eastAsia="Times New Roman" w:hAnsi="Times New Roman"/>
          <w:sz w:val="20"/>
          <w:szCs w:val="20"/>
          <w:color w:val="auto"/>
        </w:rPr>
        <w:t>See Note 2, “Summary of Significant Accounting Policies”, for further discussion of the Company’s accounting estimates and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71" w:lineRule="exact"/>
        <w:rPr>
          <w:sz w:val="20"/>
          <w:szCs w:val="20"/>
          <w:color w:val="auto"/>
        </w:rPr>
      </w:pPr>
    </w:p>
    <w:p>
      <w:pPr>
        <w:ind w:right="20" w:firstLine="399"/>
        <w:spacing w:after="0" w:line="257" w:lineRule="auto"/>
        <w:rPr>
          <w:sz w:val="20"/>
          <w:szCs w:val="20"/>
          <w:color w:val="auto"/>
        </w:rPr>
      </w:pPr>
      <w:r>
        <w:rPr>
          <w:rFonts w:ascii="Times New Roman" w:cs="Times New Roman" w:eastAsia="Times New Roman" w:hAnsi="Times New Roman"/>
          <w:sz w:val="20"/>
          <w:szCs w:val="20"/>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3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are primarily exposed to interest rate risk relating to our own debt in connection with our Credit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 as this facility carries a variable rate of interest. Our borrowings on our $300.0 million Credit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 bear interest at a rate ranging from SOFR plus 0.10% plus 125 basis points to SOFR plus 0.10%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plus 220 basis points based on our level of borrowing as a percentage of our total asset value. As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the outstanding balance on our Credit Facility totaled $151.0 million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$87.0 million, of which $86.0 million and $37.0 million, respectively, were not fixed by virtue of an interest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 swap agreement. A hypothetical change in the interest rate of 100 basis points (i.e., 1%) would affect 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position, results of operations, and cash flows by $0.9 million and $0.4 million as of December 31,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and 2024, respectively. The Company entered into interest rate swap agreements to hedge against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future cash flows resulting from fluctuating interest rates related to certain of its debt borrowings,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17, “Interest Rate Swaps” in the notes to the consolidated financial statements in Item 8. By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virtue of fixing the variable rate on certain debt borrowings, our exposure to changes in interest rates 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minimal but for the impact on other comprehensive income and loss. Management’s objective is to limit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impact of interest rate changes on earnings and cash flows and to manage our overall borrowing costs.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71" w:lineRule="exact"/>
        <w:rPr>
          <w:sz w:val="20"/>
          <w:szCs w:val="20"/>
          <w:color w:val="auto"/>
        </w:rPr>
      </w:pPr>
    </w:p>
    <w:p>
      <w:pPr>
        <w:ind w:right="400" w:firstLine="399"/>
        <w:spacing w:after="0" w:line="282" w:lineRule="auto"/>
        <w:rPr>
          <w:sz w:val="20"/>
          <w:szCs w:val="20"/>
          <w:color w:val="auto"/>
        </w:rPr>
      </w:pPr>
      <w:r>
        <w:rPr>
          <w:rFonts w:ascii="Times New Roman" w:cs="Times New Roman" w:eastAsia="Times New Roman" w:hAnsi="Times New Roman"/>
          <w:sz w:val="20"/>
          <w:szCs w:val="20"/>
          <w:color w:val="auto"/>
        </w:rPr>
        <w:t>The Company’s consolidated financial statements appear beginning on page F-1 of this report. See Item 15 of this report.</w:t>
      </w:r>
    </w:p>
    <w:p>
      <w:pPr>
        <w:sectPr>
          <w:pgSz w:w="11880" w:h="15480" w:orient="portrait"/>
          <w:cols w:equalWidth="0" w:num="1">
            <w:col w:w="9100"/>
          </w:cols>
          <w:pgMar w:left="1400" w:top="1023" w:right="1380" w:bottom="71" w:gutter="0" w:footer="0" w:header="0"/>
        </w:sect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100"/>
          </w:cols>
          <w:pgMar w:left="1400" w:top="1023" w:right="1380" w:bottom="71" w:gutter="0" w:footer="0" w:header="0"/>
          <w:type w:val="continuous"/>
        </w:sectPr>
      </w:pPr>
    </w:p>
    <w:bookmarkStart w:id="67" w:name="page68"/>
    <w:bookmarkEnd w:id="67"/>
    <w:p>
      <w:pPr>
        <w:ind w:right="460"/>
        <w:spacing w:after="0" w:line="275"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There have been no disagreements with our accountants on accounting and financial disclosures.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71"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71" w:lineRule="exact"/>
        <w:rPr>
          <w:sz w:val="20"/>
          <w:szCs w:val="20"/>
          <w:color w:val="auto"/>
        </w:rPr>
      </w:pPr>
    </w:p>
    <w:p>
      <w:pPr>
        <w:ind w:right="340" w:firstLine="399"/>
        <w:spacing w:after="0" w:line="284" w:lineRule="auto"/>
        <w:rPr>
          <w:sz w:val="20"/>
          <w:szCs w:val="20"/>
          <w:color w:val="auto"/>
        </w:rPr>
      </w:pPr>
      <w:r>
        <w:rPr>
          <w:rFonts w:ascii="Times New Roman" w:cs="Times New Roman" w:eastAsia="Times New Roman" w:hAnsi="Times New Roman"/>
          <w:sz w:val="20"/>
          <w:szCs w:val="20"/>
          <w:color w:val="auto"/>
        </w:rPr>
        <w:t>The management of the Company is responsible for establishing and maintaining adequate internal control over financial reporting as defined in Rules 13a-15(f) and 15d-15(f) under the Exchange Act.</w:t>
      </w:r>
    </w:p>
    <w:p>
      <w:pPr>
        <w:spacing w:after="0" w:line="94"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In May 2013, the Internal Control — Integrated Framework (the “2013 Framework”) was released by the Committee of Sponsoring Organizations of the Treadway Commission (“COSO”). The 2013 Framework updates and formalizes the principles embedded in the original Internal Control-Integrated Framework issued in 1992 (the “1992 Framework”), incorporates business and operating environment changes over the past two decades, and improves the original 1992 Framework’s ease of use and application.</w:t>
      </w:r>
    </w:p>
    <w:p>
      <w:pPr>
        <w:spacing w:after="0" w:line="121"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The Company’s management assessed the effectiveness of the Company’s internal control over financial reporting as of December 31, 2025. In conducting this assessment, it used the criteria set forth by COSO in the 2013 Framework. Based on management’s assessment and those criteria, management believes that the Company has maintained effective internal control over financial reporting as of December 31, 2025. The audit report, of Grant Thornton LLP, the Company’s independent registered public accounting firm, on the effectiveness of our internal control over financial reporting as of December 31, 2025, is included in this Annual Report on Form 10-K and is incorporated herein as Item 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71"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20"/>
          <w:szCs w:val="20"/>
          <w:color w:val="auto"/>
        </w:rPr>
        <w:t>There were no changes in the Company’s internal control over financial reporting (as defined in Rules 13a-15(f) or 15d-15(f) of the Exchange Act) during the fourth fiscal quarter covered by this report that have materially affected, or are reasonably likely to materially affect, the Company’s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None.</w:t>
      </w:r>
    </w:p>
    <w:p>
      <w:pPr>
        <w:spacing w:after="0" w:line="247" w:lineRule="exact"/>
        <w:rPr>
          <w:sz w:val="20"/>
          <w:szCs w:val="20"/>
          <w:color w:val="auto"/>
        </w:rPr>
      </w:pPr>
    </w:p>
    <w:p>
      <w:pPr>
        <w:ind w:right="1080"/>
        <w:spacing w:after="0" w:line="275" w:lineRule="auto"/>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100"/>
          </w:cols>
          <w:pgMar w:left="1400" w:top="1023" w:right="1380" w:bottom="70" w:gutter="0" w:footer="0" w:header="0"/>
          <w:type w:val="continuous"/>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10.</w:t>
        <w:tab/>
        <w:t>DIRECTORS, EXECUTIVE OFFICERS, AND CORPORATE GOVERNANCE</w:t>
      </w:r>
    </w:p>
    <w:p>
      <w:pPr>
        <w:spacing w:after="0" w:line="171" w:lineRule="exact"/>
        <w:rPr>
          <w:sz w:val="20"/>
          <w:szCs w:val="20"/>
          <w:color w:val="auto"/>
        </w:rPr>
      </w:pPr>
    </w:p>
    <w:p>
      <w:pPr>
        <w:ind w:right="180" w:firstLine="399"/>
        <w:spacing w:after="0" w:line="261" w:lineRule="auto"/>
        <w:rPr>
          <w:sz w:val="20"/>
          <w:szCs w:val="20"/>
          <w:color w:val="auto"/>
        </w:rPr>
      </w:pPr>
      <w:r>
        <w:rPr>
          <w:rFonts w:ascii="Times New Roman" w:cs="Times New Roman" w:eastAsia="Times New Roman" w:hAnsi="Times New Roman"/>
          <w:sz w:val="20"/>
          <w:szCs w:val="20"/>
          <w:color w:val="auto"/>
        </w:rPr>
        <w:t>The information required to be set forth herein will be included in the Company’s definitive proxy statement for its 2026 annual stockholders’ meeting to be filed with the SEC within 120 days after the end of the registrant’s fiscal year ended December 31, 2025 (the “Proxy Statement”), which sections are incorporated herein by reference.</w:t>
      </w:r>
    </w:p>
    <w:p>
      <w:pPr>
        <w:spacing w:after="0" w:line="19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11.</w:t>
        <w:tab/>
        <w:t>EXECUTIVE COMPENSATION</w:t>
      </w:r>
    </w:p>
    <w:p>
      <w:pPr>
        <w:spacing w:after="0" w:line="171" w:lineRule="exact"/>
        <w:rPr>
          <w:sz w:val="20"/>
          <w:szCs w:val="20"/>
          <w:color w:val="auto"/>
        </w:rPr>
      </w:pPr>
    </w:p>
    <w:p>
      <w:pPr>
        <w:ind w:right="100" w:firstLine="399"/>
        <w:spacing w:after="0" w:line="284" w:lineRule="auto"/>
        <w:rPr>
          <w:sz w:val="20"/>
          <w:szCs w:val="20"/>
          <w:color w:val="auto"/>
        </w:rPr>
      </w:pPr>
      <w:r>
        <w:rPr>
          <w:rFonts w:ascii="Times New Roman" w:cs="Times New Roman" w:eastAsia="Times New Roman" w:hAnsi="Times New Roman"/>
          <w:sz w:val="20"/>
          <w:szCs w:val="20"/>
          <w:color w:val="auto"/>
        </w:rPr>
        <w:t>The information required to be set forth herein will be included in the Proxy Statement, which section is incorporated herein by reference.</w:t>
      </w:r>
    </w:p>
    <w:p>
      <w:pPr>
        <w:spacing w:after="0" w:line="17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4" w:lineRule="exact"/>
        <w:rPr>
          <w:sz w:val="20"/>
          <w:szCs w:val="20"/>
          <w:color w:val="auto"/>
        </w:rPr>
      </w:pPr>
    </w:p>
    <w:p>
      <w:pPr>
        <w:ind w:right="100" w:firstLine="399"/>
        <w:spacing w:after="0" w:line="284" w:lineRule="auto"/>
        <w:rPr>
          <w:sz w:val="20"/>
          <w:szCs w:val="20"/>
          <w:color w:val="auto"/>
        </w:rPr>
      </w:pPr>
      <w:r>
        <w:rPr>
          <w:rFonts w:ascii="Times New Roman" w:cs="Times New Roman" w:eastAsia="Times New Roman" w:hAnsi="Times New Roman"/>
          <w:sz w:val="20"/>
          <w:szCs w:val="20"/>
          <w:color w:val="auto"/>
        </w:rPr>
        <w:t>The information required to be set forth herein will be included in the Proxy Statement, which section is incorporated herein by reference.</w:t>
      </w:r>
    </w:p>
    <w:p>
      <w:pPr>
        <w:spacing w:after="0" w:line="172"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14" w:lineRule="exact"/>
        <w:rPr>
          <w:sz w:val="20"/>
          <w:szCs w:val="20"/>
          <w:color w:val="auto"/>
        </w:rPr>
      </w:pPr>
    </w:p>
    <w:p>
      <w:pPr>
        <w:ind w:right="100" w:firstLine="399"/>
        <w:spacing w:after="0" w:line="284" w:lineRule="auto"/>
        <w:rPr>
          <w:sz w:val="20"/>
          <w:szCs w:val="20"/>
          <w:color w:val="auto"/>
        </w:rPr>
      </w:pPr>
      <w:r>
        <w:rPr>
          <w:rFonts w:ascii="Times New Roman" w:cs="Times New Roman" w:eastAsia="Times New Roman" w:hAnsi="Times New Roman"/>
          <w:sz w:val="20"/>
          <w:szCs w:val="20"/>
          <w:color w:val="auto"/>
        </w:rPr>
        <w:t>The information required to be set forth herein will be included in the Proxy Statement, which section is incorporated herein by reference.</w:t>
      </w:r>
    </w:p>
    <w:p>
      <w:pPr>
        <w:spacing w:after="0" w:line="1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14.</w:t>
        <w:tab/>
        <w:t>PRINCIPAL ACCOUNTANT FEES AND SERVICES</w:t>
      </w:r>
    </w:p>
    <w:p>
      <w:pPr>
        <w:spacing w:after="0" w:line="171" w:lineRule="exact"/>
        <w:rPr>
          <w:sz w:val="20"/>
          <w:szCs w:val="20"/>
          <w:color w:val="auto"/>
        </w:rPr>
      </w:pPr>
    </w:p>
    <w:p>
      <w:pPr>
        <w:ind w:right="100" w:firstLine="399"/>
        <w:spacing w:after="0" w:line="284" w:lineRule="auto"/>
        <w:rPr>
          <w:sz w:val="20"/>
          <w:szCs w:val="20"/>
          <w:color w:val="auto"/>
        </w:rPr>
      </w:pPr>
      <w:r>
        <w:rPr>
          <w:rFonts w:ascii="Times New Roman" w:cs="Times New Roman" w:eastAsia="Times New Roman" w:hAnsi="Times New Roman"/>
          <w:sz w:val="20"/>
          <w:szCs w:val="20"/>
          <w:color w:val="auto"/>
        </w:rPr>
        <w:t>The information required to be set forth herein will be included in the Proxy Statement, which section is incorporated herein by reference.</w:t>
      </w:r>
    </w:p>
    <w:p>
      <w:pPr>
        <w:sectPr>
          <w:pgSz w:w="11880" w:h="15480" w:orient="portrait"/>
          <w:cols w:equalWidth="0" w:num="1">
            <w:col w:w="9040"/>
          </w:cols>
          <w:pgMar w:left="1400" w:top="1023" w:right="144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040"/>
          </w:cols>
          <w:pgMar w:left="1400" w:top="1023" w:right="1440" w:bottom="70" w:gutter="0" w:footer="0" w:header="0"/>
          <w:type w:val="continuous"/>
        </w:sectPr>
      </w:pPr>
    </w:p>
    <w:bookmarkStart w:id="69" w:name="page70"/>
    <w:bookmarkEnd w:id="69"/>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9" w:lineRule="exact"/>
        <w:rPr>
          <w:sz w:val="20"/>
          <w:szCs w:val="20"/>
          <w:color w:val="auto"/>
        </w:rPr>
      </w:pPr>
    </w:p>
    <w:p>
      <w:pPr>
        <w:ind w:left="10" w:right="3240"/>
        <w:spacing w:after="0" w:line="459" w:lineRule="auto"/>
        <w:rPr>
          <w:sz w:val="20"/>
          <w:szCs w:val="20"/>
          <w:color w:val="auto"/>
        </w:rPr>
      </w:pPr>
      <w:r>
        <w:rPr>
          <w:rFonts w:ascii="Times New Roman" w:cs="Times New Roman" w:eastAsia="Times New Roman" w:hAnsi="Times New Roman"/>
          <w:sz w:val="20"/>
          <w:szCs w:val="20"/>
          <w:b w:val="1"/>
          <w:bCs w:val="1"/>
          <w:color w:val="auto"/>
        </w:rPr>
        <w:t>ITEM 15. EXHIBITS, FINANCIAL STATEMENT SCHEDULES 1. FINANCIAL STATEMENTS</w:t>
      </w:r>
    </w:p>
    <w:p>
      <w:pPr>
        <w:spacing w:after="0" w:line="1"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The following financial statements are filed as part of this report:</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30"/>
        </w:trPr>
        <w:tc>
          <w:tcPr>
            <w:tcW w:w="84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84"/>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 (PCAOB ID Number 248) . . . . . . .</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F-2</w:t>
            </w:r>
          </w:p>
        </w:tc>
      </w:tr>
      <w:tr>
        <w:trPr>
          <w:trHeight w:val="299"/>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 . . . . . . . . . . . . . . . . . . . . . . . .</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F-5</w:t>
            </w:r>
          </w:p>
        </w:tc>
      </w:tr>
      <w:tr>
        <w:trPr>
          <w:trHeight w:val="276"/>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three years ended December 31, 2025, 2024, and</w:t>
            </w:r>
          </w:p>
        </w:tc>
        <w:tc>
          <w:tcPr>
            <w:tcW w:w="620" w:type="dxa"/>
            <w:vAlign w:val="bottom"/>
          </w:tcPr>
          <w:p>
            <w:pPr>
              <w:spacing w:after="0"/>
              <w:rPr>
                <w:sz w:val="24"/>
                <w:szCs w:val="24"/>
                <w:color w:val="auto"/>
              </w:rPr>
            </w:pPr>
          </w:p>
        </w:tc>
      </w:tr>
      <w:tr>
        <w:trPr>
          <w:trHeight w:val="263"/>
        </w:trPr>
        <w:tc>
          <w:tcPr>
            <w:tcW w:w="8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2023  . . . . . . . . . . . . . . . . . . . . . . . . . . . . . . . . . . . . . . . . . . . . . . . . . . . . . . . . . . . . . . .</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F-6</w:t>
            </w:r>
          </w:p>
        </w:tc>
      </w:tr>
      <w:tr>
        <w:trPr>
          <w:trHeight w:val="276"/>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(Loss) for the three years ended</w:t>
            </w:r>
          </w:p>
        </w:tc>
        <w:tc>
          <w:tcPr>
            <w:tcW w:w="620" w:type="dxa"/>
            <w:vAlign w:val="bottom"/>
          </w:tcPr>
          <w:p>
            <w:pPr>
              <w:spacing w:after="0"/>
              <w:rPr>
                <w:sz w:val="24"/>
                <w:szCs w:val="24"/>
                <w:color w:val="auto"/>
              </w:rPr>
            </w:pPr>
          </w:p>
        </w:tc>
      </w:tr>
      <w:tr>
        <w:trPr>
          <w:trHeight w:val="263"/>
        </w:trPr>
        <w:tc>
          <w:tcPr>
            <w:tcW w:w="8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December 31, 2025, 2024, and 2023 . . . . . . . . . . . . . . . . . . . . . . . . . . . . . . . . . . . . . . . . . .</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F-7</w:t>
            </w:r>
          </w:p>
        </w:tc>
      </w:tr>
      <w:tr>
        <w:trPr>
          <w:trHeight w:val="276"/>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for the three years ended December 31, 2025,</w:t>
            </w:r>
          </w:p>
        </w:tc>
        <w:tc>
          <w:tcPr>
            <w:tcW w:w="620" w:type="dxa"/>
            <w:vAlign w:val="bottom"/>
          </w:tcPr>
          <w:p>
            <w:pPr>
              <w:spacing w:after="0"/>
              <w:rPr>
                <w:sz w:val="24"/>
                <w:szCs w:val="24"/>
                <w:color w:val="auto"/>
              </w:rPr>
            </w:pPr>
          </w:p>
        </w:tc>
      </w:tr>
      <w:tr>
        <w:trPr>
          <w:trHeight w:val="263"/>
        </w:trPr>
        <w:tc>
          <w:tcPr>
            <w:tcW w:w="8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2024 and 2023 . . . . . . . . . . . . . . . . . . . . . . . . . . . . . . . . . . . . . . . . . . . . . . . . . . . . . . . . .</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F-8</w:t>
            </w:r>
          </w:p>
        </w:tc>
      </w:tr>
      <w:tr>
        <w:trPr>
          <w:trHeight w:val="276"/>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three years ended December 31, 2025, 2024, and</w:t>
            </w:r>
          </w:p>
        </w:tc>
        <w:tc>
          <w:tcPr>
            <w:tcW w:w="620" w:type="dxa"/>
            <w:vAlign w:val="bottom"/>
          </w:tcPr>
          <w:p>
            <w:pPr>
              <w:spacing w:after="0"/>
              <w:rPr>
                <w:sz w:val="24"/>
                <w:szCs w:val="24"/>
                <w:color w:val="auto"/>
              </w:rPr>
            </w:pPr>
          </w:p>
        </w:tc>
      </w:tr>
      <w:tr>
        <w:trPr>
          <w:trHeight w:val="263"/>
        </w:trPr>
        <w:tc>
          <w:tcPr>
            <w:tcW w:w="8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2023  . . . . . . . . . . . . . . . . . . . . . . . . . . . . . . . . . . . . . . . . . . . . . . . . . . . . . . . . . . . . . . .</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F-9</w:t>
            </w:r>
          </w:p>
        </w:tc>
      </w:tr>
      <w:tr>
        <w:trPr>
          <w:trHeight w:val="276"/>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 for the three years ended December 31, 2025, 2024,</w:t>
            </w:r>
          </w:p>
        </w:tc>
        <w:tc>
          <w:tcPr>
            <w:tcW w:w="620" w:type="dxa"/>
            <w:vAlign w:val="bottom"/>
          </w:tcPr>
          <w:p>
            <w:pPr>
              <w:spacing w:after="0"/>
              <w:rPr>
                <w:sz w:val="24"/>
                <w:szCs w:val="24"/>
                <w:color w:val="auto"/>
              </w:rPr>
            </w:pPr>
          </w:p>
        </w:tc>
      </w:tr>
      <w:tr>
        <w:trPr>
          <w:trHeight w:val="263"/>
        </w:trPr>
        <w:tc>
          <w:tcPr>
            <w:tcW w:w="8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 2023  . . . . . . . . . . . . . . . . . . . . . . . . . . . . . . . . . . . . . . . . . . . . . . . . . . . . . . . . . . . .</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F-11</w:t>
            </w:r>
          </w:p>
        </w:tc>
      </w:tr>
    </w:tbl>
    <w:p>
      <w:pPr>
        <w:spacing w:after="0" w:line="298" w:lineRule="exact"/>
        <w:rPr>
          <w:sz w:val="20"/>
          <w:szCs w:val="20"/>
          <w:color w:val="auto"/>
        </w:rPr>
      </w:pPr>
    </w:p>
    <w:p>
      <w:pPr>
        <w:ind w:left="390" w:right="4960" w:hanging="390"/>
        <w:spacing w:after="0" w:line="430" w:lineRule="auto"/>
        <w:tabs>
          <w:tab w:leader="none" w:pos="39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FINANCIAL STATEMENT SCHEDULES </w:t>
      </w:r>
      <w:r>
        <w:rPr>
          <w:rFonts w:ascii="Times New Roman" w:cs="Times New Roman" w:eastAsia="Times New Roman" w:hAnsi="Times New Roman"/>
          <w:sz w:val="20"/>
          <w:szCs w:val="20"/>
          <w:color w:val="auto"/>
        </w:rPr>
        <w:t>Included in Part IV on Form 10-K:</w:t>
      </w:r>
    </w:p>
    <w:p>
      <w:pPr>
        <w:ind w:left="390" w:right="3720"/>
        <w:spacing w:after="0" w:line="4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Schedule III — Real Estate and Accumulated Depreciation Schedule IV — Mortgage Loans on Real Estate</w:t>
      </w:r>
    </w:p>
    <w:p>
      <w:pPr>
        <w:spacing w:after="0" w:line="1" w:lineRule="exact"/>
        <w:rPr>
          <w:sz w:val="20"/>
          <w:szCs w:val="20"/>
          <w:color w:val="auto"/>
        </w:rPr>
      </w:pPr>
    </w:p>
    <w:p>
      <w:pPr>
        <w:ind w:left="10" w:right="560" w:firstLine="399"/>
        <w:spacing w:after="0" w:line="294" w:lineRule="auto"/>
        <w:rPr>
          <w:sz w:val="20"/>
          <w:szCs w:val="20"/>
          <w:color w:val="auto"/>
        </w:rPr>
      </w:pPr>
      <w:r>
        <w:rPr>
          <w:rFonts w:ascii="Times New Roman" w:cs="Times New Roman" w:eastAsia="Times New Roman" w:hAnsi="Times New Roman"/>
          <w:sz w:val="20"/>
          <w:szCs w:val="20"/>
          <w:color w:val="auto"/>
        </w:rPr>
        <w:t>Other schedules are omitted because of the absence of conditions under which they are required, materiality, or because the required information is given in the financial statements or notes thereof.</w:t>
      </w:r>
    </w:p>
    <w:p>
      <w:pPr>
        <w:spacing w:after="0" w:line="187" w:lineRule="exact"/>
        <w:rPr>
          <w:sz w:val="20"/>
          <w:szCs w:val="20"/>
          <w:color w:val="auto"/>
        </w:rPr>
      </w:pPr>
    </w:p>
    <w:p>
      <w:pPr>
        <w:ind w:left="390" w:hanging="390"/>
        <w:spacing w:after="0"/>
        <w:tabs>
          <w:tab w:leader="none" w:pos="39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w:t>
      </w:r>
    </w:p>
    <w:p>
      <w:pPr>
        <w:spacing w:after="0" w:line="171" w:lineRule="exact"/>
        <w:rPr>
          <w:rFonts w:ascii="Times New Roman" w:cs="Times New Roman" w:eastAsia="Times New Roman" w:hAnsi="Times New Roman"/>
          <w:sz w:val="20"/>
          <w:szCs w:val="20"/>
          <w:b w:val="1"/>
          <w:bCs w:val="1"/>
          <w:color w:val="auto"/>
        </w:rPr>
      </w:pPr>
    </w:p>
    <w:p>
      <w:pPr>
        <w:ind w:left="39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See Exhibit Index on page 62 of this Annual Report on Form 10-K.</w:t>
      </w:r>
    </w:p>
    <w:p>
      <w:pPr>
        <w:spacing w:after="0" w:line="271" w:lineRule="exact"/>
        <w:rPr>
          <w:sz w:val="20"/>
          <w:szCs w:val="20"/>
          <w:color w:val="auto"/>
        </w:rPr>
      </w:pPr>
    </w:p>
    <w:p>
      <w:pPr>
        <w:ind w:left="10"/>
        <w:spacing w:after="0"/>
        <w:tabs>
          <w:tab w:leader="none" w:pos="1029" w:val="left"/>
        </w:tabs>
        <w:rPr>
          <w:sz w:val="20"/>
          <w:szCs w:val="20"/>
          <w:color w:val="auto"/>
        </w:rPr>
      </w:pPr>
      <w:r>
        <w:rPr>
          <w:rFonts w:ascii="Times New Roman" w:cs="Times New Roman" w:eastAsia="Times New Roman" w:hAnsi="Times New Roman"/>
          <w:sz w:val="20"/>
          <w:szCs w:val="20"/>
          <w:b w:val="1"/>
          <w:bCs w:val="1"/>
          <w:color w:val="auto"/>
        </w:rPr>
        <w:t>ITEM 16.</w:t>
        <w:tab/>
        <w:t>FORM 10-K SUMMARY</w:t>
      </w:r>
    </w:p>
    <w:p>
      <w:pPr>
        <w:spacing w:after="0" w:line="171"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110"/>
          </w:cols>
          <w:pgMar w:left="139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110"/>
          </w:cols>
          <w:pgMar w:left="1390" w:top="1023" w:right="1380" w:bottom="70" w:gutter="0" w:footer="0" w:header="0"/>
          <w:type w:val="continuous"/>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ANNUAL REPORT 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NO. 001-11350</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CTO REALTY GROWTH, INC.</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the charter)</w:t>
      </w:r>
    </w:p>
    <w:p>
      <w:pPr>
        <w:sectPr>
          <w:pgSz w:w="11880" w:h="15480" w:orient="portrait"/>
          <w:cols w:equalWidth="0" w:num="1">
            <w:col w:w="9000"/>
          </w:cols>
          <w:pgMar w:left="1440" w:top="1023" w:right="144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000"/>
          </w:cols>
          <w:pgMar w:left="1440" w:top="1023" w:right="1440" w:bottom="7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171" w:lineRule="exact"/>
        <w:rPr>
          <w:sz w:val="20"/>
          <w:szCs w:val="20"/>
          <w:color w:val="auto"/>
        </w:rPr>
      </w:pPr>
    </w:p>
    <w:p>
      <w:pPr>
        <w:ind w:left="920" w:right="120" w:hanging="625"/>
        <w:spacing w:after="0" w:line="257" w:lineRule="auto"/>
        <w:tabs>
          <w:tab w:leader="none" w:pos="900" w:val="left"/>
        </w:tabs>
        <w:rPr>
          <w:sz w:val="20"/>
          <w:szCs w:val="20"/>
          <w:color w:val="auto"/>
        </w:rPr>
      </w:pPr>
      <w:r>
        <w:rPr>
          <w:rFonts w:ascii="Times New Roman" w:cs="Times New Roman" w:eastAsia="Times New Roman" w:hAnsi="Times New Roman"/>
          <w:sz w:val="20"/>
          <w:szCs w:val="20"/>
          <w:color w:val="auto"/>
        </w:rPr>
        <w:t>(2.1)</w:t>
        <w:tab/>
        <w:t>Agreement and Plan of Merger by and between CTO Realty Growth, Inc., a Florida corporation and CTO Realty Growth, Inc. (formerly CTO NEWCO REIT, Inc.), a Maryland corporation, dated September 3, 2020, filed as Exhibit 2.1 to the registrant’s Current Report on Form 8-K filed September 3, 2020, and incorporated herein by reference.</w:t>
      </w:r>
    </w:p>
    <w:p>
      <w:pPr>
        <w:spacing w:after="0" w:line="3" w:lineRule="exact"/>
        <w:rPr>
          <w:sz w:val="20"/>
          <w:szCs w:val="20"/>
          <w:color w:val="auto"/>
        </w:rPr>
      </w:pPr>
    </w:p>
    <w:p>
      <w:pPr>
        <w:ind w:left="920" w:right="400" w:hanging="919"/>
        <w:spacing w:after="0" w:line="265" w:lineRule="auto"/>
        <w:tabs>
          <w:tab w:leader="none" w:pos="900" w:val="left"/>
        </w:tabs>
        <w:rPr>
          <w:sz w:val="20"/>
          <w:szCs w:val="20"/>
          <w:color w:val="auto"/>
        </w:rPr>
      </w:pPr>
      <w:r>
        <w:rPr>
          <w:rFonts w:ascii="Times New Roman" w:cs="Times New Roman" w:eastAsia="Times New Roman" w:hAnsi="Times New Roman"/>
          <w:sz w:val="20"/>
          <w:szCs w:val="20"/>
          <w:color w:val="auto"/>
        </w:rPr>
        <w:t>***(2.2)</w:t>
        <w:tab/>
        <w:t>Purchase and Sale Agreement, dated August 2, 2024, filed as Exhibit 2.1 to the registrant’s Current Report on Form 8-K filed on August 8, 2024, and incorporated herein by reference.</w:t>
      </w:r>
    </w:p>
    <w:p>
      <w:pPr>
        <w:spacing w:after="0" w:line="1" w:lineRule="exact"/>
        <w:rPr>
          <w:sz w:val="20"/>
          <w:szCs w:val="20"/>
          <w:color w:val="auto"/>
        </w:rPr>
      </w:pPr>
    </w:p>
    <w:p>
      <w:pPr>
        <w:ind w:left="920" w:right="180" w:hanging="625"/>
        <w:spacing w:after="0" w:line="260" w:lineRule="auto"/>
        <w:tabs>
          <w:tab w:leader="none" w:pos="900" w:val="left"/>
        </w:tabs>
        <w:rPr>
          <w:sz w:val="20"/>
          <w:szCs w:val="20"/>
          <w:color w:val="auto"/>
        </w:rPr>
      </w:pPr>
      <w:r>
        <w:rPr>
          <w:rFonts w:ascii="Times New Roman" w:cs="Times New Roman" w:eastAsia="Times New Roman" w:hAnsi="Times New Roman"/>
          <w:sz w:val="20"/>
          <w:szCs w:val="20"/>
          <w:color w:val="auto"/>
        </w:rPr>
        <w:t>(3.1)</w:t>
        <w:tab/>
        <w:t>Articles of Amendment and Restatement of CTO Realty Growth, Inc., as amended by the Articles of Amendment (Name Change), filed as Exhibit 3.1 to the registrant’s Current Report on Form 8-K12B filed February 1, 2021, and incorporated herein by reference.</w:t>
      </w:r>
    </w:p>
    <w:p>
      <w:pPr>
        <w:spacing w:after="0" w:line="1" w:lineRule="exact"/>
        <w:rPr>
          <w:sz w:val="20"/>
          <w:szCs w:val="20"/>
          <w:color w:val="auto"/>
        </w:rPr>
      </w:pPr>
    </w:p>
    <w:p>
      <w:pPr>
        <w:ind w:left="280"/>
        <w:spacing w:after="0"/>
        <w:tabs>
          <w:tab w:leader="none" w:pos="900" w:val="left"/>
        </w:tabs>
        <w:rPr>
          <w:sz w:val="20"/>
          <w:szCs w:val="20"/>
          <w:color w:val="auto"/>
        </w:rPr>
      </w:pPr>
      <w:r>
        <w:rPr>
          <w:rFonts w:ascii="Times New Roman" w:cs="Times New Roman" w:eastAsia="Times New Roman" w:hAnsi="Times New Roman"/>
          <w:sz w:val="20"/>
          <w:szCs w:val="20"/>
          <w:color w:val="auto"/>
        </w:rPr>
        <w:t>(3.2)</w:t>
        <w:tab/>
        <w:t>Third Amended and Restated Bylaws of CTO Realty Growth, Inc., effective as of February 16,</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2023, filed as Exhibit 3.1 to the registrant’s Current Report on Form 8-K filed February 17,</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2023, and incorporated herein by reference.</w:t>
      </w:r>
    </w:p>
    <w:p>
      <w:pPr>
        <w:spacing w:after="0" w:line="39" w:lineRule="exact"/>
        <w:rPr>
          <w:sz w:val="20"/>
          <w:szCs w:val="20"/>
          <w:color w:val="auto"/>
        </w:rPr>
      </w:pPr>
    </w:p>
    <w:p>
      <w:pPr>
        <w:jc w:val="both"/>
        <w:ind w:left="920" w:right="300" w:hanging="625"/>
        <w:spacing w:after="0" w:line="260" w:lineRule="auto"/>
        <w:tabs>
          <w:tab w:leader="none" w:pos="900" w:val="left"/>
        </w:tabs>
        <w:rPr>
          <w:sz w:val="20"/>
          <w:szCs w:val="20"/>
          <w:color w:val="auto"/>
        </w:rPr>
      </w:pPr>
      <w:r>
        <w:rPr>
          <w:rFonts w:ascii="Times New Roman" w:cs="Times New Roman" w:eastAsia="Times New Roman" w:hAnsi="Times New Roman"/>
          <w:sz w:val="20"/>
          <w:szCs w:val="20"/>
          <w:color w:val="auto"/>
        </w:rPr>
        <w:t>(3.3)</w:t>
        <w:tab/>
        <w:t>Articles Supplementary, designating CTO Realty Growth, Inc.’s 6.375% Series A Cumulative Redeemable Preferred Stock, filed as Exhibit 3.2 to the registrant’s Registration Statement on Form 8-A filed July 1, 2021 (File No. 001-11350), and incorporated herein by reference.</w:t>
      </w:r>
    </w:p>
    <w:p>
      <w:pPr>
        <w:spacing w:after="0" w:line="1" w:lineRule="exact"/>
        <w:rPr>
          <w:sz w:val="20"/>
          <w:szCs w:val="20"/>
          <w:color w:val="auto"/>
        </w:rPr>
      </w:pPr>
    </w:p>
    <w:p>
      <w:pPr>
        <w:jc w:val="both"/>
        <w:ind w:left="920" w:right="120" w:hanging="625"/>
        <w:spacing w:after="0" w:line="260" w:lineRule="auto"/>
        <w:tabs>
          <w:tab w:leader="none" w:pos="900" w:val="left"/>
        </w:tabs>
        <w:rPr>
          <w:sz w:val="20"/>
          <w:szCs w:val="20"/>
          <w:color w:val="auto"/>
        </w:rPr>
      </w:pPr>
      <w:r>
        <w:rPr>
          <w:rFonts w:ascii="Times New Roman" w:cs="Times New Roman" w:eastAsia="Times New Roman" w:hAnsi="Times New Roman"/>
          <w:sz w:val="20"/>
          <w:szCs w:val="20"/>
          <w:color w:val="auto"/>
        </w:rPr>
        <w:t>(3.4)</w:t>
        <w:tab/>
        <w:t>Articles Supplementary, designating 3,000,000 additional shares of CTO Realty Growth, Inc.’s 6.375% Series A Cumulative Redeemable Preferred Stock, filed as Exhibit 3.1 to the registrant’s Current Report on Form 8-K filed on April 3, 2024, and incorporated herein by reference.</w:t>
      </w:r>
    </w:p>
    <w:p>
      <w:pPr>
        <w:spacing w:after="0" w:line="1" w:lineRule="exact"/>
        <w:rPr>
          <w:sz w:val="20"/>
          <w:szCs w:val="20"/>
          <w:color w:val="auto"/>
        </w:rPr>
      </w:pPr>
    </w:p>
    <w:p>
      <w:pPr>
        <w:ind w:left="920" w:right="40" w:hanging="625"/>
        <w:spacing w:after="0" w:line="260" w:lineRule="auto"/>
        <w:tabs>
          <w:tab w:leader="none" w:pos="900" w:val="left"/>
        </w:tabs>
        <w:rPr>
          <w:sz w:val="20"/>
          <w:szCs w:val="20"/>
          <w:color w:val="auto"/>
        </w:rPr>
      </w:pPr>
      <w:r>
        <w:rPr>
          <w:rFonts w:ascii="Times New Roman" w:cs="Times New Roman" w:eastAsia="Times New Roman" w:hAnsi="Times New Roman"/>
          <w:sz w:val="20"/>
          <w:szCs w:val="20"/>
          <w:color w:val="auto"/>
        </w:rPr>
        <w:t>(4.1)</w:t>
        <w:tab/>
        <w:t>Specimen Common Stock Certificate of CTO Realty Growth, Inc., filed as Exhibit 4.2 to the registrant’s Current Report on Form 8-K12B filed February 1, 2021, and incorporated herein by reference.</w:t>
      </w:r>
    </w:p>
    <w:p>
      <w:pPr>
        <w:spacing w:after="0" w:line="1" w:lineRule="exact"/>
        <w:rPr>
          <w:sz w:val="20"/>
          <w:szCs w:val="20"/>
          <w:color w:val="auto"/>
        </w:rPr>
      </w:pPr>
    </w:p>
    <w:p>
      <w:pPr>
        <w:ind w:left="920" w:right="140" w:hanging="625"/>
        <w:spacing w:after="0" w:line="260" w:lineRule="auto"/>
        <w:tabs>
          <w:tab w:leader="none" w:pos="900" w:val="left"/>
        </w:tabs>
        <w:rPr>
          <w:sz w:val="20"/>
          <w:szCs w:val="20"/>
          <w:color w:val="auto"/>
        </w:rPr>
      </w:pPr>
      <w:r>
        <w:rPr>
          <w:rFonts w:ascii="Times New Roman" w:cs="Times New Roman" w:eastAsia="Times New Roman" w:hAnsi="Times New Roman"/>
          <w:sz w:val="20"/>
          <w:szCs w:val="20"/>
          <w:color w:val="auto"/>
        </w:rPr>
        <w:t>(4.2)</w:t>
        <w:tab/>
        <w:t>Registration Rights Agreement between Alpine Income Property Trust, Inc. and Consolidated-Tomoka Land Co. (now CTO Realty Growth, Inc.), filed as Exhibit 4.21 to the registrant’s Current Report on Form 8-K filed November 27, 2019, and incorporated herein by reference.</w:t>
      </w:r>
    </w:p>
    <w:p>
      <w:pPr>
        <w:spacing w:after="0" w:line="1" w:lineRule="exact"/>
        <w:rPr>
          <w:sz w:val="20"/>
          <w:szCs w:val="20"/>
          <w:color w:val="auto"/>
        </w:rPr>
      </w:pPr>
    </w:p>
    <w:p>
      <w:pPr>
        <w:ind w:left="920" w:right="180" w:hanging="625"/>
        <w:spacing w:after="0" w:line="265" w:lineRule="auto"/>
        <w:tabs>
          <w:tab w:leader="none" w:pos="900" w:val="left"/>
        </w:tabs>
        <w:rPr>
          <w:sz w:val="20"/>
          <w:szCs w:val="20"/>
          <w:color w:val="auto"/>
        </w:rPr>
      </w:pPr>
      <w:r>
        <w:rPr>
          <w:rFonts w:ascii="Times New Roman" w:cs="Times New Roman" w:eastAsia="Times New Roman" w:hAnsi="Times New Roman"/>
          <w:sz w:val="20"/>
          <w:szCs w:val="20"/>
          <w:color w:val="auto"/>
        </w:rPr>
        <w:t>(4.3)</w:t>
        <w:tab/>
        <w:t>Description of the Registrant’s Securities, filed as Exhibit 4.6 to the registrant’s Annual Report on Form 10-K for the year ended December 31, 2021, and incorporated herein by reference.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Material Contracts:</w:t>
      </w:r>
    </w:p>
    <w:p>
      <w:pPr>
        <w:spacing w:after="0" w:line="39" w:lineRule="exact"/>
        <w:rPr>
          <w:sz w:val="20"/>
          <w:szCs w:val="20"/>
          <w:color w:val="auto"/>
        </w:rPr>
      </w:pPr>
    </w:p>
    <w:p>
      <w:pPr>
        <w:ind w:left="920" w:right="380" w:hanging="825"/>
        <w:spacing w:after="0" w:line="260" w:lineRule="auto"/>
        <w:tabs>
          <w:tab w:leader="none" w:pos="900" w:val="left"/>
        </w:tabs>
        <w:rPr>
          <w:sz w:val="20"/>
          <w:szCs w:val="20"/>
          <w:color w:val="auto"/>
        </w:rPr>
      </w:pPr>
      <w:r>
        <w:rPr>
          <w:rFonts w:ascii="Times New Roman" w:cs="Times New Roman" w:eastAsia="Times New Roman" w:hAnsi="Times New Roman"/>
          <w:sz w:val="20"/>
          <w:szCs w:val="20"/>
          <w:color w:val="auto"/>
        </w:rPr>
        <w:t>*(10.1)</w:t>
        <w:tab/>
        <w:t>Fifth Amended and Restated CTO Realty Growth, Inc., 2010 Equity Incentive Plan, filed as Exhibit 10.1 to the registrant’s Quarterly Report on Form 10-Q filed July 27, 2023, and incorporated herein by reference.</w:t>
      </w:r>
    </w:p>
    <w:p>
      <w:pPr>
        <w:spacing w:after="0" w:line="1" w:lineRule="exact"/>
        <w:rPr>
          <w:sz w:val="20"/>
          <w:szCs w:val="20"/>
          <w:color w:val="auto"/>
        </w:rPr>
      </w:pPr>
    </w:p>
    <w:p>
      <w:pPr>
        <w:ind w:left="920" w:right="60" w:hanging="825"/>
        <w:spacing w:after="0" w:line="260" w:lineRule="auto"/>
        <w:tabs>
          <w:tab w:leader="none" w:pos="900" w:val="left"/>
        </w:tabs>
        <w:rPr>
          <w:sz w:val="20"/>
          <w:szCs w:val="20"/>
          <w:color w:val="auto"/>
        </w:rPr>
      </w:pPr>
      <w:r>
        <w:rPr>
          <w:rFonts w:ascii="Times New Roman" w:cs="Times New Roman" w:eastAsia="Times New Roman" w:hAnsi="Times New Roman"/>
          <w:sz w:val="20"/>
          <w:szCs w:val="20"/>
          <w:color w:val="auto"/>
        </w:rPr>
        <w:t>*(10.2)</w:t>
        <w:tab/>
        <w:t>Consolidated-Tomoka Land Co. (now CTO Realty Growth, Inc.) 2017 Executive Annual Cash Incentive Plan, dated February 22, 2017, filed as Exhibit 10.28 to the registrant’s Annual Report on Form 10-K for the year ended December 31, 2018, and incorporated herein by reference.</w:t>
      </w:r>
    </w:p>
    <w:p>
      <w:pPr>
        <w:spacing w:after="0" w:line="1" w:lineRule="exact"/>
        <w:rPr>
          <w:sz w:val="20"/>
          <w:szCs w:val="20"/>
          <w:color w:val="auto"/>
        </w:rPr>
      </w:pPr>
    </w:p>
    <w:p>
      <w:pPr>
        <w:jc w:val="right"/>
        <w:ind w:left="80" w:right="240"/>
        <w:spacing w:after="0" w:line="265" w:lineRule="auto"/>
        <w:rPr>
          <w:sz w:val="20"/>
          <w:szCs w:val="20"/>
          <w:color w:val="auto"/>
        </w:rPr>
      </w:pPr>
      <w:r>
        <w:rPr>
          <w:rFonts w:ascii="Times New Roman" w:cs="Times New Roman" w:eastAsia="Times New Roman" w:hAnsi="Times New Roman"/>
          <w:sz w:val="20"/>
          <w:szCs w:val="20"/>
          <w:color w:val="auto"/>
        </w:rPr>
        <w:t>*(10.3)  Amended 2017 Executive Annual Cash Incentive Plan, filed as Exhibit 10.1 to the registrant’s Quarterly Report on Form 10-Q filed October 26, 2023, and incorporated herein by reference.</w:t>
      </w:r>
    </w:p>
    <w:p>
      <w:pPr>
        <w:spacing w:after="0" w:line="1" w:lineRule="exact"/>
        <w:rPr>
          <w:sz w:val="20"/>
          <w:szCs w:val="20"/>
          <w:color w:val="auto"/>
        </w:rPr>
      </w:pPr>
    </w:p>
    <w:p>
      <w:pPr>
        <w:ind w:left="920" w:hanging="825"/>
        <w:spacing w:after="0" w:line="263" w:lineRule="auto"/>
        <w:tabs>
          <w:tab w:leader="none" w:pos="900" w:val="left"/>
        </w:tabs>
        <w:rPr>
          <w:sz w:val="20"/>
          <w:szCs w:val="20"/>
          <w:color w:val="auto"/>
        </w:rPr>
      </w:pPr>
      <w:r>
        <w:rPr>
          <w:rFonts w:ascii="Times New Roman" w:cs="Times New Roman" w:eastAsia="Times New Roman" w:hAnsi="Times New Roman"/>
          <w:sz w:val="20"/>
          <w:szCs w:val="20"/>
          <w:color w:val="auto"/>
        </w:rPr>
        <w:t>*(10.4)</w:t>
        <w:tab/>
        <w:t>Form of Restricted Share Award Agreement under the Third Amended and Restated CTO Realty Growth, Inc., 2010 Equity Incentive Plan, filed as Exhibit 10.16 to the registrant’s Annual Report on Form 10-K for the year ended December 31, 2010, and incorporated herein by reference.</w:t>
      </w:r>
    </w:p>
    <w:p>
      <w:pPr>
        <w:spacing w:after="0" w:line="232" w:lineRule="exact"/>
        <w:rPr>
          <w:sz w:val="20"/>
          <w:szCs w:val="20"/>
          <w:color w:val="auto"/>
        </w:rPr>
      </w:pPr>
    </w:p>
    <w:p>
      <w:pPr>
        <w:jc w:val="both"/>
        <w:ind w:left="920" w:right="460" w:hanging="825"/>
        <w:spacing w:after="0" w:line="260" w:lineRule="auto"/>
        <w:tabs>
          <w:tab w:leader="none" w:pos="900" w:val="left"/>
        </w:tabs>
        <w:rPr>
          <w:sz w:val="20"/>
          <w:szCs w:val="20"/>
          <w:color w:val="auto"/>
        </w:rPr>
      </w:pPr>
      <w:r>
        <w:rPr>
          <w:rFonts w:ascii="Times New Roman" w:cs="Times New Roman" w:eastAsia="Times New Roman" w:hAnsi="Times New Roman"/>
          <w:sz w:val="20"/>
          <w:szCs w:val="20"/>
          <w:color w:val="auto"/>
        </w:rPr>
        <w:t>*(10.5)</w:t>
        <w:tab/>
        <w:t>Form of Restricted Share Award Agreement, dated July 1, 2022, filed as Exhibit 10.1 to the registrant’s Current Report on Form 8-K filed on July 1, 2022, and incorporated herein by reference.</w:t>
      </w:r>
    </w:p>
    <w:p>
      <w:pPr>
        <w:spacing w:after="0" w:line="1" w:lineRule="exact"/>
        <w:rPr>
          <w:sz w:val="20"/>
          <w:szCs w:val="20"/>
          <w:color w:val="auto"/>
        </w:rPr>
      </w:pPr>
    </w:p>
    <w:p>
      <w:pPr>
        <w:ind w:left="920" w:right="160" w:hanging="825"/>
        <w:spacing w:after="0" w:line="260" w:lineRule="auto"/>
        <w:tabs>
          <w:tab w:leader="none" w:pos="900" w:val="left"/>
        </w:tabs>
        <w:rPr>
          <w:sz w:val="20"/>
          <w:szCs w:val="20"/>
          <w:color w:val="auto"/>
        </w:rPr>
      </w:pPr>
      <w:r>
        <w:rPr>
          <w:rFonts w:ascii="Times New Roman" w:cs="Times New Roman" w:eastAsia="Times New Roman" w:hAnsi="Times New Roman"/>
          <w:sz w:val="20"/>
          <w:szCs w:val="20"/>
          <w:color w:val="auto"/>
        </w:rPr>
        <w:t>*(10.6)</w:t>
        <w:tab/>
        <w:t>Omnibus Amendment to Restricted Share Award Agreements, dated as of July 1, 2022, filed as Exhibit 10.2 to the registrant’s Current Report on Form 8-K filed on July 1, 2022, and incorporated herein by reference.</w:t>
      </w:r>
    </w:p>
    <w:p>
      <w:pPr>
        <w:spacing w:after="0" w:line="1" w:lineRule="exact"/>
        <w:rPr>
          <w:sz w:val="20"/>
          <w:szCs w:val="20"/>
          <w:color w:val="auto"/>
        </w:rPr>
      </w:pPr>
    </w:p>
    <w:p>
      <w:pPr>
        <w:ind w:left="920" w:right="220" w:hanging="825"/>
        <w:spacing w:after="0" w:line="267" w:lineRule="auto"/>
        <w:tabs>
          <w:tab w:leader="none" w:pos="900" w:val="left"/>
        </w:tabs>
        <w:rPr>
          <w:sz w:val="20"/>
          <w:szCs w:val="20"/>
          <w:color w:val="auto"/>
        </w:rPr>
      </w:pPr>
      <w:r>
        <w:rPr>
          <w:rFonts w:ascii="Times New Roman" w:cs="Times New Roman" w:eastAsia="Times New Roman" w:hAnsi="Times New Roman"/>
          <w:sz w:val="20"/>
          <w:szCs w:val="20"/>
          <w:color w:val="auto"/>
        </w:rPr>
        <w:t>*(10.7)</w:t>
        <w:tab/>
        <w:t>Form of February 10, 2021 Performance Share Award Agreement filed as Exhibit 10.17 to the registrant’s Annual Report on Form 10-K filed March 5, 2021, and incorporated herein by reference.</w:t>
      </w:r>
    </w:p>
    <w:p>
      <w:pPr>
        <w:sectPr>
          <w:pgSz w:w="11880" w:h="15480" w:orient="portrait"/>
          <w:cols w:equalWidth="0" w:num="1">
            <w:col w:w="9060"/>
          </w:cols>
          <w:pgMar w:left="1400" w:top="1023" w:right="142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060"/>
          </w:cols>
          <w:pgMar w:left="1400" w:top="1023" w:right="1420" w:bottom="70" w:gutter="0" w:footer="0" w:header="0"/>
          <w:type w:val="continuous"/>
        </w:sectPr>
      </w:pPr>
    </w:p>
    <w:bookmarkStart w:id="72" w:name="page73"/>
    <w:bookmarkEnd w:id="72"/>
    <w:p>
      <w:pPr>
        <w:ind w:left="880" w:right="26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Form of February 17, 2022 Performance Share Award Agreement, filed as Exhibit 10.8 to the registrant’s Annual Report on Form 10-K for the year ended December 31, 2021, and incorporated herein by reference.</w:t>
      </w:r>
    </w:p>
    <w:p>
      <w:pPr>
        <w:spacing w:after="0" w:line="1" w:lineRule="exact"/>
        <w:rPr>
          <w:sz w:val="20"/>
          <w:szCs w:val="20"/>
          <w:color w:val="auto"/>
        </w:rPr>
      </w:pPr>
    </w:p>
    <w:p>
      <w:pPr>
        <w:ind w:left="880" w:right="26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Form of February 17, 2023 Performance Share Award Agreement, filed as Exhibit 10.1 to the registrant’s Quarterly Report on Form 10-Q filed April 27, 2023, and incorporated herein by reference.</w:t>
      </w:r>
    </w:p>
    <w:p>
      <w:pPr>
        <w:spacing w:after="0" w:line="1" w:lineRule="exact"/>
        <w:rPr>
          <w:sz w:val="20"/>
          <w:szCs w:val="20"/>
          <w:color w:val="auto"/>
        </w:rPr>
      </w:pPr>
    </w:p>
    <w:p>
      <w:pPr>
        <w:ind w:left="880" w:right="16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*(10.10)</w:t>
        <w:tab/>
        <w:t>Omnibus Amendment to Performance Share Award Agreements, dated as of July 1, 2022, filed as Exhibit 10.3 to the registrant’s Current Report on Form 8-K filed on July 1, 2022, and incorporated herein by reference.</w:t>
      </w:r>
    </w:p>
    <w:p>
      <w:pPr>
        <w:spacing w:after="0" w:line="1" w:lineRule="exact"/>
        <w:rPr>
          <w:sz w:val="20"/>
          <w:szCs w:val="20"/>
          <w:color w:val="auto"/>
        </w:rPr>
      </w:pPr>
    </w:p>
    <w:p>
      <w:pPr>
        <w:ind w:left="880" w:right="6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*(10.11)</w:t>
        <w:tab/>
        <w:t>Second Amended and Restated Employment Agreement between CTO Realty Growth, Inc. and John P. Albright entered into July 29, 2020, filed as Exhibit 10.1 to the registrant’s Current Report on Form 8-K filed August 3, 2020, and incorporated herein by reference</w:t>
      </w:r>
    </w:p>
    <w:p>
      <w:pPr>
        <w:spacing w:after="0" w:line="1" w:lineRule="exact"/>
        <w:rPr>
          <w:sz w:val="20"/>
          <w:szCs w:val="20"/>
          <w:color w:val="auto"/>
        </w:rPr>
      </w:pPr>
    </w:p>
    <w:p>
      <w:pPr>
        <w:ind w:left="880" w:hanging="924"/>
        <w:spacing w:after="0" w:line="263" w:lineRule="auto"/>
        <w:tabs>
          <w:tab w:leader="none" w:pos="860" w:val="left"/>
        </w:tabs>
        <w:rPr>
          <w:sz w:val="20"/>
          <w:szCs w:val="20"/>
          <w:color w:val="auto"/>
        </w:rPr>
      </w:pPr>
      <w:r>
        <w:rPr>
          <w:rFonts w:ascii="Times New Roman" w:cs="Times New Roman" w:eastAsia="Times New Roman" w:hAnsi="Times New Roman"/>
          <w:sz w:val="20"/>
          <w:szCs w:val="20"/>
          <w:color w:val="auto"/>
        </w:rPr>
        <w:t>*(10.12)</w:t>
        <w:tab/>
        <w:t>Employment Agreement between Consolidated-Tomoka Land Co. (now CTO Realty Growth, Inc.) and Daniel E. Smith entered into October 22, 2014, filed as Exhibit 10.24 to the registrant’s Annual Report on Form 10-K for the year ended December 31, 2014, and incorporated herein by reference.</w:t>
      </w:r>
    </w:p>
    <w:p>
      <w:pPr>
        <w:spacing w:after="0" w:line="232" w:lineRule="exact"/>
        <w:rPr>
          <w:sz w:val="20"/>
          <w:szCs w:val="20"/>
          <w:color w:val="auto"/>
        </w:rPr>
      </w:pPr>
    </w:p>
    <w:p>
      <w:pPr>
        <w:ind w:left="880" w:right="380" w:hanging="825"/>
        <w:spacing w:after="0" w:line="256" w:lineRule="auto"/>
        <w:tabs>
          <w:tab w:leader="none" w:pos="860" w:val="left"/>
        </w:tabs>
        <w:rPr>
          <w:sz w:val="20"/>
          <w:szCs w:val="20"/>
          <w:color w:val="auto"/>
        </w:rPr>
      </w:pPr>
      <w:r>
        <w:rPr>
          <w:rFonts w:ascii="Times New Roman" w:cs="Times New Roman" w:eastAsia="Times New Roman" w:hAnsi="Times New Roman"/>
          <w:sz w:val="20"/>
          <w:szCs w:val="20"/>
          <w:color w:val="auto"/>
        </w:rPr>
        <w:t>(10.13)</w:t>
        <w:tab/>
        <w:t>Second Amended and Restated Credit Agreement, which supersedes the Company’s existing Amended and Restated Credit Agreement, with Bank of Montreal and the other lenders thereunder, with BMO acting as Administrative Agent, dated September 7, 2017, filed as Exhibit 10.1 to the registrant’s Current Report on Form 8-K filed September 13, 2017, and incorporated herein by reference.</w:t>
      </w:r>
    </w:p>
    <w:p>
      <w:pPr>
        <w:spacing w:after="0" w:line="1" w:lineRule="exact"/>
        <w:rPr>
          <w:sz w:val="20"/>
          <w:szCs w:val="20"/>
          <w:color w:val="auto"/>
        </w:rPr>
      </w:pPr>
    </w:p>
    <w:p>
      <w:pPr>
        <w:ind w:left="880" w:right="120" w:hanging="825"/>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(10.14)</w:t>
        <w:tab/>
        <w:t>Second Amendment to Second Amended and Restated Credit Agreement Dated May 24, 2019, filed as Exhibit 10.1 to the registrant’s Current Report on Form 8-K filed June 3, 2019, and incorporated herein by reference.</w:t>
      </w:r>
    </w:p>
    <w:p>
      <w:pPr>
        <w:spacing w:after="0" w:line="1"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20"/>
          <w:szCs w:val="20"/>
          <w:color w:val="auto"/>
        </w:rPr>
        <w:t>(10.15)</w:t>
        <w:tab/>
        <w:t>Third Amendment to Second Amended and Restated Credit Agreement Dated November 26,</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2019 filed as Exhibit 10.1 to the registrant’s Current Report on Form 8-K filed November 27,</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2019, and incorporated herein by reference.</w:t>
      </w:r>
    </w:p>
    <w:p>
      <w:pPr>
        <w:spacing w:after="0" w:line="39" w:lineRule="exact"/>
        <w:rPr>
          <w:sz w:val="20"/>
          <w:szCs w:val="20"/>
          <w:color w:val="auto"/>
        </w:rPr>
      </w:pPr>
    </w:p>
    <w:p>
      <w:pPr>
        <w:ind w:left="880" w:right="160" w:hanging="825"/>
        <w:spacing w:after="0" w:line="257" w:lineRule="auto"/>
        <w:tabs>
          <w:tab w:leader="none" w:pos="860" w:val="left"/>
        </w:tabs>
        <w:rPr>
          <w:sz w:val="20"/>
          <w:szCs w:val="20"/>
          <w:color w:val="auto"/>
        </w:rPr>
      </w:pPr>
      <w:r>
        <w:rPr>
          <w:rFonts w:ascii="Times New Roman" w:cs="Times New Roman" w:eastAsia="Times New Roman" w:hAnsi="Times New Roman"/>
          <w:sz w:val="20"/>
          <w:szCs w:val="20"/>
          <w:color w:val="auto"/>
        </w:rPr>
        <w:t>(10.16)</w:t>
        <w:tab/>
        <w:t>Fourth Amendment to Second Amended and Restated Credit Agreement between CTO Realty Growth, Inc., the Borrower, the Guarantors party thereto, the Lenders party thereto and Bank of Montreal, as Administrative Agent, dated July 1, 2020 filed as Exhibit 10.34 to registrant’s Quarterly Report on Form 10-Q filed August 7, 2020, and incorporated herein by reference.</w:t>
      </w:r>
    </w:p>
    <w:p>
      <w:pPr>
        <w:spacing w:after="0" w:line="3" w:lineRule="exact"/>
        <w:rPr>
          <w:sz w:val="20"/>
          <w:szCs w:val="20"/>
          <w:color w:val="auto"/>
        </w:rPr>
      </w:pPr>
    </w:p>
    <w:p>
      <w:pPr>
        <w:ind w:left="880" w:right="160" w:hanging="825"/>
        <w:spacing w:after="0" w:line="259" w:lineRule="auto"/>
        <w:tabs>
          <w:tab w:leader="none" w:pos="860" w:val="left"/>
        </w:tabs>
        <w:rPr>
          <w:sz w:val="20"/>
          <w:szCs w:val="20"/>
          <w:color w:val="auto"/>
        </w:rPr>
      </w:pPr>
      <w:r>
        <w:rPr>
          <w:rFonts w:ascii="Times New Roman" w:cs="Times New Roman" w:eastAsia="Times New Roman" w:hAnsi="Times New Roman"/>
          <w:sz w:val="20"/>
          <w:szCs w:val="20"/>
          <w:color w:val="auto"/>
        </w:rPr>
        <w:t>(10.17)</w:t>
        <w:tab/>
        <w:t>Fifth Amendment to Second Amended and Restated Credit Agreement between CTO Realty Growth, Inc., the Borrower, the Guarantors party thereto, the Lenders party thereto and Bank of Montreal, as Administrative Agent, dated November 9, 2020, filed as Exhibit 10.1 to registrant’s Current Report on Form 8-K filed November 13, 2020, and incorporated herein by reference.</w:t>
      </w:r>
    </w:p>
    <w:p>
      <w:pPr>
        <w:spacing w:after="0" w:line="235" w:lineRule="exact"/>
        <w:rPr>
          <w:sz w:val="20"/>
          <w:szCs w:val="20"/>
          <w:color w:val="auto"/>
        </w:rPr>
      </w:pPr>
    </w:p>
    <w:p>
      <w:pPr>
        <w:ind w:left="880" w:right="500" w:hanging="825"/>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(10.18)</w:t>
        <w:tab/>
        <w:t>Sixth Amendment to Second Amended and Restated Credit Agreement and Joinder Dated March 10, 2021 filed as Exhibit 10.1 to the registrant’s Current Report on Form 8-K filed March 12, 2021, and incorporated herein by reference.</w:t>
      </w:r>
    </w:p>
    <w:p>
      <w:pPr>
        <w:spacing w:after="0" w:line="1" w:lineRule="exact"/>
        <w:rPr>
          <w:sz w:val="20"/>
          <w:szCs w:val="20"/>
          <w:color w:val="auto"/>
        </w:rPr>
      </w:pPr>
    </w:p>
    <w:p>
      <w:pPr>
        <w:ind w:left="880" w:right="60" w:hanging="825"/>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(10.19)</w:t>
        <w:tab/>
        <w:t>Seventh Amendment to Second Amended and Restated Credit Agreement and Joinder Dated November 5, 2021 filed as Exhibit 10.19 to the registrant’s Annual Report on Form 10-K for the year ended December 31, 2021, and incorporated herein by reference.</w:t>
      </w:r>
    </w:p>
    <w:p>
      <w:pPr>
        <w:spacing w:after="0" w:line="1" w:lineRule="exact"/>
        <w:rPr>
          <w:sz w:val="20"/>
          <w:szCs w:val="20"/>
          <w:color w:val="auto"/>
        </w:rPr>
      </w:pPr>
    </w:p>
    <w:p>
      <w:pPr>
        <w:ind w:left="880" w:right="20" w:hanging="825"/>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(10.20)</w:t>
        <w:tab/>
        <w:t>Eighth Amendment to Second Amended and Restated Credit Agreement and Joinder Dated September 20, 2022 filed as Exhibit 10.1 to the registrant’s Current Report on Form 8-K filed on September 23, 2022, and incorporated herein by reference.</w:t>
      </w:r>
    </w:p>
    <w:p>
      <w:pPr>
        <w:spacing w:after="0" w:line="1" w:lineRule="exact"/>
        <w:rPr>
          <w:sz w:val="20"/>
          <w:szCs w:val="20"/>
          <w:color w:val="auto"/>
        </w:rPr>
      </w:pPr>
    </w:p>
    <w:p>
      <w:pPr>
        <w:ind w:left="880" w:right="100" w:hanging="825"/>
        <w:spacing w:after="0" w:line="257" w:lineRule="auto"/>
        <w:tabs>
          <w:tab w:leader="none" w:pos="860" w:val="left"/>
        </w:tabs>
        <w:rPr>
          <w:sz w:val="20"/>
          <w:szCs w:val="20"/>
          <w:color w:val="auto"/>
        </w:rPr>
      </w:pPr>
      <w:r>
        <w:rPr>
          <w:rFonts w:ascii="Times New Roman" w:cs="Times New Roman" w:eastAsia="Times New Roman" w:hAnsi="Times New Roman"/>
          <w:sz w:val="20"/>
          <w:szCs w:val="20"/>
          <w:color w:val="auto"/>
        </w:rPr>
        <w:t>(10.21)</w:t>
        <w:tab/>
        <w:t>Tax Protection Agreement among Alpine Income Property Trust, Inc., Alpine Income Property Trust OP, LP, Consolidated-Tomoka Land Co. (now CTO Realty Growth, Inc.) and Indigo Group Ltd. filed as Exhibit 10.4 to the registrant’s Current Report on Form 8-K filed November 27, 2019, and incorporated herein by reference.</w:t>
      </w:r>
    </w:p>
    <w:p>
      <w:pPr>
        <w:spacing w:after="0" w:line="3" w:lineRule="exact"/>
        <w:rPr>
          <w:sz w:val="20"/>
          <w:szCs w:val="20"/>
          <w:color w:val="auto"/>
        </w:rPr>
      </w:pPr>
    </w:p>
    <w:p>
      <w:pPr>
        <w:ind w:left="880" w:right="240" w:hanging="825"/>
        <w:spacing w:after="0" w:line="267" w:lineRule="auto"/>
        <w:tabs>
          <w:tab w:leader="none" w:pos="860" w:val="left"/>
        </w:tabs>
        <w:rPr>
          <w:sz w:val="20"/>
          <w:szCs w:val="20"/>
          <w:color w:val="auto"/>
        </w:rPr>
      </w:pPr>
      <w:r>
        <w:rPr>
          <w:rFonts w:ascii="Times New Roman" w:cs="Times New Roman" w:eastAsia="Times New Roman" w:hAnsi="Times New Roman"/>
          <w:sz w:val="20"/>
          <w:szCs w:val="20"/>
          <w:color w:val="auto"/>
        </w:rPr>
        <w:t>(10.22)</w:t>
        <w:tab/>
        <w:t>Management Agreement among Alpine Income Property Trust, Inc., Alpine Income Property OP, LP and Alpine Income Property Manager, LLC filed as Exhibit 10.2 to the registrant’s Current Report on Form 8-K filed November 27, 2019, and incorporated herein by reference.</w:t>
      </w:r>
    </w:p>
    <w:p>
      <w:pPr>
        <w:sectPr>
          <w:pgSz w:w="11880" w:h="15480" w:orient="portrait"/>
          <w:cols w:equalWidth="0" w:num="1">
            <w:col w:w="9020"/>
          </w:cols>
          <w:pgMar w:left="1440" w:top="1025" w:right="142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020"/>
          </w:cols>
          <w:pgMar w:left="1440" w:top="1025" w:right="1420" w:bottom="70" w:gutter="0" w:footer="0" w:header="0"/>
          <w:type w:val="continuous"/>
        </w:sectPr>
      </w:pPr>
    </w:p>
    <w:bookmarkStart w:id="73" w:name="page74"/>
    <w:bookmarkEnd w:id="73"/>
    <w:p>
      <w:pPr>
        <w:ind w:left="880" w:hanging="825"/>
        <w:spacing w:after="0" w:line="257" w:lineRule="auto"/>
        <w:tabs>
          <w:tab w:leader="none" w:pos="860" w:val="left"/>
        </w:tabs>
        <w:rPr>
          <w:sz w:val="20"/>
          <w:szCs w:val="20"/>
          <w:color w:val="auto"/>
        </w:rPr>
      </w:pPr>
      <w:r>
        <w:rPr>
          <w:rFonts w:ascii="Times New Roman" w:cs="Times New Roman" w:eastAsia="Times New Roman" w:hAnsi="Times New Roman"/>
          <w:sz w:val="20"/>
          <w:szCs w:val="20"/>
          <w:color w:val="auto"/>
        </w:rPr>
        <w:t>(10.23)</w:t>
        <w:tab/>
        <w:t>Exclusivity and Right of First Offer Agreement between Alpine Income Property Trust, Inc. and Consolidated-Tomoka Land Co. (now CTO Realty Growth, Inc.) filed as Exhibit 10.3 to the registrant’s Current Report on Form 8-K filed November 27, 2019, and incorporated herein by reference.</w:t>
      </w:r>
    </w:p>
    <w:p>
      <w:pPr>
        <w:spacing w:after="0" w:line="3" w:lineRule="exact"/>
        <w:rPr>
          <w:sz w:val="20"/>
          <w:szCs w:val="20"/>
          <w:color w:val="auto"/>
        </w:rPr>
      </w:pPr>
    </w:p>
    <w:p>
      <w:pPr>
        <w:ind w:left="880" w:right="16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*(10.24)</w:t>
        <w:tab/>
        <w:t>Form of February 14, 2024 Performance Share Award Agreement, filed as Exhibit 10.28 to the registrant’s Annual Report on Form 10-K for the year ended December 31, 2023, and incorporated herein by reference.</w:t>
      </w:r>
    </w:p>
    <w:p>
      <w:pPr>
        <w:spacing w:after="0" w:line="1" w:lineRule="exact"/>
        <w:rPr>
          <w:sz w:val="20"/>
          <w:szCs w:val="20"/>
          <w:color w:val="auto"/>
        </w:rPr>
      </w:pPr>
    </w:p>
    <w:p>
      <w:pPr>
        <w:ind w:left="880" w:right="260" w:hanging="825"/>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(10.25)</w:t>
        <w:tab/>
        <w:t>Ninth Amendment to Second Amended and Restated Credit Agreement, Release and Joinder Dated December 20, 2023, filed as Exhibit 10.29 to the registrant’s Annual Report on Form 10-K for the year ended December 31, 2023, and incorporated herein by reference.</w:t>
      </w:r>
    </w:p>
    <w:p>
      <w:pPr>
        <w:spacing w:after="0" w:line="1" w:lineRule="exact"/>
        <w:rPr>
          <w:sz w:val="20"/>
          <w:szCs w:val="20"/>
          <w:color w:val="auto"/>
        </w:rPr>
      </w:pPr>
    </w:p>
    <w:p>
      <w:pPr>
        <w:ind w:left="88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*(10.26)</w:t>
        <w:tab/>
        <w:t>Employment Agreement between CTO Realty Growth, Inc. and Philip R. Mays entered into May 29, 2024, filed as Exhibit 10.1 to the registrant’s Current Report on Form 8-K filed May 31, 2024, and incorporated herein by reference.</w:t>
      </w:r>
    </w:p>
    <w:p>
      <w:pPr>
        <w:spacing w:after="0" w:line="1" w:lineRule="exact"/>
        <w:rPr>
          <w:sz w:val="20"/>
          <w:szCs w:val="20"/>
          <w:color w:val="auto"/>
        </w:rPr>
      </w:pPr>
    </w:p>
    <w:p>
      <w:pPr>
        <w:ind w:left="880" w:right="280" w:hanging="825"/>
        <w:spacing w:after="0" w:line="257" w:lineRule="auto"/>
        <w:tabs>
          <w:tab w:leader="none" w:pos="860" w:val="left"/>
        </w:tabs>
        <w:rPr>
          <w:sz w:val="20"/>
          <w:szCs w:val="20"/>
          <w:color w:val="auto"/>
        </w:rPr>
      </w:pPr>
      <w:r>
        <w:rPr>
          <w:rFonts w:ascii="Times New Roman" w:cs="Times New Roman" w:eastAsia="Times New Roman" w:hAnsi="Times New Roman"/>
          <w:sz w:val="20"/>
          <w:szCs w:val="20"/>
          <w:color w:val="auto"/>
        </w:rPr>
        <w:t>(10.27)</w:t>
        <w:tab/>
        <w:t>Amendment No. 1 to Management Agreement among Alpine Income Property Trust, Inc., Alpine Income Property OP, LP and Alpine Income Property Manager, LLC, dated July 18, 2024, filed as Exhibit 10.1 to the registrant’s Current Report on Form 8-K filed July 19, 2024, and incorporated herein by reference.</w:t>
      </w:r>
    </w:p>
    <w:p>
      <w:pPr>
        <w:spacing w:after="0" w:line="3" w:lineRule="exact"/>
        <w:rPr>
          <w:sz w:val="20"/>
          <w:szCs w:val="20"/>
          <w:color w:val="auto"/>
        </w:rPr>
      </w:pPr>
    </w:p>
    <w:p>
      <w:pPr>
        <w:ind w:left="880" w:right="20" w:hanging="825"/>
        <w:spacing w:after="0" w:line="257" w:lineRule="auto"/>
        <w:tabs>
          <w:tab w:leader="none" w:pos="860" w:val="left"/>
        </w:tabs>
        <w:rPr>
          <w:sz w:val="20"/>
          <w:szCs w:val="20"/>
          <w:color w:val="auto"/>
        </w:rPr>
      </w:pPr>
      <w:r>
        <w:rPr>
          <w:rFonts w:ascii="Times New Roman" w:cs="Times New Roman" w:eastAsia="Times New Roman" w:hAnsi="Times New Roman"/>
          <w:sz w:val="20"/>
          <w:szCs w:val="20"/>
          <w:color w:val="auto"/>
        </w:rPr>
        <w:t>(10.28)</w:t>
        <w:tab/>
        <w:t>Credit Agreement between CTO Realty Growth, Inc., the Borrower, the Guarantors party thereto, the Lenders party thereto and KeyBank National Association, as Administrative Agent, dated September 30, 2024, filed as Exhibit 10.2 to the registrant’s Quarterly Report on Form 10-Q filed October 24, 2024, and incorporated herein by reference.</w:t>
      </w:r>
    </w:p>
    <w:p>
      <w:pPr>
        <w:spacing w:after="0" w:line="3" w:lineRule="exact"/>
        <w:rPr>
          <w:sz w:val="20"/>
          <w:szCs w:val="20"/>
          <w:color w:val="auto"/>
        </w:rPr>
      </w:pPr>
    </w:p>
    <w:p>
      <w:pPr>
        <w:jc w:val="both"/>
        <w:ind w:left="880" w:right="8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*(10.29)</w:t>
        <w:tab/>
        <w:t>Employment Agreement between CTO Realty Growth, Inc. and Lisa M. Vorakoun entered into October 22, 2024, filed as Exhibit 10.3 to the registrant’s Quarterly Report on Form 10-Q filed October 24, 2024, and incorporated herein by reference.</w:t>
      </w:r>
    </w:p>
    <w:p>
      <w:pPr>
        <w:spacing w:after="0" w:line="1" w:lineRule="exact"/>
        <w:rPr>
          <w:sz w:val="20"/>
          <w:szCs w:val="20"/>
          <w:color w:val="auto"/>
        </w:rPr>
      </w:pPr>
    </w:p>
    <w:p>
      <w:pPr>
        <w:ind w:left="880" w:right="60" w:hanging="924"/>
        <w:spacing w:after="0" w:line="257" w:lineRule="auto"/>
        <w:tabs>
          <w:tab w:leader="none" w:pos="860" w:val="left"/>
        </w:tabs>
        <w:rPr>
          <w:sz w:val="20"/>
          <w:szCs w:val="20"/>
          <w:color w:val="auto"/>
        </w:rPr>
      </w:pPr>
      <w:r>
        <w:rPr>
          <w:rFonts w:ascii="Times New Roman" w:cs="Times New Roman" w:eastAsia="Times New Roman" w:hAnsi="Times New Roman"/>
          <w:sz w:val="20"/>
          <w:szCs w:val="20"/>
          <w:color w:val="auto"/>
        </w:rPr>
        <w:t>*(10.30)</w:t>
        <w:tab/>
        <w:t>First Amendment to Second Amended and Restated Employment Agreement between CTO Realty Growth, Inc. and John P. Albright entered into October 22, 2024, filed as Exhibit 10.4 to the registrant’s Quarterly Report on Form 10-Q filed October 24, 2024, and incorporated herein by reference.</w:t>
      </w:r>
    </w:p>
    <w:p>
      <w:pPr>
        <w:spacing w:after="0" w:line="3" w:lineRule="exact"/>
        <w:rPr>
          <w:sz w:val="20"/>
          <w:szCs w:val="20"/>
          <w:color w:val="auto"/>
        </w:rPr>
      </w:pPr>
    </w:p>
    <w:p>
      <w:pPr>
        <w:ind w:left="880" w:right="24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*(10.31)</w:t>
        <w:tab/>
        <w:t>Second Amendment to Employment Agreement between CTO Realty Growth, Inc. and Steven R. Greathouse entered into October 22, 2024, filed as Exhibit 10.5 to the registrant’s Quarterly Report on Form 10-Q filed October 24, 2024, and incorporated herein by reference.</w:t>
      </w:r>
    </w:p>
    <w:p>
      <w:pPr>
        <w:spacing w:after="0" w:line="1" w:lineRule="exact"/>
        <w:rPr>
          <w:sz w:val="20"/>
          <w:szCs w:val="20"/>
          <w:color w:val="auto"/>
        </w:rPr>
      </w:pPr>
    </w:p>
    <w:p>
      <w:pPr>
        <w:jc w:val="both"/>
        <w:ind w:left="88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*(10.32)</w:t>
        <w:tab/>
        <w:t>Third Amendment to Employment Agreement between CTO Realty Growth, Inc. and Daniel E. Smith entered into October 22, 2024, filed as Exhibit 10.6 to the registrant’s Quarterly Report on Form 10-Q filed October 24, 2024, and incorporated herein by reference.</w:t>
      </w:r>
    </w:p>
    <w:p>
      <w:pPr>
        <w:spacing w:after="0" w:line="1" w:lineRule="exact"/>
        <w:rPr>
          <w:sz w:val="20"/>
          <w:szCs w:val="20"/>
          <w:color w:val="auto"/>
        </w:rPr>
      </w:pPr>
    </w:p>
    <w:p>
      <w:pPr>
        <w:jc w:val="both"/>
        <w:ind w:left="880" w:right="18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*(10.33)</w:t>
        <w:tab/>
        <w:t>Employment Agreement between CTO Realty Growth, Inc. and Steven R. Greathouse entered into February 26, 2016, filed as Exhibit 10.34 to the registrant’s Annual Report on Form 10-K filed February 20, 2025, and incorporated herein by reference.</w:t>
      </w:r>
    </w:p>
    <w:p>
      <w:pPr>
        <w:spacing w:after="0" w:line="1" w:lineRule="exact"/>
        <w:rPr>
          <w:sz w:val="20"/>
          <w:szCs w:val="20"/>
          <w:color w:val="auto"/>
        </w:rPr>
      </w:pPr>
    </w:p>
    <w:p>
      <w:pPr>
        <w:jc w:val="both"/>
        <w:ind w:left="880" w:right="8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*(10.34)</w:t>
        <w:tab/>
        <w:t>First Amendment to Employment Agreement between CTO Realty Growth, Inc. and Steven R. Greathouse entered into August 4, 2017, filed as Exhibit 10.35 to the registrant’s Annual Report on Form 10-K filed February 20, 2025, and incorporated herein by reference.</w:t>
      </w:r>
    </w:p>
    <w:p>
      <w:pPr>
        <w:spacing w:after="0" w:line="1" w:lineRule="exact"/>
        <w:rPr>
          <w:sz w:val="20"/>
          <w:szCs w:val="20"/>
          <w:color w:val="auto"/>
        </w:rPr>
      </w:pPr>
    </w:p>
    <w:p>
      <w:pPr>
        <w:jc w:val="both"/>
        <w:ind w:left="88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*(10.35)</w:t>
        <w:tab/>
        <w:t>First Amendment to Employment Agreement between CTO Realty Growth, Inc. and Daniel E. Smith entered into February 26, 2016, filed as Exhibit 10.36 to the registrant’s Annual Report on Form 10-K filed February 20, 2025, and incorporated herein by reference.</w:t>
      </w:r>
    </w:p>
    <w:p>
      <w:pPr>
        <w:spacing w:after="0" w:line="1" w:lineRule="exact"/>
        <w:rPr>
          <w:sz w:val="20"/>
          <w:szCs w:val="20"/>
          <w:color w:val="auto"/>
        </w:rPr>
      </w:pPr>
    </w:p>
    <w:p>
      <w:pPr>
        <w:ind w:left="880" w:right="340" w:hanging="924"/>
        <w:spacing w:after="0" w:line="260" w:lineRule="auto"/>
        <w:tabs>
          <w:tab w:leader="none" w:pos="860" w:val="left"/>
        </w:tabs>
        <w:rPr>
          <w:sz w:val="20"/>
          <w:szCs w:val="20"/>
          <w:color w:val="auto"/>
        </w:rPr>
      </w:pPr>
      <w:r>
        <w:rPr>
          <w:rFonts w:ascii="Times New Roman" w:cs="Times New Roman" w:eastAsia="Times New Roman" w:hAnsi="Times New Roman"/>
          <w:sz w:val="20"/>
          <w:szCs w:val="20"/>
          <w:color w:val="auto"/>
        </w:rPr>
        <w:t>*(10.36)</w:t>
        <w:tab/>
        <w:t>Second Amendment to Employment Agreement between CTO Realty Growth, Inc. and Daniel E. Smith entered into August 4, 2017, filed as Exhibit 10.37 to the registrant’s Annual Report on Form 10-K filed February 20, 2025, and incorporated herein by reference.</w:t>
      </w:r>
    </w:p>
    <w:p>
      <w:pPr>
        <w:spacing w:after="0" w:line="1" w:lineRule="exact"/>
        <w:rPr>
          <w:sz w:val="20"/>
          <w:szCs w:val="20"/>
          <w:color w:val="auto"/>
        </w:rPr>
      </w:pPr>
    </w:p>
    <w:p>
      <w:pPr>
        <w:ind w:left="880" w:hanging="825"/>
        <w:spacing w:after="0" w:line="261" w:lineRule="auto"/>
        <w:tabs>
          <w:tab w:leader="none" w:pos="860" w:val="left"/>
        </w:tabs>
        <w:rPr>
          <w:sz w:val="20"/>
          <w:szCs w:val="20"/>
          <w:color w:val="auto"/>
        </w:rPr>
      </w:pPr>
      <w:r>
        <w:rPr>
          <w:rFonts w:ascii="Times New Roman" w:cs="Times New Roman" w:eastAsia="Times New Roman" w:hAnsi="Times New Roman"/>
          <w:sz w:val="20"/>
          <w:szCs w:val="20"/>
          <w:color w:val="auto"/>
        </w:rPr>
        <w:t>(10.37)</w:t>
        <w:tab/>
        <w:t>First Amendment to Credit Agreement between CTO Realty Growth, Inc., the Borrower, the Guarantors party thereto, the Lenders party thereto and Key Bank National Association, as Administrative Agent, dated December 20, 2024, filed as Exhibit 10.38 to the registrant’s Annual Report on Form 10-K filed February 20, 2025, and incorporated herein by reference.</w:t>
      </w:r>
    </w:p>
    <w:p>
      <w:pPr>
        <w:sectPr>
          <w:pgSz w:w="11880" w:h="15480" w:orient="portrait"/>
          <w:cols w:equalWidth="0" w:num="1">
            <w:col w:w="9020"/>
          </w:cols>
          <w:pgMar w:left="1440" w:top="1025" w:right="142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020"/>
          </w:cols>
          <w:pgMar w:left="1440" w:top="1025" w:right="1420" w:bottom="70" w:gutter="0" w:footer="0" w:header="0"/>
          <w:type w:val="continuous"/>
        </w:sectPr>
      </w:pPr>
    </w:p>
    <w:bookmarkStart w:id="74" w:name="page75"/>
    <w:bookmarkEnd w:id="74"/>
    <w:p>
      <w:pPr>
        <w:ind w:left="930" w:right="320" w:hanging="725"/>
        <w:spacing w:after="0" w:line="260" w:lineRule="auto"/>
        <w:rPr>
          <w:sz w:val="20"/>
          <w:szCs w:val="20"/>
          <w:color w:val="auto"/>
        </w:rPr>
      </w:pPr>
      <w:r>
        <w:rPr>
          <w:rFonts w:ascii="Times New Roman" w:cs="Times New Roman" w:eastAsia="Times New Roman" w:hAnsi="Times New Roman"/>
          <w:sz w:val="20"/>
          <w:szCs w:val="20"/>
          <w:color w:val="auto"/>
        </w:rPr>
        <w:t>(10.38) Tenth Amendment to Second Amended and Restated Credit Agreement, Release and Joinder Dated December 20, 2024, filed as Exhibit 10.39 to the registrant’s Annual Report on Form 10-K filed February 20, 2025, and incorporated herein by reference.</w:t>
      </w:r>
    </w:p>
    <w:p>
      <w:pPr>
        <w:spacing w:after="0" w:line="1" w:lineRule="exact"/>
        <w:rPr>
          <w:sz w:val="20"/>
          <w:szCs w:val="20"/>
          <w:color w:val="auto"/>
        </w:rPr>
      </w:pPr>
    </w:p>
    <w:p>
      <w:pPr>
        <w:ind w:left="930" w:right="520" w:hanging="825"/>
        <w:spacing w:after="0" w:line="260" w:lineRule="auto"/>
        <w:rPr>
          <w:sz w:val="20"/>
          <w:szCs w:val="20"/>
          <w:color w:val="auto"/>
        </w:rPr>
      </w:pPr>
      <w:r>
        <w:rPr>
          <w:rFonts w:ascii="Times New Roman" w:cs="Times New Roman" w:eastAsia="Times New Roman" w:hAnsi="Times New Roman"/>
          <w:sz w:val="20"/>
          <w:szCs w:val="20"/>
          <w:color w:val="auto"/>
        </w:rPr>
        <w:t>*(10.39) Form of February 12, 2025 Non-Employee Director Stock Award Agreement, filed as Exhibit 10.40 to the registrant’s Annual Report on Form 10-K filed February 20, 2025, and incorporated herein by reference.</w:t>
      </w:r>
    </w:p>
    <w:p>
      <w:pPr>
        <w:spacing w:after="0" w:line="1" w:lineRule="exact"/>
        <w:rPr>
          <w:sz w:val="20"/>
          <w:szCs w:val="20"/>
          <w:color w:val="auto"/>
        </w:rPr>
      </w:pPr>
    </w:p>
    <w:p>
      <w:pPr>
        <w:jc w:val="both"/>
        <w:ind w:left="930" w:right="200" w:hanging="825"/>
        <w:spacing w:after="0" w:line="260" w:lineRule="auto"/>
        <w:rPr>
          <w:sz w:val="20"/>
          <w:szCs w:val="20"/>
          <w:color w:val="auto"/>
        </w:rPr>
      </w:pPr>
      <w:r>
        <w:rPr>
          <w:rFonts w:ascii="Times New Roman" w:cs="Times New Roman" w:eastAsia="Times New Roman" w:hAnsi="Times New Roman"/>
          <w:sz w:val="20"/>
          <w:szCs w:val="20"/>
          <w:color w:val="auto"/>
        </w:rPr>
        <w:t>*(10.40) Form of February 12, 2025 Performance Share Award Agreement, filed as Exhibit 10.41 to the registrant’s Annual Report on Form 10-K filed February 20, 2025, and incorporated herein by reference.</w:t>
      </w:r>
    </w:p>
    <w:p>
      <w:pPr>
        <w:spacing w:after="0" w:line="1" w:lineRule="exact"/>
        <w:rPr>
          <w:sz w:val="20"/>
          <w:szCs w:val="20"/>
          <w:color w:val="auto"/>
        </w:rPr>
      </w:pPr>
    </w:p>
    <w:p>
      <w:pPr>
        <w:ind w:left="930" w:right="180" w:hanging="725"/>
        <w:spacing w:after="0" w:line="257" w:lineRule="auto"/>
        <w:rPr>
          <w:sz w:val="20"/>
          <w:szCs w:val="20"/>
          <w:color w:val="auto"/>
        </w:rPr>
      </w:pPr>
      <w:r>
        <w:rPr>
          <w:rFonts w:ascii="Times New Roman" w:cs="Times New Roman" w:eastAsia="Times New Roman" w:hAnsi="Times New Roman"/>
          <w:sz w:val="20"/>
          <w:szCs w:val="20"/>
          <w:color w:val="auto"/>
        </w:rPr>
        <w:t>(10.41) Second Amendment to Credit Agreement among CTO Realty Growth, Inc., the Guarantors party thereto, the Lenders party thereto and KeyBank National Association, as Administrative Agent, dated September 25, 2025, filed as Exhibit 10.1 to the registrant’s Quarterly Report on Form 10-Q filed October 28, 2025, and incorporated herein by reference.</w:t>
      </w:r>
    </w:p>
    <w:p>
      <w:pPr>
        <w:spacing w:after="0" w:line="3" w:lineRule="exact"/>
        <w:rPr>
          <w:sz w:val="20"/>
          <w:szCs w:val="20"/>
          <w:color w:val="auto"/>
        </w:rPr>
      </w:pPr>
    </w:p>
    <w:p>
      <w:pPr>
        <w:ind w:left="930" w:right="220" w:hanging="725"/>
        <w:spacing w:after="0" w:line="265" w:lineRule="auto"/>
        <w:rPr>
          <w:sz w:val="20"/>
          <w:szCs w:val="20"/>
          <w:color w:val="auto"/>
        </w:rPr>
      </w:pPr>
      <w:r>
        <w:rPr>
          <w:rFonts w:ascii="Times New Roman" w:cs="Times New Roman" w:eastAsia="Times New Roman" w:hAnsi="Times New Roman"/>
          <w:sz w:val="20"/>
          <w:szCs w:val="20"/>
          <w:color w:val="auto"/>
        </w:rPr>
        <w:t>(10.42) Waiver Letter, dated November 5, 2025, filed as Exhibit 10.1 to the registrant’s Current Report on Form 8-K filed November 10, 2025, and incorporated herein by reference.</w:t>
      </w:r>
    </w:p>
    <w:p>
      <w:pPr>
        <w:spacing w:after="0" w:line="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(10.43)  Waiver Letter, dated December 5, 2025 (filed herewith).</w:t>
      </w:r>
    </w:p>
    <w:p>
      <w:pPr>
        <w:spacing w:after="0" w:line="39" w:lineRule="exact"/>
        <w:rPr>
          <w:sz w:val="20"/>
          <w:szCs w:val="20"/>
          <w:color w:val="auto"/>
        </w:rPr>
      </w:pPr>
    </w:p>
    <w:p>
      <w:pPr>
        <w:ind w:left="930" w:right="660" w:hanging="725"/>
        <w:spacing w:after="0" w:line="265" w:lineRule="auto"/>
        <w:rPr>
          <w:sz w:val="20"/>
          <w:szCs w:val="20"/>
          <w:color w:val="auto"/>
        </w:rPr>
      </w:pPr>
      <w:r>
        <w:rPr>
          <w:rFonts w:ascii="Times New Roman" w:cs="Times New Roman" w:eastAsia="Times New Roman" w:hAnsi="Times New Roman"/>
          <w:sz w:val="20"/>
          <w:szCs w:val="20"/>
          <w:color w:val="auto"/>
        </w:rPr>
        <w:t>(10.44) Form of February 11, 2026, 2026 Non-Employee Director Stock Award Agreement (filed herewith).</w:t>
      </w:r>
    </w:p>
    <w:p>
      <w:pPr>
        <w:spacing w:after="0" w:line="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(10.45)  Form of February 11, 2026, 2026 Performance Share Award Agreement (filed herewith).</w:t>
      </w:r>
    </w:p>
    <w:p>
      <w:pPr>
        <w:spacing w:after="0" w:line="39" w:lineRule="exact"/>
        <w:rPr>
          <w:sz w:val="20"/>
          <w:szCs w:val="20"/>
          <w:color w:val="auto"/>
        </w:rPr>
      </w:pPr>
    </w:p>
    <w:p>
      <w:pPr>
        <w:ind w:left="190"/>
        <w:spacing w:after="0"/>
        <w:tabs>
          <w:tab w:leader="none" w:pos="909" w:val="left"/>
        </w:tabs>
        <w:rPr>
          <w:sz w:val="20"/>
          <w:szCs w:val="20"/>
          <w:color w:val="auto"/>
        </w:rPr>
      </w:pPr>
      <w:r>
        <w:rPr>
          <w:rFonts w:ascii="Times New Roman" w:cs="Times New Roman" w:eastAsia="Times New Roman" w:hAnsi="Times New Roman"/>
          <w:sz w:val="20"/>
          <w:szCs w:val="20"/>
          <w:color w:val="auto"/>
        </w:rPr>
        <w:t>(19.1)</w:t>
        <w:tab/>
        <w:t>Insider Trading Policy (filed herewith).</w:t>
      </w:r>
    </w:p>
    <w:p>
      <w:pPr>
        <w:spacing w:after="0" w:line="39" w:lineRule="exact"/>
        <w:rPr>
          <w:sz w:val="20"/>
          <w:szCs w:val="20"/>
          <w:color w:val="auto"/>
        </w:rPr>
      </w:pPr>
    </w:p>
    <w:p>
      <w:pPr>
        <w:ind w:left="190"/>
        <w:spacing w:after="0"/>
        <w:tabs>
          <w:tab w:leader="none" w:pos="909" w:val="left"/>
        </w:tabs>
        <w:rPr>
          <w:sz w:val="20"/>
          <w:szCs w:val="20"/>
          <w:color w:val="auto"/>
        </w:rPr>
      </w:pPr>
      <w:r>
        <w:rPr>
          <w:rFonts w:ascii="Times New Roman" w:cs="Times New Roman" w:eastAsia="Times New Roman" w:hAnsi="Times New Roman"/>
          <w:sz w:val="20"/>
          <w:szCs w:val="20"/>
          <w:color w:val="auto"/>
        </w:rPr>
        <w:t>(21.1)</w:t>
        <w:tab/>
        <w:t>Subsidiaries of the Registrant (filed herewith).</w:t>
      </w:r>
    </w:p>
    <w:p>
      <w:pPr>
        <w:spacing w:after="0" w:line="39" w:lineRule="exact"/>
        <w:rPr>
          <w:sz w:val="20"/>
          <w:szCs w:val="20"/>
          <w:color w:val="auto"/>
        </w:rPr>
      </w:pPr>
    </w:p>
    <w:p>
      <w:pPr>
        <w:ind w:left="190"/>
        <w:spacing w:after="0"/>
        <w:tabs>
          <w:tab w:leader="none" w:pos="909" w:val="left"/>
        </w:tabs>
        <w:rPr>
          <w:sz w:val="20"/>
          <w:szCs w:val="20"/>
          <w:color w:val="auto"/>
        </w:rPr>
      </w:pPr>
      <w:r>
        <w:rPr>
          <w:rFonts w:ascii="Times New Roman" w:cs="Times New Roman" w:eastAsia="Times New Roman" w:hAnsi="Times New Roman"/>
          <w:sz w:val="20"/>
          <w:szCs w:val="20"/>
          <w:color w:val="auto"/>
        </w:rPr>
        <w:t>(23.1)</w:t>
        <w:tab/>
        <w:t>Consent of Independent Registered Public Accounting Firm (filed herewith).</w:t>
      </w:r>
    </w:p>
    <w:p>
      <w:pPr>
        <w:spacing w:after="0" w:line="39" w:lineRule="exact"/>
        <w:rPr>
          <w:sz w:val="20"/>
          <w:szCs w:val="20"/>
          <w:color w:val="auto"/>
        </w:rPr>
      </w:pPr>
    </w:p>
    <w:p>
      <w:pPr>
        <w:ind w:left="190"/>
        <w:spacing w:after="0"/>
        <w:tabs>
          <w:tab w:leader="none" w:pos="909" w:val="left"/>
        </w:tabs>
        <w:rPr>
          <w:sz w:val="20"/>
          <w:szCs w:val="20"/>
          <w:color w:val="auto"/>
        </w:rPr>
      </w:pPr>
      <w:r>
        <w:rPr>
          <w:rFonts w:ascii="Times New Roman" w:cs="Times New Roman" w:eastAsia="Times New Roman" w:hAnsi="Times New Roman"/>
          <w:sz w:val="20"/>
          <w:szCs w:val="20"/>
          <w:color w:val="auto"/>
        </w:rPr>
        <w:t>(31.1)</w:t>
        <w:tab/>
        <w:t>Certification pursuant to Section 302 of Sarbanes-Oxley Act of 2002 (filed herewith).</w:t>
      </w:r>
    </w:p>
    <w:p>
      <w:pPr>
        <w:spacing w:after="0" w:line="39" w:lineRule="exact"/>
        <w:rPr>
          <w:sz w:val="20"/>
          <w:szCs w:val="20"/>
          <w:color w:val="auto"/>
        </w:rPr>
      </w:pPr>
    </w:p>
    <w:p>
      <w:pPr>
        <w:ind w:left="190"/>
        <w:spacing w:after="0"/>
        <w:tabs>
          <w:tab w:leader="none" w:pos="909" w:val="left"/>
        </w:tabs>
        <w:rPr>
          <w:sz w:val="20"/>
          <w:szCs w:val="20"/>
          <w:color w:val="auto"/>
        </w:rPr>
      </w:pPr>
      <w:r>
        <w:rPr>
          <w:rFonts w:ascii="Times New Roman" w:cs="Times New Roman" w:eastAsia="Times New Roman" w:hAnsi="Times New Roman"/>
          <w:sz w:val="20"/>
          <w:szCs w:val="20"/>
          <w:color w:val="auto"/>
        </w:rPr>
        <w:t>(31.2)</w:t>
        <w:tab/>
        <w:t>Certification pursuant to Section 302 of Sarbanes-Oxley Act of 2002 (filed herewith).</w:t>
      </w:r>
    </w:p>
    <w:p>
      <w:pPr>
        <w:spacing w:after="0" w:line="39" w:lineRule="exact"/>
        <w:rPr>
          <w:sz w:val="20"/>
          <w:szCs w:val="20"/>
          <w:color w:val="auto"/>
        </w:rPr>
      </w:pPr>
    </w:p>
    <w:p>
      <w:pPr>
        <w:ind w:left="930" w:right="680" w:hanging="919"/>
        <w:spacing w:after="0" w:line="265" w:lineRule="auto"/>
        <w:tabs>
          <w:tab w:leader="none" w:pos="909" w:val="left"/>
        </w:tabs>
        <w:rPr>
          <w:sz w:val="20"/>
          <w:szCs w:val="20"/>
          <w:color w:val="auto"/>
        </w:rPr>
      </w:pPr>
      <w:r>
        <w:rPr>
          <w:rFonts w:ascii="Times New Roman" w:cs="Times New Roman" w:eastAsia="Times New Roman" w:hAnsi="Times New Roman"/>
          <w:sz w:val="20"/>
          <w:szCs w:val="20"/>
          <w:color w:val="auto"/>
        </w:rPr>
        <w:t>**(32.1)</w:t>
        <w:tab/>
        <w:t>Certification pursuant to 18 U.S.C. Section 1350, adopted pursuant to Section 906 of the Sarbanes-Oxley Act of 2002.</w:t>
      </w:r>
    </w:p>
    <w:p>
      <w:pPr>
        <w:spacing w:after="0" w:line="1" w:lineRule="exact"/>
        <w:rPr>
          <w:sz w:val="20"/>
          <w:szCs w:val="20"/>
          <w:color w:val="auto"/>
        </w:rPr>
      </w:pPr>
    </w:p>
    <w:p>
      <w:pPr>
        <w:ind w:left="930" w:right="680" w:hanging="919"/>
        <w:spacing w:after="0" w:line="265" w:lineRule="auto"/>
        <w:tabs>
          <w:tab w:leader="none" w:pos="909" w:val="left"/>
        </w:tabs>
        <w:rPr>
          <w:sz w:val="20"/>
          <w:szCs w:val="20"/>
          <w:color w:val="auto"/>
        </w:rPr>
      </w:pPr>
      <w:r>
        <w:rPr>
          <w:rFonts w:ascii="Times New Roman" w:cs="Times New Roman" w:eastAsia="Times New Roman" w:hAnsi="Times New Roman"/>
          <w:sz w:val="20"/>
          <w:szCs w:val="20"/>
          <w:color w:val="auto"/>
        </w:rPr>
        <w:t>**(32.2)</w:t>
        <w:tab/>
        <w:t>Certification pursuant to 18 U.S.C. Section 1350, adopted pursuant to Section 906 of the Sarbanes-Oxley Act of 2002.</w:t>
      </w:r>
    </w:p>
    <w:p>
      <w:pPr>
        <w:spacing w:after="0" w:line="1" w:lineRule="exact"/>
        <w:rPr>
          <w:sz w:val="20"/>
          <w:szCs w:val="20"/>
          <w:color w:val="auto"/>
        </w:rPr>
      </w:pPr>
    </w:p>
    <w:p>
      <w:pPr>
        <w:jc w:val="center"/>
        <w:ind w:right="70"/>
        <w:spacing w:after="0"/>
        <w:tabs>
          <w:tab w:leader="none" w:pos="220" w:val="left"/>
        </w:tabs>
        <w:rPr>
          <w:sz w:val="20"/>
          <w:szCs w:val="20"/>
          <w:color w:val="auto"/>
        </w:rPr>
      </w:pPr>
      <w:r>
        <w:rPr>
          <w:rFonts w:ascii="Times New Roman" w:cs="Times New Roman" w:eastAsia="Times New Roman" w:hAnsi="Times New Roman"/>
          <w:sz w:val="20"/>
          <w:szCs w:val="20"/>
          <w:color w:val="auto"/>
        </w:rPr>
        <w:t>*(97.1)</w:t>
        <w:tab/>
        <w:t>Policy Relating to Recovery of Erroneously Awarded Compensation filed as Exhibit 97.1 to the</w:t>
      </w:r>
    </w:p>
    <w:p>
      <w:pPr>
        <w:spacing w:after="0" w:line="9" w:lineRule="exact"/>
        <w:rPr>
          <w:sz w:val="20"/>
          <w:szCs w:val="20"/>
          <w:color w:val="auto"/>
        </w:rPr>
      </w:pPr>
    </w:p>
    <w:p>
      <w:pPr>
        <w:ind w:left="930" w:right="1000"/>
        <w:spacing w:after="0" w:line="265" w:lineRule="auto"/>
        <w:rPr>
          <w:sz w:val="20"/>
          <w:szCs w:val="20"/>
          <w:color w:val="auto"/>
        </w:rPr>
      </w:pPr>
      <w:r>
        <w:rPr>
          <w:rFonts w:ascii="Times New Roman" w:cs="Times New Roman" w:eastAsia="Times New Roman" w:hAnsi="Times New Roman"/>
          <w:sz w:val="20"/>
          <w:szCs w:val="20"/>
          <w:color w:val="auto"/>
        </w:rPr>
        <w:t>registrant’s Annual Report on Form 10-K for the year ended December 31, 2023, and incorporated herein by reference.</w:t>
      </w:r>
    </w:p>
    <w:p>
      <w:pPr>
        <w:spacing w:after="0" w:line="1" w:lineRule="exact"/>
        <w:rPr>
          <w:sz w:val="20"/>
          <w:szCs w:val="20"/>
          <w:color w:val="auto"/>
        </w:rPr>
      </w:pPr>
    </w:p>
    <w:p>
      <w:pPr>
        <w:ind w:left="930" w:right="200" w:hanging="803"/>
        <w:spacing w:after="0" w:line="265" w:lineRule="auto"/>
        <w:tabs>
          <w:tab w:leader="none" w:pos="93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Inline XBRL Document Set for the consolidated financial statements and accompanying notes beginning on page F-1 of this Annual Report on Form 10-K (filed herewith).</w:t>
      </w:r>
    </w:p>
    <w:p>
      <w:pPr>
        <w:spacing w:after="0" w:line="1" w:lineRule="exact"/>
        <w:rPr>
          <w:sz w:val="20"/>
          <w:szCs w:val="20"/>
          <w:color w:val="auto"/>
        </w:rPr>
      </w:pPr>
    </w:p>
    <w:p>
      <w:pPr>
        <w:ind w:left="930" w:right="960" w:hanging="803"/>
        <w:spacing w:after="0" w:line="265" w:lineRule="auto"/>
        <w:tabs>
          <w:tab w:leader="none" w:pos="93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Inline XBRL for the cover page of this Annual Report on Form 10-K, included in the Exhibit 101 Inline XBRL Document Set (filed herewith).</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5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5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5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5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Definition Linkbase Document</w:t>
            </w: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5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5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bl>
    <w:p>
      <w:pPr>
        <w:spacing w:after="0" w:line="7" w:lineRule="exact"/>
        <w:rPr>
          <w:sz w:val="20"/>
          <w:szCs w:val="20"/>
          <w:color w:val="auto"/>
        </w:rPr>
      </w:pPr>
    </w:p>
    <w:p>
      <w:pPr>
        <w:ind w:left="930" w:hanging="737"/>
        <w:spacing w:after="0"/>
        <w:tabs>
          <w:tab w:leader="none" w:pos="93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p>
      <w:pPr>
        <w:spacing w:after="0" w:line="386" w:lineRule="exact"/>
        <w:rPr>
          <w:rFonts w:ascii="Times New Roman" w:cs="Times New Roman" w:eastAsia="Times New Roman" w:hAnsi="Times New Roman"/>
          <w:sz w:val="20"/>
          <w:szCs w:val="20"/>
          <w:color w:val="auto"/>
        </w:rPr>
      </w:pPr>
    </w:p>
    <w:p>
      <w:pPr>
        <w:ind w:left="390" w:hanging="390"/>
        <w:spacing w:after="0"/>
        <w:tabs>
          <w:tab w:leader="none" w:pos="39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95" w:lineRule="exact"/>
        <w:rPr>
          <w:rFonts w:ascii="Times New Roman" w:cs="Times New Roman" w:eastAsia="Times New Roman" w:hAnsi="Times New Roman"/>
          <w:sz w:val="16"/>
          <w:szCs w:val="16"/>
          <w:color w:val="auto"/>
        </w:rPr>
      </w:pPr>
    </w:p>
    <w:p>
      <w:pPr>
        <w:ind w:left="390" w:hanging="390"/>
        <w:spacing w:after="0" w:line="276" w:lineRule="auto"/>
        <w:tabs>
          <w:tab w:leader="none" w:pos="39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243" w:lineRule="exact"/>
        <w:rPr>
          <w:rFonts w:ascii="Times New Roman" w:cs="Times New Roman" w:eastAsia="Times New Roman" w:hAnsi="Times New Roman"/>
          <w:sz w:val="16"/>
          <w:szCs w:val="16"/>
          <w:color w:val="auto"/>
        </w:rPr>
      </w:pPr>
    </w:p>
    <w:p>
      <w:pPr>
        <w:ind w:left="390" w:right="220" w:hanging="390"/>
        <w:spacing w:after="0" w:line="295" w:lineRule="auto"/>
        <w:tabs>
          <w:tab w:leader="none" w:pos="39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redacted in compliance with Regulation S-K Item 601(b)(2). The omitted information is not material and is the type of information that the registrant customarily and actually treats as private and confidential.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-1100455</wp:posOffset>
                </wp:positionV>
                <wp:extent cx="136842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6499pt" to="107.75pt,-86.6499pt" o:allowincell="f" strokecolor="#000000" strokeweight="0.499pt"/>
            </w:pict>
          </mc:Fallback>
        </mc:AlternateContent>
      </w:r>
    </w:p>
    <w:p>
      <w:pPr>
        <w:sectPr>
          <w:pgSz w:w="11880" w:h="15480" w:orient="portrait"/>
          <w:cols w:equalWidth="0" w:num="1">
            <w:col w:w="9110"/>
          </w:cols>
          <w:pgMar w:left="139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110"/>
          </w:cols>
          <w:pgMar w:left="1390" w:top="1025" w:right="1380" w:bottom="7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1" w:lineRule="exact"/>
        <w:rPr>
          <w:sz w:val="20"/>
          <w:szCs w:val="20"/>
          <w:color w:val="auto"/>
        </w:rPr>
      </w:pPr>
    </w:p>
    <w:p>
      <w:pPr>
        <w:ind w:firstLine="399"/>
        <w:spacing w:after="0" w:line="28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9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CTO REALTY GROWTH, INC. (Registrant)</w:t>
      </w:r>
    </w:p>
    <w:p>
      <w:pPr>
        <w:spacing w:after="0" w:line="200" w:lineRule="exact"/>
        <w:rPr>
          <w:sz w:val="20"/>
          <w:szCs w:val="20"/>
          <w:color w:val="auto"/>
        </w:rPr>
      </w:pPr>
    </w:p>
    <w:p>
      <w:pPr>
        <w:spacing w:after="0" w:line="211" w:lineRule="exact"/>
        <w:rPr>
          <w:sz w:val="20"/>
          <w:szCs w:val="20"/>
          <w:color w:val="auto"/>
        </w:rPr>
      </w:pPr>
    </w:p>
    <w:p>
      <w:pPr>
        <w:spacing w:after="0"/>
        <w:tabs>
          <w:tab w:leader="none" w:pos="4640" w:val="left"/>
          <w:tab w:leader="none" w:pos="5960" w:val="left"/>
        </w:tabs>
        <w:rPr>
          <w:sz w:val="20"/>
          <w:szCs w:val="20"/>
          <w:color w:val="auto"/>
        </w:rPr>
      </w:pPr>
      <w:r>
        <w:rPr>
          <w:rFonts w:ascii="Times New Roman" w:cs="Times New Roman" w:eastAsia="Times New Roman" w:hAnsi="Times New Roman"/>
          <w:sz w:val="20"/>
          <w:szCs w:val="20"/>
          <w:color w:val="auto"/>
        </w:rPr>
        <w:t>Date: February 19,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JOHN P. ALBRIGHT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3211830</wp:posOffset>
                </wp:positionH>
                <wp:positionV relativeFrom="paragraph">
                  <wp:posOffset>27305</wp:posOffset>
                </wp:positionV>
                <wp:extent cx="256032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032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9pt,2.15pt" to="454.5pt,2.15pt" o:allowincell="f" strokecolor="#000000" strokeweight="0.499pt"/>
            </w:pict>
          </mc:Fallback>
        </mc:AlternateContent>
      </w:r>
    </w:p>
    <w:p>
      <w:pPr>
        <w:spacing w:after="0" w:line="47"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20"/>
          <w:szCs w:val="20"/>
          <w:b w:val="1"/>
          <w:bCs w:val="1"/>
          <w:color w:val="auto"/>
        </w:rPr>
        <w:t>John P. Albright</w:t>
      </w:r>
    </w:p>
    <w:p>
      <w:pPr>
        <w:spacing w:after="0" w:line="9"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spacing w:after="0" w:line="2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below by the following persons on behalf of the registrant and in the capacities and on the dates indicated.</w:t>
      </w: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59"/>
        </w:trPr>
        <w:tc>
          <w:tcPr>
            <w:tcW w:w="1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February 19, 2026</w:t>
            </w: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3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 JOHN P. ALBRIGHT</w:t>
            </w:r>
          </w:p>
        </w:tc>
        <w:tc>
          <w:tcPr>
            <w:tcW w:w="0" w:type="dxa"/>
            <w:vAlign w:val="bottom"/>
          </w:tcPr>
          <w:p>
            <w:pPr>
              <w:spacing w:after="0"/>
              <w:rPr>
                <w:sz w:val="1"/>
                <w:szCs w:val="1"/>
                <w:color w:val="auto"/>
              </w:rPr>
            </w:pPr>
          </w:p>
        </w:tc>
      </w:tr>
      <w:tr>
        <w:trPr>
          <w:trHeight w:val="123"/>
        </w:trPr>
        <w:tc>
          <w:tcPr>
            <w:tcW w:w="1700" w:type="dxa"/>
            <w:vAlign w:val="bottom"/>
            <w:vMerge w:val="continue"/>
          </w:tcPr>
          <w:p>
            <w:pPr>
              <w:spacing w:after="0"/>
              <w:rPr>
                <w:sz w:val="10"/>
                <w:szCs w:val="10"/>
                <w:color w:val="auto"/>
              </w:rPr>
            </w:pP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 and Director</w:t>
            </w:r>
          </w:p>
        </w:tc>
        <w:tc>
          <w:tcPr>
            <w:tcW w:w="120" w:type="dxa"/>
            <w:vAlign w:val="bottom"/>
          </w:tcPr>
          <w:p>
            <w:pPr>
              <w:spacing w:after="0"/>
              <w:rPr>
                <w:sz w:val="10"/>
                <w:szCs w:val="10"/>
                <w:color w:val="auto"/>
              </w:rPr>
            </w:pPr>
          </w:p>
        </w:tc>
        <w:tc>
          <w:tcPr>
            <w:tcW w:w="32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20"/>
                <w:szCs w:val="20"/>
                <w:b w:val="1"/>
                <w:bCs w:val="1"/>
                <w:color w:val="auto"/>
              </w:rPr>
              <w:t>John P. Albright</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4"/>
        </w:trPr>
        <w:tc>
          <w:tcPr>
            <w:tcW w:w="170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Senior Vice President, Chief Financial</w:t>
            </w:r>
          </w:p>
        </w:tc>
        <w:tc>
          <w:tcPr>
            <w:tcW w:w="1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/S/ PHILIP R. MAYS</w:t>
            </w:r>
          </w:p>
        </w:tc>
        <w:tc>
          <w:tcPr>
            <w:tcW w:w="0" w:type="dxa"/>
            <w:vAlign w:val="bottom"/>
          </w:tcPr>
          <w:p>
            <w:pPr>
              <w:spacing w:after="0"/>
              <w:rPr>
                <w:sz w:val="1"/>
                <w:szCs w:val="1"/>
                <w:color w:val="auto"/>
              </w:rPr>
            </w:pPr>
          </w:p>
        </w:tc>
      </w:tr>
      <w:tr>
        <w:trPr>
          <w:trHeight w:val="29"/>
        </w:trPr>
        <w:tc>
          <w:tcPr>
            <w:tcW w:w="1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February 19, 2026</w:t>
            </w: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Officer and Treasurer (Principal Financial</w:t>
            </w:r>
          </w:p>
        </w:tc>
        <w:tc>
          <w:tcPr>
            <w:tcW w:w="12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00" w:type="dxa"/>
            <w:vAlign w:val="bottom"/>
            <w:vMerge w:val="continue"/>
          </w:tcPr>
          <w:p>
            <w:pPr>
              <w:spacing w:after="0"/>
              <w:rPr>
                <w:sz w:val="16"/>
                <w:szCs w:val="16"/>
                <w:color w:val="auto"/>
              </w:rPr>
            </w:pPr>
          </w:p>
        </w:tc>
        <w:tc>
          <w:tcPr>
            <w:tcW w:w="3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spacing w:after="0" w:line="190" w:lineRule="exact"/>
              <w:rPr>
                <w:sz w:val="20"/>
                <w:szCs w:val="20"/>
                <w:color w:val="auto"/>
              </w:rPr>
            </w:pPr>
            <w:r>
              <w:rPr>
                <w:rFonts w:ascii="Times New Roman" w:cs="Times New Roman" w:eastAsia="Times New Roman" w:hAnsi="Times New Roman"/>
                <w:sz w:val="20"/>
                <w:szCs w:val="20"/>
                <w:b w:val="1"/>
                <w:bCs w:val="1"/>
                <w:color w:val="auto"/>
              </w:rPr>
              <w:t>Philip R. Mays</w:t>
            </w: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Officer)</w:t>
            </w:r>
          </w:p>
        </w:tc>
        <w:tc>
          <w:tcPr>
            <w:tcW w:w="1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5"/>
        </w:trPr>
        <w:tc>
          <w:tcPr>
            <w:tcW w:w="1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February 19, 2026</w:t>
            </w:r>
          </w:p>
        </w:tc>
        <w:tc>
          <w:tcPr>
            <w:tcW w:w="3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Senior Vice President and Chief Accounting</w:t>
            </w:r>
          </w:p>
        </w:tc>
        <w:tc>
          <w:tcPr>
            <w:tcW w:w="12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LISA M. VORAKOUN</w:t>
            </w:r>
          </w:p>
        </w:tc>
        <w:tc>
          <w:tcPr>
            <w:tcW w:w="0" w:type="dxa"/>
            <w:vAlign w:val="bottom"/>
          </w:tcPr>
          <w:p>
            <w:pPr>
              <w:spacing w:after="0"/>
              <w:rPr>
                <w:sz w:val="1"/>
                <w:szCs w:val="1"/>
                <w:color w:val="auto"/>
              </w:rPr>
            </w:pPr>
          </w:p>
        </w:tc>
      </w:tr>
      <w:tr>
        <w:trPr>
          <w:trHeight w:val="123"/>
        </w:trPr>
        <w:tc>
          <w:tcPr>
            <w:tcW w:w="1700" w:type="dxa"/>
            <w:vAlign w:val="bottom"/>
            <w:vMerge w:val="continue"/>
          </w:tcPr>
          <w:p>
            <w:pPr>
              <w:spacing w:after="0"/>
              <w:rPr>
                <w:sz w:val="10"/>
                <w:szCs w:val="10"/>
                <w:color w:val="auto"/>
              </w:rPr>
            </w:pP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Officer (Principal Accounting Officer)</w:t>
            </w:r>
          </w:p>
        </w:tc>
        <w:tc>
          <w:tcPr>
            <w:tcW w:w="120" w:type="dxa"/>
            <w:vAlign w:val="bottom"/>
          </w:tcPr>
          <w:p>
            <w:pPr>
              <w:spacing w:after="0"/>
              <w:rPr>
                <w:sz w:val="10"/>
                <w:szCs w:val="10"/>
                <w:color w:val="auto"/>
              </w:rPr>
            </w:pPr>
          </w:p>
        </w:tc>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Lisa M. Vorakoun</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0"/>
        </w:trPr>
        <w:tc>
          <w:tcPr>
            <w:tcW w:w="1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February 19, 2026</w:t>
            </w: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Chairman of the Board, Director</w:t>
            </w:r>
          </w:p>
        </w:tc>
        <w:tc>
          <w:tcPr>
            <w:tcW w:w="12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LAURA M. FRANKLIN</w:t>
            </w:r>
          </w:p>
        </w:tc>
        <w:tc>
          <w:tcPr>
            <w:tcW w:w="0" w:type="dxa"/>
            <w:vAlign w:val="bottom"/>
          </w:tcPr>
          <w:p>
            <w:pPr>
              <w:spacing w:after="0"/>
              <w:rPr>
                <w:sz w:val="1"/>
                <w:szCs w:val="1"/>
                <w:color w:val="auto"/>
              </w:rPr>
            </w:pPr>
          </w:p>
        </w:tc>
      </w:tr>
      <w:tr>
        <w:trPr>
          <w:trHeight w:val="117"/>
        </w:trPr>
        <w:tc>
          <w:tcPr>
            <w:tcW w:w="1700" w:type="dxa"/>
            <w:vAlign w:val="bottom"/>
            <w:vMerge w:val="continue"/>
          </w:tcPr>
          <w:p>
            <w:pPr>
              <w:spacing w:after="0"/>
              <w:rPr>
                <w:sz w:val="10"/>
                <w:szCs w:val="10"/>
                <w:color w:val="auto"/>
              </w:rPr>
            </w:pPr>
          </w:p>
        </w:tc>
        <w:tc>
          <w:tcPr>
            <w:tcW w:w="3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Laura M. Franklin</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0"/>
        </w:trPr>
        <w:tc>
          <w:tcPr>
            <w:tcW w:w="1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February 19, 2026</w:t>
            </w: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GEORGE R. BROKAW</w:t>
            </w:r>
          </w:p>
        </w:tc>
        <w:tc>
          <w:tcPr>
            <w:tcW w:w="0" w:type="dxa"/>
            <w:vAlign w:val="bottom"/>
          </w:tcPr>
          <w:p>
            <w:pPr>
              <w:spacing w:after="0"/>
              <w:rPr>
                <w:sz w:val="1"/>
                <w:szCs w:val="1"/>
                <w:color w:val="auto"/>
              </w:rPr>
            </w:pPr>
          </w:p>
        </w:tc>
      </w:tr>
      <w:tr>
        <w:trPr>
          <w:trHeight w:val="117"/>
        </w:trPr>
        <w:tc>
          <w:tcPr>
            <w:tcW w:w="1700" w:type="dxa"/>
            <w:vAlign w:val="bottom"/>
            <w:vMerge w:val="continue"/>
          </w:tcPr>
          <w:p>
            <w:pPr>
              <w:spacing w:after="0"/>
              <w:rPr>
                <w:sz w:val="10"/>
                <w:szCs w:val="10"/>
                <w:color w:val="auto"/>
              </w:rPr>
            </w:pPr>
          </w:p>
        </w:tc>
        <w:tc>
          <w:tcPr>
            <w:tcW w:w="3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George R. Brokaw</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0"/>
        </w:trPr>
        <w:tc>
          <w:tcPr>
            <w:tcW w:w="1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February 19, 2026</w:t>
            </w: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CHRISTOPHER J. DREW</w:t>
            </w:r>
          </w:p>
        </w:tc>
        <w:tc>
          <w:tcPr>
            <w:tcW w:w="0" w:type="dxa"/>
            <w:vAlign w:val="bottom"/>
          </w:tcPr>
          <w:p>
            <w:pPr>
              <w:spacing w:after="0"/>
              <w:rPr>
                <w:sz w:val="1"/>
                <w:szCs w:val="1"/>
                <w:color w:val="auto"/>
              </w:rPr>
            </w:pPr>
          </w:p>
        </w:tc>
      </w:tr>
      <w:tr>
        <w:trPr>
          <w:trHeight w:val="117"/>
        </w:trPr>
        <w:tc>
          <w:tcPr>
            <w:tcW w:w="1700" w:type="dxa"/>
            <w:vAlign w:val="bottom"/>
            <w:vMerge w:val="continue"/>
          </w:tcPr>
          <w:p>
            <w:pPr>
              <w:spacing w:after="0"/>
              <w:rPr>
                <w:sz w:val="10"/>
                <w:szCs w:val="10"/>
                <w:color w:val="auto"/>
              </w:rPr>
            </w:pPr>
          </w:p>
        </w:tc>
        <w:tc>
          <w:tcPr>
            <w:tcW w:w="3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Christopher J. Drew</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0"/>
        </w:trPr>
        <w:tc>
          <w:tcPr>
            <w:tcW w:w="1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February 19, 2026</w:t>
            </w: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 BLAKESLEE GABLE</w:t>
            </w:r>
          </w:p>
        </w:tc>
        <w:tc>
          <w:tcPr>
            <w:tcW w:w="0" w:type="dxa"/>
            <w:vAlign w:val="bottom"/>
          </w:tcPr>
          <w:p>
            <w:pPr>
              <w:spacing w:after="0"/>
              <w:rPr>
                <w:sz w:val="1"/>
                <w:szCs w:val="1"/>
                <w:color w:val="auto"/>
              </w:rPr>
            </w:pPr>
          </w:p>
        </w:tc>
      </w:tr>
      <w:tr>
        <w:trPr>
          <w:trHeight w:val="117"/>
        </w:trPr>
        <w:tc>
          <w:tcPr>
            <w:tcW w:w="1700" w:type="dxa"/>
            <w:vAlign w:val="bottom"/>
            <w:vMerge w:val="continue"/>
          </w:tcPr>
          <w:p>
            <w:pPr>
              <w:spacing w:after="0"/>
              <w:rPr>
                <w:sz w:val="10"/>
                <w:szCs w:val="10"/>
                <w:color w:val="auto"/>
              </w:rPr>
            </w:pPr>
          </w:p>
        </w:tc>
        <w:tc>
          <w:tcPr>
            <w:tcW w:w="3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 Blakeslee Gable</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0"/>
        </w:trPr>
        <w:tc>
          <w:tcPr>
            <w:tcW w:w="1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February 19, 2026</w:t>
            </w: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CHRISTOPHER W. HAGA</w:t>
            </w:r>
          </w:p>
        </w:tc>
        <w:tc>
          <w:tcPr>
            <w:tcW w:w="0" w:type="dxa"/>
            <w:vAlign w:val="bottom"/>
          </w:tcPr>
          <w:p>
            <w:pPr>
              <w:spacing w:after="0"/>
              <w:rPr>
                <w:sz w:val="1"/>
                <w:szCs w:val="1"/>
                <w:color w:val="auto"/>
              </w:rPr>
            </w:pPr>
          </w:p>
        </w:tc>
      </w:tr>
      <w:tr>
        <w:trPr>
          <w:trHeight w:val="117"/>
        </w:trPr>
        <w:tc>
          <w:tcPr>
            <w:tcW w:w="1700" w:type="dxa"/>
            <w:vAlign w:val="bottom"/>
            <w:vMerge w:val="continue"/>
          </w:tcPr>
          <w:p>
            <w:pPr>
              <w:spacing w:after="0"/>
              <w:rPr>
                <w:sz w:val="10"/>
                <w:szCs w:val="10"/>
                <w:color w:val="auto"/>
              </w:rPr>
            </w:pPr>
          </w:p>
        </w:tc>
        <w:tc>
          <w:tcPr>
            <w:tcW w:w="3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Christopher W. Haga</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100"/>
          </w:cols>
          <w:pgMar w:left="1400" w:top="1023" w:right="1380" w:bottom="7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55"/>
        </w:trPr>
        <w:tc>
          <w:tcPr>
            <w:tcW w:w="8580" w:type="dxa"/>
            <w:vAlign w:val="bottom"/>
          </w:tcPr>
          <w:p>
            <w:pPr>
              <w:ind w:left="3140"/>
              <w:spacing w:after="0"/>
              <w:rPr>
                <w:sz w:val="20"/>
                <w:szCs w:val="20"/>
                <w:color w:val="auto"/>
              </w:rPr>
            </w:pPr>
            <w:r>
              <w:rPr>
                <w:rFonts w:ascii="Times New Roman" w:cs="Times New Roman" w:eastAsia="Times New Roman" w:hAnsi="Times New Roman"/>
                <w:sz w:val="20"/>
                <w:szCs w:val="20"/>
                <w:b w:val="1"/>
                <w:bCs w:val="1"/>
                <w:color w:val="auto"/>
              </w:rPr>
              <w:t>CTO REALTY GROWTH, INC.</w:t>
            </w:r>
          </w:p>
        </w:tc>
        <w:tc>
          <w:tcPr>
            <w:tcW w:w="520" w:type="dxa"/>
            <w:vAlign w:val="bottom"/>
          </w:tcPr>
          <w:p>
            <w:pPr>
              <w:spacing w:after="0"/>
              <w:rPr>
                <w:sz w:val="22"/>
                <w:szCs w:val="22"/>
                <w:color w:val="auto"/>
              </w:rPr>
            </w:pPr>
          </w:p>
        </w:tc>
      </w:tr>
      <w:tr>
        <w:trPr>
          <w:trHeight w:val="359"/>
        </w:trPr>
        <w:tc>
          <w:tcPr>
            <w:tcW w:w="8580" w:type="dxa"/>
            <w:vAlign w:val="bottom"/>
          </w:tcPr>
          <w:p>
            <w:pPr>
              <w:ind w:left="2740"/>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tc>
        <w:tc>
          <w:tcPr>
            <w:tcW w:w="520" w:type="dxa"/>
            <w:vAlign w:val="bottom"/>
          </w:tcPr>
          <w:p>
            <w:pPr>
              <w:spacing w:after="0"/>
              <w:rPr>
                <w:sz w:val="24"/>
                <w:szCs w:val="24"/>
                <w:color w:val="auto"/>
              </w:rPr>
            </w:pPr>
          </w:p>
        </w:tc>
      </w:tr>
      <w:tr>
        <w:trPr>
          <w:trHeight w:val="409"/>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 . . . . . . . . .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F-2</w:t>
            </w:r>
          </w:p>
        </w:tc>
      </w:tr>
      <w:tr>
        <w:trPr>
          <w:trHeight w:val="299"/>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  . . . . . .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F-5</w:t>
            </w:r>
          </w:p>
        </w:tc>
      </w:tr>
      <w:tr>
        <w:trPr>
          <w:trHeight w:val="276"/>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three years ended December 31, 2025, 2024, and</w:t>
            </w:r>
          </w:p>
        </w:tc>
        <w:tc>
          <w:tcPr>
            <w:tcW w:w="520" w:type="dxa"/>
            <w:vAlign w:val="bottom"/>
          </w:tcPr>
          <w:p>
            <w:pPr>
              <w:spacing w:after="0"/>
              <w:rPr>
                <w:sz w:val="24"/>
                <w:szCs w:val="24"/>
                <w:color w:val="auto"/>
              </w:rPr>
            </w:pPr>
          </w:p>
        </w:tc>
      </w:tr>
      <w:tr>
        <w:trPr>
          <w:trHeight w:val="263"/>
        </w:trPr>
        <w:tc>
          <w:tcPr>
            <w:tcW w:w="8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2023  . . . . . . . . . . . . . . . . . . . . . . . . . . . . . . . . . . . . . . . . . . . . . . . . . . . . . . . . . . . . . . . . .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F-6</w:t>
            </w:r>
          </w:p>
        </w:tc>
      </w:tr>
      <w:tr>
        <w:trPr>
          <w:trHeight w:val="276"/>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(Loss) for the three years ended December 31,</w:t>
            </w:r>
          </w:p>
        </w:tc>
        <w:tc>
          <w:tcPr>
            <w:tcW w:w="520" w:type="dxa"/>
            <w:vAlign w:val="bottom"/>
          </w:tcPr>
          <w:p>
            <w:pPr>
              <w:spacing w:after="0"/>
              <w:rPr>
                <w:sz w:val="24"/>
                <w:szCs w:val="24"/>
                <w:color w:val="auto"/>
              </w:rPr>
            </w:pPr>
          </w:p>
        </w:tc>
      </w:tr>
      <w:tr>
        <w:trPr>
          <w:trHeight w:val="263"/>
        </w:trPr>
        <w:tc>
          <w:tcPr>
            <w:tcW w:w="8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2025, 2024, and 2023 . . . . . . . . . . . . . . . . . . . . . . . . . . . . . . . . . . .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F-7</w:t>
            </w:r>
          </w:p>
        </w:tc>
      </w:tr>
      <w:tr>
        <w:trPr>
          <w:trHeight w:val="276"/>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for the three years ended December 31, 2025,</w:t>
            </w:r>
          </w:p>
        </w:tc>
        <w:tc>
          <w:tcPr>
            <w:tcW w:w="520" w:type="dxa"/>
            <w:vAlign w:val="bottom"/>
          </w:tcPr>
          <w:p>
            <w:pPr>
              <w:spacing w:after="0"/>
              <w:rPr>
                <w:sz w:val="24"/>
                <w:szCs w:val="24"/>
                <w:color w:val="auto"/>
              </w:rPr>
            </w:pPr>
          </w:p>
        </w:tc>
      </w:tr>
      <w:tr>
        <w:trPr>
          <w:trHeight w:val="263"/>
        </w:trPr>
        <w:tc>
          <w:tcPr>
            <w:tcW w:w="8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2024, and 2023 . . . . . . . . . . . . . . . . . . . . . . . . . . . . . . . . . . . . . . .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F-8</w:t>
            </w:r>
          </w:p>
        </w:tc>
      </w:tr>
      <w:tr>
        <w:trPr>
          <w:trHeight w:val="276"/>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three years ended December 31, 2025, 2024, and</w:t>
            </w:r>
          </w:p>
        </w:tc>
        <w:tc>
          <w:tcPr>
            <w:tcW w:w="520" w:type="dxa"/>
            <w:vAlign w:val="bottom"/>
          </w:tcPr>
          <w:p>
            <w:pPr>
              <w:spacing w:after="0"/>
              <w:rPr>
                <w:sz w:val="24"/>
                <w:szCs w:val="24"/>
                <w:color w:val="auto"/>
              </w:rPr>
            </w:pPr>
          </w:p>
        </w:tc>
      </w:tr>
      <w:tr>
        <w:trPr>
          <w:trHeight w:val="263"/>
        </w:trPr>
        <w:tc>
          <w:tcPr>
            <w:tcW w:w="8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2023  . . . . . . . . . . . . . . . . . . . . . . . . . . . . . . . . . . . . . . . . . . . . . . . . . . . . . . . . . . . . . . . . .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F-9</w:t>
            </w:r>
          </w:p>
        </w:tc>
      </w:tr>
      <w:tr>
        <w:trPr>
          <w:trHeight w:val="276"/>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 for the three years ended December 31, 2025, 2024, and</w:t>
            </w:r>
          </w:p>
        </w:tc>
        <w:tc>
          <w:tcPr>
            <w:tcW w:w="520" w:type="dxa"/>
            <w:vAlign w:val="bottom"/>
          </w:tcPr>
          <w:p>
            <w:pPr>
              <w:spacing w:after="0"/>
              <w:rPr>
                <w:sz w:val="24"/>
                <w:szCs w:val="24"/>
                <w:color w:val="auto"/>
              </w:rPr>
            </w:pPr>
          </w:p>
        </w:tc>
      </w:tr>
      <w:tr>
        <w:trPr>
          <w:trHeight w:val="263"/>
        </w:trPr>
        <w:tc>
          <w:tcPr>
            <w:tcW w:w="8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2023  . . . . . . . . . . . . . . . . . . . . . . . . . . . . . . . . . . . . . . . . . . . . . . . . . . . . . . . . . . . . . . . . .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F-11</w:t>
            </w:r>
          </w:p>
        </w:tc>
      </w:tr>
    </w:tbl>
    <w:p>
      <w:pPr>
        <w:spacing w:after="0" w:line="200" w:lineRule="exact"/>
        <w:rPr>
          <w:sz w:val="20"/>
          <w:szCs w:val="20"/>
          <w:color w:val="auto"/>
        </w:rPr>
      </w:pP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9100"/>
          </w:cols>
          <w:pgMar w:left="1400" w:top="1023" w:right="1380" w:bottom="70" w:gutter="0" w:footer="0" w:header="0"/>
          <w:type w:val="continuous"/>
        </w:sectPr>
      </w:pPr>
    </w:p>
    <w:bookmarkStart w:id="77" w:name="page78"/>
    <w:bookmarkEnd w:id="77"/>
    <w:p>
      <w:pPr>
        <w:ind w:left="2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 and Stockholders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CTO Realty Growth, Inc.</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71" w:lineRule="exact"/>
        <w:rPr>
          <w:sz w:val="20"/>
          <w:szCs w:val="20"/>
          <w:color w:val="auto"/>
        </w:rPr>
      </w:pPr>
    </w:p>
    <w:p>
      <w:pPr>
        <w:ind w:firstLine="399"/>
        <w:spacing w:after="0" w:line="24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CTO Realty Growth, Inc. (a Maryland corporation) and subsidiaries (the “Company”) as of December 31, 2025 and 2024, the related consolidated statements of operations, comprehensive (loss) income, stockholders’ equity, and cash flows for each of the three years in the period ended December 31, 2025, and the related notes and financial statement schedules included under Item 15(a) (collectively referred to as the “consolidated financial statements”).</w:t>
      </w:r>
    </w:p>
    <w:p>
      <w:pPr>
        <w:spacing w:after="0" w:line="4"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0"/>
          <w:szCs w:val="20"/>
          <w:color w:val="auto"/>
        </w:rPr>
        <w:t>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16" w:lineRule="exact"/>
        <w:rPr>
          <w:sz w:val="20"/>
          <w:szCs w:val="20"/>
          <w:color w:val="auto"/>
        </w:rPr>
      </w:pPr>
    </w:p>
    <w:p>
      <w:pPr>
        <w:ind w:right="120" w:firstLine="399"/>
        <w:spacing w:after="0" w:line="254"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issued by the Committee of Sponsoring Organizations of the Treadway Commission (“COSO”), and our report dated February 19, 2026 expressed an unqualified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1" w:lineRule="exact"/>
        <w:rPr>
          <w:sz w:val="20"/>
          <w:szCs w:val="20"/>
          <w:color w:val="auto"/>
        </w:rPr>
      </w:pPr>
    </w:p>
    <w:p>
      <w:pPr>
        <w:ind w:right="20" w:firstLine="399"/>
        <w:spacing w:after="0" w:line="254"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71" w:lineRule="exact"/>
        <w:rPr>
          <w:sz w:val="20"/>
          <w:szCs w:val="20"/>
          <w:color w:val="auto"/>
        </w:rPr>
      </w:pPr>
    </w:p>
    <w:p>
      <w:pPr>
        <w:ind w:right="60" w:firstLine="399"/>
        <w:spacing w:after="0" w:line="253"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of real estate acquired with in-place leases</w:t>
      </w:r>
    </w:p>
    <w:p>
      <w:pPr>
        <w:spacing w:after="0" w:line="165"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As described further in Note 3 to the consolidated financial statements, the Company acquired two shopping centers for an aggregate purchase price of $144.9 million or a total acquisition cost of $145.1 million. As described further in Note 2 to the consolidated financial statements, the acquisition cost of real estate acquired with in-place leases is allocated to the acquired tangible assets, consisting of land, building and tenant improvements, and identified intangible assets and liabilities, consisting of the value of above-market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9100"/>
          </w:cols>
          <w:pgMar w:left="1400" w:top="1023" w:right="1380" w:bottom="71" w:gutter="0" w:footer="0" w:header="0"/>
        </w:sectPr>
      </w:pPr>
    </w:p>
    <w:bookmarkStart w:id="78" w:name="page79"/>
    <w:bookmarkEnd w:id="78"/>
    <w:p>
      <w:pPr>
        <w:spacing w:after="0" w:line="258" w:lineRule="auto"/>
        <w:rPr>
          <w:sz w:val="20"/>
          <w:szCs w:val="20"/>
          <w:color w:val="auto"/>
        </w:rPr>
      </w:pPr>
      <w:r>
        <w:rPr>
          <w:rFonts w:ascii="Times New Roman" w:cs="Times New Roman" w:eastAsia="Times New Roman" w:hAnsi="Times New Roman"/>
          <w:sz w:val="20"/>
          <w:szCs w:val="20"/>
          <w:color w:val="auto"/>
        </w:rPr>
        <w:t>and below-market leases, the value of in-place leases, and the value of leasing costs, based in each case on their relative fair values. In allocating the fair value of the identified intangible assets and liabilities of the acquired properties, above-market and below-market in-place lease values are recorded as other assets and liabilities based on the present value. We identified the evaluation of the fair value of real estate acquired with in-place leases as a critical audit matter.</w:t>
      </w:r>
    </w:p>
    <w:p>
      <w:pPr>
        <w:spacing w:after="0" w:line="121"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The principal consideration for our determination that the evaluation of the fair value of real estate acquired with in-place leases is a critical audit matter is that auditing the estimates of fair values of the acquired tangible assets and identified intangible assets and liabilities is complex due to the significant assumptions being sensitive to changes, including discount rates, terminal rates, and market rental rates that can be impacted by expectations about future market or economic conditions.</w:t>
      </w:r>
    </w:p>
    <w:p>
      <w:pPr>
        <w:spacing w:after="0" w:line="121" w:lineRule="exact"/>
        <w:rPr>
          <w:sz w:val="20"/>
          <w:szCs w:val="20"/>
          <w:color w:val="auto"/>
        </w:rPr>
      </w:pPr>
    </w:p>
    <w:p>
      <w:pPr>
        <w:ind w:right="340" w:firstLine="399"/>
        <w:spacing w:after="0" w:line="284" w:lineRule="auto"/>
        <w:rPr>
          <w:sz w:val="20"/>
          <w:szCs w:val="20"/>
          <w:color w:val="auto"/>
        </w:rPr>
      </w:pPr>
      <w:r>
        <w:rPr>
          <w:rFonts w:ascii="Times New Roman" w:cs="Times New Roman" w:eastAsia="Times New Roman" w:hAnsi="Times New Roman"/>
          <w:sz w:val="20"/>
          <w:szCs w:val="20"/>
          <w:color w:val="auto"/>
        </w:rPr>
        <w:t>Our audit procedures related to the evaluation of the fair value of real estate acquired with in-place leases included the following, among others.</w:t>
      </w:r>
    </w:p>
    <w:p>
      <w:pPr>
        <w:spacing w:after="0" w:line="54" w:lineRule="exact"/>
        <w:rPr>
          <w:sz w:val="20"/>
          <w:szCs w:val="20"/>
          <w:color w:val="auto"/>
        </w:rPr>
      </w:pPr>
    </w:p>
    <w:p>
      <w:pPr>
        <w:ind w:left="580" w:right="180" w:hanging="191"/>
        <w:spacing w:after="0" w:line="261" w:lineRule="auto"/>
        <w:tabs>
          <w:tab w:leader="none" w:pos="5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design and tested the operating effectiveness of the key controls relating to the Company’s process to account for real estate acquisitions with in-place leases, including those addressing the development of the significant assumptions, including discount rates, terminal rates and market rental rates.</w:t>
      </w:r>
    </w:p>
    <w:p>
      <w:pPr>
        <w:spacing w:after="0" w:line="77" w:lineRule="exact"/>
        <w:rPr>
          <w:rFonts w:ascii="Times New Roman" w:cs="Times New Roman" w:eastAsia="Times New Roman" w:hAnsi="Times New Roman"/>
          <w:sz w:val="20"/>
          <w:szCs w:val="20"/>
          <w:color w:val="auto"/>
        </w:rPr>
      </w:pPr>
    </w:p>
    <w:p>
      <w:pPr>
        <w:ind w:left="580" w:right="140" w:hanging="191"/>
        <w:spacing w:after="0" w:line="284" w:lineRule="auto"/>
        <w:tabs>
          <w:tab w:leader="none" w:pos="5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involved internal valuation professionals who assisted in comparing the discount rates, terminal rates and market rental rates to independently developed ranges.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2026</w:t>
      </w:r>
    </w:p>
    <w:p>
      <w:pPr>
        <w:sectPr>
          <w:pgSz w:w="11880" w:h="15480" w:orient="portrait"/>
          <w:cols w:equalWidth="0" w:num="1">
            <w:col w:w="9060"/>
          </w:cols>
          <w:pgMar w:left="1400" w:top="1025" w:right="142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9060"/>
          </w:cols>
          <w:pgMar w:left="1400" w:top="1025" w:right="1420" w:bottom="70" w:gutter="0" w:footer="0" w:header="0"/>
          <w:type w:val="continuous"/>
        </w:sectPr>
      </w:pPr>
    </w:p>
    <w:bookmarkStart w:id="79" w:name="page80"/>
    <w:bookmarkEnd w:id="79"/>
    <w:p>
      <w:pPr>
        <w:ind w:left="2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 and Stockholders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CTO Realty Growth, Inc.</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31"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CTO Realty Growth Inc. (a Maryland corporation) and subsidiaries (the “Company”) as of December 31, 2025, based on criteria established in the 2013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issued by COSO.</w:t>
      </w:r>
    </w:p>
    <w:p>
      <w:pPr>
        <w:spacing w:after="0" w:line="87" w:lineRule="exact"/>
        <w:rPr>
          <w:sz w:val="20"/>
          <w:szCs w:val="20"/>
          <w:color w:val="auto"/>
        </w:rPr>
      </w:pPr>
    </w:p>
    <w:p>
      <w:pPr>
        <w:ind w:right="80" w:firstLine="399"/>
        <w:spacing w:after="0" w:line="255"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Company as of and for the year ended December 31, 2025, and our report dated February 19, 2026 expressed an unqualified opinion on those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1"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31" w:lineRule="exact"/>
        <w:rPr>
          <w:sz w:val="20"/>
          <w:szCs w:val="20"/>
          <w:color w:val="auto"/>
        </w:rPr>
      </w:pPr>
    </w:p>
    <w:p>
      <w:pPr>
        <w:ind w:firstLine="399"/>
        <w:spacing w:after="0" w:line="247"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1"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North Carolina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2026</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9100"/>
          </w:cols>
          <w:pgMar w:left="1400" w:top="1023" w:right="1380" w:bottom="69" w:gutter="0" w:footer="0" w:header="0"/>
        </w:sectPr>
      </w:pPr>
    </w:p>
    <w:bookmarkStart w:id="80" w:name="page81"/>
    <w:bookmarkEnd w:id="8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CTO REALTY GROWTH, INC.</w:t>
      </w:r>
    </w:p>
    <w:p>
      <w:pPr>
        <w:spacing w:after="0" w:line="1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30"/>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40" w:type="dxa"/>
            <w:vAlign w:val="bottom"/>
          </w:tcPr>
          <w:p>
            <w:pPr>
              <w:jc w:val="right"/>
              <w:ind w:right="3060"/>
              <w:spacing w:after="0"/>
              <w:rPr>
                <w:sz w:val="20"/>
                <w:szCs w:val="20"/>
                <w:color w:val="auto"/>
              </w:rPr>
            </w:pPr>
            <w:r>
              <w:rPr>
                <w:rFonts w:ascii="Times New Roman" w:cs="Times New Roman" w:eastAsia="Times New Roman" w:hAnsi="Times New Roman"/>
                <w:sz w:val="20"/>
                <w:szCs w:val="20"/>
                <w:color w:val="auto"/>
              </w:rPr>
              <w:t>ASSETS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6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Real Estate:</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Land, at Cost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289,012</w:t>
            </w:r>
          </w:p>
        </w:tc>
        <w:tc>
          <w:tcPr>
            <w:tcW w:w="1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257,748</w:t>
            </w: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Building and Improvements, at Cost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766,371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720,480</w:t>
            </w: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Furnishings and Equipment, at Cost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Construction in Process, at Cost . . . . . . . . . . . . . . . . . . . . . . . . . . . . . . . .</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.TotalRealEstate,atCost..................................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1,060,397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984,202</w:t>
            </w:r>
          </w:p>
        </w:tc>
        <w:tc>
          <w:tcPr>
            <w:tcW w:w="0" w:type="dxa"/>
            <w:vAlign w:val="bottom"/>
          </w:tcPr>
          <w:p>
            <w:pPr>
              <w:spacing w:after="0"/>
              <w:rPr>
                <w:sz w:val="1"/>
                <w:szCs w:val="1"/>
                <w:color w:val="auto"/>
              </w:rPr>
            </w:pPr>
          </w:p>
        </w:tc>
      </w:tr>
      <w:tr>
        <w:trPr>
          <w:trHeight w:val="24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Less, Accumulated Depreciation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(107,268)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(82,864)</w:t>
            </w:r>
          </w:p>
        </w:tc>
        <w:tc>
          <w:tcPr>
            <w:tcW w:w="0" w:type="dxa"/>
            <w:vAlign w:val="bottom"/>
          </w:tcPr>
          <w:p>
            <w:pPr>
              <w:spacing w:after="0"/>
              <w:rPr>
                <w:sz w:val="1"/>
                <w:szCs w:val="1"/>
                <w:color w:val="auto"/>
              </w:rPr>
            </w:pPr>
          </w:p>
        </w:tc>
      </w:tr>
      <w:tr>
        <w:trPr>
          <w:trHeight w:val="260"/>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.RealEstate–Net........................................</w:t>
            </w: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953,129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901,338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Land and Development Costs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Intangible Lease Assets – Net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84,710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79,198</w:t>
            </w: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Investment in Alpine Income Property Trust, Inc.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41,324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39,666</w:t>
            </w: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Commercial Loans and Investments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104,804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Restricted Cash  . . . . . . . . .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34,652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Refundable Income Taxes  . .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Deferred Income Taxes – Net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Assets – See Note 12  . . . . . . . . . . . . . . . . . . . . . . . . . . . . . . . . . . . . .</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36,207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.TotalAssets..........................................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1,263,902</w:t>
            </w:r>
          </w:p>
        </w:tc>
        <w:tc>
          <w:tcPr>
            <w:tcW w:w="1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1,181,644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jc w:val="right"/>
              <w:ind w:right="1200"/>
              <w:spacing w:after="0"/>
              <w:rPr>
                <w:sz w:val="20"/>
                <w:szCs w:val="20"/>
                <w:color w:val="auto"/>
              </w:rPr>
            </w:pPr>
            <w:r>
              <w:rPr>
                <w:rFonts w:ascii="Times New Roman" w:cs="Times New Roman" w:eastAsia="Times New Roman" w:hAnsi="Times New Roman"/>
                <w:sz w:val="20"/>
                <w:szCs w:val="20"/>
                <w:color w:val="auto"/>
              </w:rPr>
              <w:t>LIABILITIES AND STOCKHOLDERS’ EQUITY</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1,709</w:t>
            </w:r>
          </w:p>
        </w:tc>
        <w:tc>
          <w:tcPr>
            <w:tcW w:w="1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Accrued and Other Liabilities – See Note 18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Deferred Revenue – See Note 19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Intangible Lease Liabilities – Net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31,486</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Taxes Payable  . . .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Long-Term Debt – Net  . . . . . . . . . . . . . . . . . . . . . . . . . . . . . . . . . . . . . .</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616,345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518,993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.TotalLiabilities.......................................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696,556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568,846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 See Note 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Preferred Stock – 100,000,000 shares authorized; $0.01 par value, 6.375%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Series A Cumulative Redeemable Preferred Stock, $25.00 Per 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Liquidation Preference, 4,713,069 shares issued and outstanding at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December 31, 2025 and 2024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Common Stock – 500,000,000 shares authorized; $0.01 par value, 32,372,291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shares issued and outstanding at December 31, 2025 and 31,673,479 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issued and outstanding at December 31, 2024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382,494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367,828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Retained Earnings . . . . . .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184,886</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232,089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Accumulated Other Comprehensive Income (Loss)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.TotalStockholders’Equity................................</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567,346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612,798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.TotalLiabilitiesandStockholders’Equity.....................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1,263,902</w:t>
            </w:r>
          </w:p>
        </w:tc>
        <w:tc>
          <w:tcPr>
            <w:tcW w:w="1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1,181,644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line="282"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 F-5</w:t>
      </w:r>
    </w:p>
    <w:p>
      <w:pPr>
        <w:sectPr>
          <w:pgSz w:w="11880" w:h="15480" w:orient="portrait"/>
          <w:cols w:equalWidth="0" w:num="1">
            <w:col w:w="9180"/>
          </w:cols>
          <w:pgMar w:left="1380" w:top="1023" w:right="1320" w:bottom="309" w:gutter="0" w:footer="0" w:header="0"/>
        </w:sectPr>
      </w:pPr>
    </w:p>
    <w:bookmarkStart w:id="81" w:name="page82"/>
    <w:bookmarkEnd w:id="81"/>
    <w:p>
      <w:pPr>
        <w:ind w:left="3140"/>
        <w:spacing w:after="0"/>
        <w:rPr>
          <w:sz w:val="20"/>
          <w:szCs w:val="20"/>
          <w:color w:val="auto"/>
        </w:rPr>
      </w:pPr>
      <w:r>
        <w:rPr>
          <w:rFonts w:ascii="Times New Roman" w:cs="Times New Roman" w:eastAsia="Times New Roman" w:hAnsi="Times New Roman"/>
          <w:sz w:val="20"/>
          <w:szCs w:val="20"/>
          <w:b w:val="1"/>
          <w:bCs w:val="1"/>
          <w:color w:val="auto"/>
        </w:rPr>
        <w:t>CTO REALTY GROWTH, INC.</w:t>
      </w:r>
    </w:p>
    <w:p>
      <w:pPr>
        <w:spacing w:after="0" w:line="12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2"/>
              </w:rPr>
              <w:t>Year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Revenues</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Properties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132,156</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110,591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96,663</w:t>
            </w:r>
          </w:p>
        </w:tc>
        <w:tc>
          <w:tcPr>
            <w:tcW w:w="0" w:type="dxa"/>
            <w:vAlign w:val="bottom"/>
          </w:tcPr>
          <w:p>
            <w:pPr>
              <w:spacing w:after="0"/>
              <w:rPr>
                <w:sz w:val="1"/>
                <w:szCs w:val="1"/>
                <w:color w:val="auto"/>
              </w:rPr>
            </w:pPr>
          </w:p>
        </w:tc>
      </w:tr>
      <w:tr>
        <w:trPr>
          <w:trHeight w:val="299"/>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Management Fee Income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4,590</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4,388</w:t>
            </w:r>
          </w:p>
        </w:tc>
        <w:tc>
          <w:tcPr>
            <w:tcW w:w="0" w:type="dxa"/>
            <w:vAlign w:val="bottom"/>
          </w:tcPr>
          <w:p>
            <w:pPr>
              <w:spacing w:after="0"/>
              <w:rPr>
                <w:sz w:val="1"/>
                <w:szCs w:val="1"/>
                <w:color w:val="auto"/>
              </w:rPr>
            </w:pPr>
          </w:p>
        </w:tc>
      </w:tr>
      <w:tr>
        <w:trPr>
          <w:trHeight w:val="276"/>
        </w:trPr>
        <w:tc>
          <w:tcPr>
            <w:tcW w:w="5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Income From Commercial Loans and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Investments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7,357</w:t>
            </w: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4,084</w:t>
            </w:r>
          </w:p>
        </w:tc>
        <w:tc>
          <w:tcPr>
            <w:tcW w:w="0" w:type="dxa"/>
            <w:vAlign w:val="bottom"/>
          </w:tcPr>
          <w:p>
            <w:pPr>
              <w:spacing w:after="0"/>
              <w:rPr>
                <w:sz w:val="1"/>
                <w:szCs w:val="1"/>
                <w:color w:val="auto"/>
              </w:rPr>
            </w:pPr>
          </w:p>
        </w:tc>
      </w:tr>
      <w:tr>
        <w:trPr>
          <w:trHeight w:val="302"/>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Real Estate Operations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1,981</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3,984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Revenues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149,545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124,519</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109,119</w:t>
            </w:r>
          </w:p>
        </w:tc>
        <w:tc>
          <w:tcPr>
            <w:tcW w:w="0" w:type="dxa"/>
            <w:vAlign w:val="bottom"/>
          </w:tcPr>
          <w:p>
            <w:pPr>
              <w:spacing w:after="0"/>
              <w:rPr>
                <w:sz w:val="1"/>
                <w:szCs w:val="1"/>
                <w:color w:val="auto"/>
              </w:rPr>
            </w:pPr>
          </w:p>
        </w:tc>
      </w:tr>
      <w:tr>
        <w:trPr>
          <w:trHeight w:val="289"/>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Direct Cost of Revenues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Properties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(37,923)</w:t>
            </w: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(31,785)</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(28,455)</w:t>
            </w:r>
          </w:p>
        </w:tc>
        <w:tc>
          <w:tcPr>
            <w:tcW w:w="0" w:type="dxa"/>
            <w:vAlign w:val="bottom"/>
          </w:tcPr>
          <w:p>
            <w:pPr>
              <w:spacing w:after="0"/>
              <w:rPr>
                <w:sz w:val="1"/>
                <w:szCs w:val="1"/>
                <w:color w:val="auto"/>
              </w:rPr>
            </w:pPr>
          </w:p>
        </w:tc>
      </w:tr>
      <w:tr>
        <w:trPr>
          <w:trHeight w:val="302"/>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Real Estate Operations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(1,437)</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Direct Cost of Revenues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(37,923)</w:t>
            </w: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(33,222)</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(30,178)</w:t>
            </w:r>
          </w:p>
        </w:tc>
        <w:tc>
          <w:tcPr>
            <w:tcW w:w="0" w:type="dxa"/>
            <w:vAlign w:val="bottom"/>
          </w:tcPr>
          <w:p>
            <w:pPr>
              <w:spacing w:after="0"/>
              <w:rPr>
                <w:sz w:val="1"/>
                <w:szCs w:val="1"/>
                <w:color w:val="auto"/>
              </w:rPr>
            </w:pPr>
          </w:p>
        </w:tc>
      </w:tr>
      <w:tr>
        <w:trPr>
          <w:trHeight w:val="299"/>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General and Administrative Expenses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(18,527)</w:t>
            </w: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(16,269)</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(14,249)</w:t>
            </w:r>
          </w:p>
        </w:tc>
        <w:tc>
          <w:tcPr>
            <w:tcW w:w="0" w:type="dxa"/>
            <w:vAlign w:val="bottom"/>
          </w:tcPr>
          <w:p>
            <w:pPr>
              <w:spacing w:after="0"/>
              <w:rPr>
                <w:sz w:val="1"/>
                <w:szCs w:val="1"/>
                <w:color w:val="auto"/>
              </w:rPr>
            </w:pPr>
          </w:p>
        </w:tc>
      </w:tr>
      <w:tr>
        <w:trPr>
          <w:trHeight w:val="299"/>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Provision for Impairment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(676)</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0" w:type="dxa"/>
            <w:vAlign w:val="bottom"/>
          </w:tcPr>
          <w:p>
            <w:pPr>
              <w:spacing w:after="0"/>
              <w:rPr>
                <w:sz w:val="1"/>
                <w:szCs w:val="1"/>
                <w:color w:val="auto"/>
              </w:rPr>
            </w:pPr>
          </w:p>
        </w:tc>
      </w:tr>
      <w:tr>
        <w:trPr>
          <w:trHeight w:val="302"/>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Depreciation and Amortization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(60,015)</w:t>
            </w: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(65,049)</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(44,173)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Operating Expenses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(116,533)</w:t>
            </w: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(115,216)</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(90,156)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Gain on Disposition of Assets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8,308</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7,543</w:t>
            </w:r>
          </w:p>
        </w:tc>
        <w:tc>
          <w:tcPr>
            <w:tcW w:w="0" w:type="dxa"/>
            <w:vAlign w:val="bottom"/>
          </w:tcPr>
          <w:p>
            <w:pPr>
              <w:spacing w:after="0"/>
              <w:rPr>
                <w:sz w:val="1"/>
                <w:szCs w:val="1"/>
                <w:color w:val="auto"/>
              </w:rPr>
            </w:pPr>
          </w:p>
        </w:tc>
      </w:tr>
      <w:tr>
        <w:trPr>
          <w:trHeight w:val="302"/>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Loss on Extinguishment of Debt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(20,449)</w:t>
            </w: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Gain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8,308</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7,543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Operating Income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34,015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17,611</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26,506</w:t>
            </w:r>
          </w:p>
        </w:tc>
        <w:tc>
          <w:tcPr>
            <w:tcW w:w="0" w:type="dxa"/>
            <w:vAlign w:val="bottom"/>
          </w:tcPr>
          <w:p>
            <w:pPr>
              <w:spacing w:after="0"/>
              <w:rPr>
                <w:sz w:val="1"/>
                <w:szCs w:val="1"/>
                <w:color w:val="auto"/>
              </w:rPr>
            </w:pPr>
          </w:p>
        </w:tc>
      </w:tr>
      <w:tr>
        <w:trPr>
          <w:trHeight w:val="299"/>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Investment and Other Income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2,606</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1,987</w:t>
            </w:r>
          </w:p>
        </w:tc>
        <w:tc>
          <w:tcPr>
            <w:tcW w:w="0" w:type="dxa"/>
            <w:vAlign w:val="bottom"/>
          </w:tcPr>
          <w:p>
            <w:pPr>
              <w:spacing w:after="0"/>
              <w:rPr>
                <w:sz w:val="1"/>
                <w:szCs w:val="1"/>
                <w:color w:val="auto"/>
              </w:rPr>
            </w:pPr>
          </w:p>
        </w:tc>
      </w:tr>
      <w:tr>
        <w:trPr>
          <w:trHeight w:val="302"/>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Interest Expense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(26,928)</w:t>
            </w: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(22,521)</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(22,359)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(Loss) Before Income Tax Benefit (Expense)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(2,304)</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6,134</w:t>
            </w:r>
          </w:p>
        </w:tc>
        <w:tc>
          <w:tcPr>
            <w:tcW w:w="0" w:type="dxa"/>
            <w:vAlign w:val="bottom"/>
          </w:tcPr>
          <w:p>
            <w:pPr>
              <w:spacing w:after="0"/>
              <w:rPr>
                <w:sz w:val="1"/>
                <w:szCs w:val="1"/>
                <w:color w:val="auto"/>
              </w:rPr>
            </w:pPr>
          </w:p>
        </w:tc>
      </w:tr>
      <w:tr>
        <w:trPr>
          <w:trHeight w:val="302"/>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Tax Benefit (Expense)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(446)</w:t>
            </w: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339</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Income (Loss) Attributable to the Company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(1,965)</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5,530</w:t>
            </w:r>
          </w:p>
        </w:tc>
        <w:tc>
          <w:tcPr>
            <w:tcW w:w="0" w:type="dxa"/>
            <w:vAlign w:val="bottom"/>
          </w:tcPr>
          <w:p>
            <w:pPr>
              <w:spacing w:after="0"/>
              <w:rPr>
                <w:sz w:val="1"/>
                <w:szCs w:val="1"/>
                <w:color w:val="auto"/>
              </w:rPr>
            </w:pPr>
          </w:p>
        </w:tc>
      </w:tr>
      <w:tr>
        <w:trPr>
          <w:trHeight w:val="302"/>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Distributions to Preferred Stockholders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(7,512)</w:t>
            </w: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(6,814)</w:t>
            </w: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(4,772)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Income (Loss) Attributable to Common Stockholders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(8,779)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Per Share Information – See Note 13:</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 and Diluted Net Income (Loss) Attributable to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Common Stockholders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0.08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(0.35)</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0.03</w:t>
            </w:r>
          </w:p>
        </w:tc>
        <w:tc>
          <w:tcPr>
            <w:tcW w:w="0" w:type="dxa"/>
            <w:vAlign w:val="bottom"/>
          </w:tcPr>
          <w:p>
            <w:pPr>
              <w:spacing w:after="0"/>
              <w:rPr>
                <w:sz w:val="1"/>
                <w:szCs w:val="1"/>
                <w:color w:val="auto"/>
              </w:rPr>
            </w:pPr>
          </w:p>
        </w:tc>
      </w:tr>
      <w:tr>
        <w:trPr>
          <w:trHeight w:val="299"/>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Common Shares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Basic . . .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32,267,365</w:t>
            </w: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25,361,379</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22,529,703</w:t>
            </w:r>
          </w:p>
        </w:tc>
        <w:tc>
          <w:tcPr>
            <w:tcW w:w="0" w:type="dxa"/>
            <w:vAlign w:val="bottom"/>
          </w:tcPr>
          <w:p>
            <w:pPr>
              <w:spacing w:after="0"/>
              <w:rPr>
                <w:sz w:val="1"/>
                <w:szCs w:val="1"/>
                <w:color w:val="auto"/>
              </w:rPr>
            </w:pPr>
          </w:p>
        </w:tc>
      </w:tr>
      <w:tr>
        <w:trPr>
          <w:trHeight w:val="299"/>
        </w:trPr>
        <w:tc>
          <w:tcPr>
            <w:tcW w:w="5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Diluted  .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32,292,812</w:t>
            </w: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25,401,176</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22,529,703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60"/>
          </w:cols>
          <w:pgMar w:left="1400" w:top="1023" w:right="1320" w:bottom="3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860" w:right="920"/>
        <w:spacing w:after="0" w:line="282"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 F-6</w:t>
      </w:r>
    </w:p>
    <w:p>
      <w:pPr>
        <w:sectPr>
          <w:pgSz w:w="11880" w:h="15480" w:orient="portrait"/>
          <w:cols w:equalWidth="0" w:num="1">
            <w:col w:w="9160"/>
          </w:cols>
          <w:pgMar w:left="1400" w:top="1023" w:right="1320" w:bottom="309" w:gutter="0" w:footer="0" w:header="0"/>
          <w:type w:val="continuous"/>
        </w:sectPr>
      </w:pPr>
    </w:p>
    <w:bookmarkStart w:id="82" w:name="page83"/>
    <w:bookmarkEnd w:id="82"/>
    <w:p>
      <w:pPr>
        <w:ind w:left="3140"/>
        <w:spacing w:after="0"/>
        <w:rPr>
          <w:sz w:val="20"/>
          <w:szCs w:val="20"/>
          <w:color w:val="auto"/>
        </w:rPr>
      </w:pPr>
      <w:r>
        <w:rPr>
          <w:rFonts w:ascii="Times New Roman" w:cs="Times New Roman" w:eastAsia="Times New Roman" w:hAnsi="Times New Roman"/>
          <w:sz w:val="20"/>
          <w:szCs w:val="20"/>
          <w:b w:val="1"/>
          <w:bCs w:val="1"/>
          <w:color w:val="auto"/>
        </w:rPr>
        <w:t>CTO REALTY GROWTH, INC.</w:t>
      </w:r>
    </w:p>
    <w:p>
      <w:pPr>
        <w:spacing w:after="0" w:line="1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2"/>
              </w:rPr>
              <w:t>Year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0"/>
        </w:trPr>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96"/>
        </w:trPr>
        <w:tc>
          <w:tcPr>
            <w:tcW w:w="5760" w:type="dxa"/>
            <w:vAlign w:val="bottom"/>
          </w:tcPr>
          <w:p>
            <w:pPr>
              <w:spacing w:after="0"/>
              <w:rPr>
                <w:sz w:val="17"/>
                <w:szCs w:val="17"/>
                <w:color w:val="auto"/>
              </w:rPr>
            </w:pPr>
          </w:p>
        </w:tc>
        <w:tc>
          <w:tcPr>
            <w:tcW w:w="128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40" w:type="dxa"/>
            <w:vAlign w:val="bottom"/>
            <w:gridSpan w:val="4"/>
          </w:tcPr>
          <w:p>
            <w:pPr>
              <w:jc w:val="center"/>
              <w:ind w:left="2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3"/>
        </w:trPr>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center"/>
              <w:ind w:left="2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r>
      <w:tr>
        <w:trPr>
          <w:trHeight w:val="30"/>
        </w:trPr>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84"/>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Attributable to the Company . . . . . . . . . . . . .</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10,092</w:t>
            </w:r>
          </w:p>
        </w:tc>
        <w:tc>
          <w:tcPr>
            <w:tcW w:w="24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$(1,965)</w:t>
            </w:r>
          </w:p>
        </w:tc>
        <w:tc>
          <w:tcPr>
            <w:tcW w:w="12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$ 5,530</w:t>
            </w:r>
          </w:p>
        </w:tc>
      </w:tr>
      <w:tr>
        <w:trPr>
          <w:trHeight w:val="289"/>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02"/>
        </w:trPr>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Hedging Derivative – Interest Rate Swaps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6"/>
              </w:rPr>
              <w:t>(12,922)</w:t>
            </w:r>
          </w:p>
        </w:tc>
        <w:tc>
          <w:tcPr>
            <w:tcW w:w="240" w:type="dxa"/>
            <w:vAlign w:val="bottom"/>
          </w:tcPr>
          <w:p>
            <w:pPr>
              <w:spacing w:after="0"/>
              <w:rPr>
                <w:sz w:val="24"/>
                <w:szCs w:val="24"/>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5,626</w:t>
            </w:r>
          </w:p>
        </w:tc>
        <w:tc>
          <w:tcPr>
            <w:tcW w:w="120" w:type="dxa"/>
            <w:vAlign w:val="bottom"/>
          </w:tcPr>
          <w:p>
            <w:pPr>
              <w:spacing w:after="0"/>
              <w:rPr>
                <w:sz w:val="24"/>
                <w:szCs w:val="24"/>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(8,870)</w:t>
            </w:r>
          </w:p>
        </w:tc>
      </w:tr>
      <w:tr>
        <w:trPr>
          <w:trHeight w:val="20"/>
        </w:trPr>
        <w:tc>
          <w:tcPr>
            <w:tcW w:w="5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89"/>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Total Other Comprehensive Income (Loss)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6"/>
              </w:rPr>
              <w:t>(12,922)</w:t>
            </w:r>
          </w:p>
        </w:tc>
        <w:tc>
          <w:tcPr>
            <w:tcW w:w="240" w:type="dxa"/>
            <w:vAlign w:val="bottom"/>
          </w:tcPr>
          <w:p>
            <w:pPr>
              <w:spacing w:after="0"/>
              <w:rPr>
                <w:sz w:val="24"/>
                <w:szCs w:val="24"/>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5,626</w:t>
            </w:r>
          </w:p>
        </w:tc>
        <w:tc>
          <w:tcPr>
            <w:tcW w:w="120" w:type="dxa"/>
            <w:vAlign w:val="bottom"/>
          </w:tcPr>
          <w:p>
            <w:pPr>
              <w:spacing w:after="0"/>
              <w:rPr>
                <w:sz w:val="24"/>
                <w:szCs w:val="24"/>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(8,870)</w:t>
            </w:r>
          </w:p>
        </w:tc>
      </w:tr>
      <w:tr>
        <w:trPr>
          <w:trHeight w:val="20"/>
        </w:trPr>
        <w:tc>
          <w:tcPr>
            <w:tcW w:w="5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89"/>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Total Comprehensive Income (Loss)  . . . . . . . . . . . . . . . . . . . . .</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(2,830)</w:t>
            </w:r>
          </w:p>
        </w:tc>
        <w:tc>
          <w:tcPr>
            <w:tcW w:w="2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$ 3,661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$(3,340)</w:t>
            </w:r>
          </w:p>
        </w:tc>
      </w:tr>
      <w:tr>
        <w:trPr>
          <w:trHeight w:val="20"/>
        </w:trPr>
        <w:tc>
          <w:tcPr>
            <w:tcW w:w="5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00"/>
          </w:cols>
          <w:pgMar w:left="1400" w:top="1023" w:right="1380" w:bottom="3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840" w:right="860"/>
        <w:spacing w:after="0" w:line="282"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 F-7</w:t>
      </w:r>
    </w:p>
    <w:p>
      <w:pPr>
        <w:sectPr>
          <w:pgSz w:w="11880" w:h="15480" w:orient="portrait"/>
          <w:cols w:equalWidth="0" w:num="1">
            <w:col w:w="9100"/>
          </w:cols>
          <w:pgMar w:left="1400" w:top="1023" w:right="1380" w:bottom="309" w:gutter="0" w:footer="0" w:header="0"/>
          <w:type w:val="continuous"/>
        </w:sectPr>
      </w:pPr>
    </w:p>
    <w:bookmarkStart w:id="83" w:name="page84"/>
    <w:bookmarkEnd w:id="83"/>
    <w:p>
      <w:pPr>
        <w:ind w:left="4000"/>
        <w:spacing w:after="0"/>
        <w:rPr>
          <w:sz w:val="20"/>
          <w:szCs w:val="20"/>
          <w:color w:val="auto"/>
        </w:rPr>
      </w:pPr>
      <w:r>
        <w:rPr>
          <w:rFonts w:ascii="Times New Roman" w:cs="Times New Roman" w:eastAsia="Times New Roman" w:hAnsi="Times New Roman"/>
          <w:sz w:val="20"/>
          <w:szCs w:val="20"/>
          <w:b w:val="1"/>
          <w:bCs w:val="1"/>
          <w:color w:val="auto"/>
        </w:rPr>
        <w:t>CTO REALTY GROWTH, INC.</w:t>
      </w:r>
    </w:p>
    <w:p>
      <w:pPr>
        <w:spacing w:after="0" w:line="12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5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5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4"/>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6"/>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3"/>
              </w:rPr>
              <w:t>Comprehensive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5420" w:type="dxa"/>
            <w:vAlign w:val="bottom"/>
          </w:tcPr>
          <w:p>
            <w:pPr>
              <w:spacing w:after="0"/>
              <w:rPr>
                <w:sz w:val="15"/>
                <w:szCs w:val="15"/>
                <w:color w:val="auto"/>
              </w:rPr>
            </w:pPr>
          </w:p>
        </w:tc>
        <w:tc>
          <w:tcPr>
            <w:tcW w:w="78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2"/>
              </w:rPr>
              <w:t>Preferred</w:t>
            </w:r>
          </w:p>
        </w:tc>
        <w:tc>
          <w:tcPr>
            <w:tcW w:w="68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Paid-In</w:t>
            </w:r>
          </w:p>
        </w:tc>
        <w:tc>
          <w:tcPr>
            <w:tcW w:w="7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4"/>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Income</w:t>
            </w:r>
          </w:p>
        </w:tc>
        <w:tc>
          <w:tcPr>
            <w:tcW w:w="98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03"/>
        </w:trPr>
        <w:tc>
          <w:tcPr>
            <w:tcW w:w="5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7"/>
                <w:szCs w:val="17"/>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0"/>
        </w:trPr>
        <w:tc>
          <w:tcPr>
            <w:tcW w:w="5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2023 . . . . . . . . . . . . . . . . . . . . . . . . . . . . .</w:t>
            </w:r>
          </w:p>
        </w:tc>
        <w:tc>
          <w:tcPr>
            <w:tcW w:w="52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6"/>
              </w:rPr>
              <w:t>$30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172,471</w:t>
            </w:r>
          </w:p>
        </w:tc>
        <w:tc>
          <w:tcPr>
            <w:tcW w:w="16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316,279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15,761</w:t>
            </w:r>
          </w:p>
        </w:tc>
        <w:tc>
          <w:tcPr>
            <w:tcW w:w="80" w:type="dxa"/>
            <w:vAlign w:val="bottom"/>
          </w:tcPr>
          <w:p>
            <w:pPr>
              <w:spacing w:after="0"/>
              <w:rPr>
                <w:sz w:val="22"/>
                <w:szCs w:val="22"/>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504,770</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Company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5,530</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 . . . . . . . . . .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(6,435)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(6,439)</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Vested Restricted Stock and Performance Shares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(1,028)</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 Issuance to Directors . . . . .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Payment of Equity Issuance Costs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3,228</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 Declared for the Period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(4,772)</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Dividends Declared for the Period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(35,093)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(35,093)</w:t>
            </w:r>
          </w:p>
        </w:tc>
      </w:tr>
      <w:tr>
        <w:trPr>
          <w:trHeight w:val="29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 . . . .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(8,870)</w:t>
            </w:r>
          </w:p>
        </w:tc>
        <w:tc>
          <w:tcPr>
            <w:tcW w:w="80" w:type="dxa"/>
            <w:vAlign w:val="bottom"/>
          </w:tcPr>
          <w:p>
            <w:pPr>
              <w:spacing w:after="0"/>
              <w:rPr>
                <w:sz w:val="24"/>
                <w:szCs w:val="24"/>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(8,870)</w:t>
            </w:r>
          </w:p>
        </w:tc>
      </w:tr>
      <w:tr>
        <w:trPr>
          <w:trHeight w:val="20"/>
        </w:trPr>
        <w:tc>
          <w:tcPr>
            <w:tcW w:w="5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 . . . . . . . . . . . . . . . . . . . . . . . . . . .</w:t>
            </w:r>
          </w:p>
        </w:tc>
        <w:tc>
          <w:tcPr>
            <w:tcW w:w="260" w:type="dxa"/>
            <w:vAlign w:val="bottom"/>
            <w:gridSpan w:val="2"/>
          </w:tcPr>
          <w:p>
            <w:pPr>
              <w:spacing w:after="0"/>
              <w:rPr>
                <w:sz w:val="23"/>
                <w:szCs w:val="2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30</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gridSpan w:val="2"/>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168,435</w:t>
            </w:r>
          </w:p>
        </w:tc>
        <w:tc>
          <w:tcPr>
            <w:tcW w:w="16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281,944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6,891</w:t>
            </w:r>
          </w:p>
        </w:tc>
        <w:tc>
          <w:tcPr>
            <w:tcW w:w="80" w:type="dxa"/>
            <w:vAlign w:val="bottom"/>
          </w:tcPr>
          <w:p>
            <w:pPr>
              <w:spacing w:after="0"/>
              <w:rPr>
                <w:sz w:val="23"/>
                <w:szCs w:val="23"/>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457,526</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the Company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(1,965)</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 . . . . . . . . . .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Vested Restricted Stock and Performance Shares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(1,274)</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 Issuance to Directors . . . . .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r>
      <w:tr>
        <w:trPr>
          <w:trHeight w:val="26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Preferred Stock, Net of Underwriting Discount and</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 . . . . . . . . . . . . . . . . . . . . . . . . . . . . . . . . . . . .</w:t>
            </w:r>
          </w:p>
        </w:tc>
        <w:tc>
          <w:tcPr>
            <w:tcW w:w="7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32,979</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32,996</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 Issuance, Net of Equity Issuance Costs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164,738</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164,828</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2,968</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 Declared for the Period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(6,814)</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Dividends Declared for the Period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(41,076)</w:t>
            </w:r>
          </w:p>
        </w:tc>
      </w:tr>
      <w:tr>
        <w:trPr>
          <w:trHeight w:val="29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 . .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5,626</w:t>
            </w:r>
          </w:p>
        </w:tc>
        <w:tc>
          <w:tcPr>
            <w:tcW w:w="80" w:type="dxa"/>
            <w:vAlign w:val="bottom"/>
          </w:tcPr>
          <w:p>
            <w:pPr>
              <w:spacing w:after="0"/>
              <w:rPr>
                <w:sz w:val="24"/>
                <w:szCs w:val="24"/>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5,626</w:t>
            </w:r>
          </w:p>
        </w:tc>
      </w:tr>
      <w:tr>
        <w:trPr>
          <w:trHeight w:val="20"/>
        </w:trPr>
        <w:tc>
          <w:tcPr>
            <w:tcW w:w="5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 . . . . . . . . . . . . . . . . . . . . . . . . . . .</w:t>
            </w:r>
          </w:p>
        </w:tc>
        <w:tc>
          <w:tcPr>
            <w:tcW w:w="260" w:type="dxa"/>
            <w:vAlign w:val="bottom"/>
            <w:gridSpan w:val="2"/>
          </w:tcPr>
          <w:p>
            <w:pPr>
              <w:spacing w:after="0"/>
              <w:rPr>
                <w:sz w:val="23"/>
                <w:szCs w:val="2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47</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gridSpan w:val="2"/>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367,828</w:t>
            </w:r>
          </w:p>
        </w:tc>
        <w:tc>
          <w:tcPr>
            <w:tcW w:w="16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232,089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12,517</w:t>
            </w:r>
          </w:p>
        </w:tc>
        <w:tc>
          <w:tcPr>
            <w:tcW w:w="80" w:type="dxa"/>
            <w:vAlign w:val="bottom"/>
          </w:tcPr>
          <w:p>
            <w:pPr>
              <w:spacing w:after="0"/>
              <w:rPr>
                <w:sz w:val="23"/>
                <w:szCs w:val="23"/>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612,798</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Company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10,092</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 . . . . . . . . . .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(9,349)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(9,355)</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Vested Restricted Stock and Performance Shares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(1,034)</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 Issuance to Directors . . . . .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Payment of Equity Issuance Costs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 Issuance, Settlement of 2025 Notes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21,048</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3,490</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 Declared for the Period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(7,512)</w:t>
            </w:r>
          </w:p>
        </w:tc>
      </w:tr>
      <w:tr>
        <w:trPr>
          <w:trHeight w:val="28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Dividends Declared for the Period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(49,783)</w:t>
            </w:r>
          </w:p>
        </w:tc>
      </w:tr>
      <w:tr>
        <w:trPr>
          <w:trHeight w:val="29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 . . . . . . . . . . . . . . . . . . . . . . . . .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(12,922)</w:t>
            </w:r>
          </w:p>
        </w:tc>
        <w:tc>
          <w:tcPr>
            <w:tcW w:w="80" w:type="dxa"/>
            <w:vAlign w:val="bottom"/>
          </w:tcPr>
          <w:p>
            <w:pPr>
              <w:spacing w:after="0"/>
              <w:rPr>
                <w:sz w:val="24"/>
                <w:szCs w:val="24"/>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(12,922)</w:t>
            </w:r>
          </w:p>
        </w:tc>
      </w:tr>
      <w:tr>
        <w:trPr>
          <w:trHeight w:val="20"/>
        </w:trPr>
        <w:tc>
          <w:tcPr>
            <w:tcW w:w="5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2025 . . . . . . . . . . . . . . . . . . . . . . . . . . .</w:t>
            </w:r>
          </w:p>
        </w:tc>
        <w:tc>
          <w:tcPr>
            <w:tcW w:w="52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6"/>
              </w:rPr>
              <w:t>$47</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$382,494</w:t>
            </w:r>
          </w:p>
        </w:tc>
        <w:tc>
          <w:tcPr>
            <w:tcW w:w="16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$184,886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23"/>
                <w:szCs w:val="23"/>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$567,346</w:t>
            </w:r>
          </w:p>
        </w:tc>
      </w:tr>
      <w:tr>
        <w:trPr>
          <w:trHeight w:val="20"/>
        </w:trPr>
        <w:tc>
          <w:tcPr>
            <w:tcW w:w="5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023" w:right="54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10800"/>
          </w:cols>
          <w:pgMar w:left="540" w:top="1023" w:right="540" w:bottom="70" w:gutter="0" w:footer="0" w:header="0"/>
          <w:type w:val="continuous"/>
        </w:sectPr>
      </w:pPr>
    </w:p>
    <w:bookmarkStart w:id="84" w:name="page85"/>
    <w:bookmarkEnd w:id="84"/>
    <w:p>
      <w:pPr>
        <w:ind w:left="3160"/>
        <w:spacing w:after="0"/>
        <w:rPr>
          <w:sz w:val="20"/>
          <w:szCs w:val="20"/>
          <w:color w:val="auto"/>
        </w:rPr>
      </w:pPr>
      <w:r>
        <w:rPr>
          <w:rFonts w:ascii="Times New Roman" w:cs="Times New Roman" w:eastAsia="Times New Roman" w:hAnsi="Times New Roman"/>
          <w:sz w:val="20"/>
          <w:szCs w:val="20"/>
          <w:b w:val="1"/>
          <w:bCs w:val="1"/>
          <w:color w:val="auto"/>
        </w:rPr>
        <w:t>CTO REALTY GROWTH, INC.</w:t>
      </w:r>
    </w:p>
    <w:p>
      <w:pPr>
        <w:spacing w:after="0" w:line="11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2"/>
              </w:rPr>
              <w:t>Year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
        </w:trPr>
        <w:tc>
          <w:tcPr>
            <w:tcW w:w="60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6020" w:type="dxa"/>
            <w:vAlign w:val="bottom"/>
          </w:tcPr>
          <w:p>
            <w:pPr>
              <w:spacing w:after="0"/>
              <w:rPr>
                <w:sz w:val="17"/>
                <w:szCs w:val="17"/>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8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13"/>
        </w:trPr>
        <w:tc>
          <w:tcPr>
            <w:tcW w:w="60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4"/>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Flow from Operating Activities:</w:t>
            </w: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Income (Loss) Attributable to the Company  . . . . . . . . . . .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  10,092</w:t>
            </w:r>
          </w:p>
        </w:tc>
        <w:tc>
          <w:tcPr>
            <w:tcW w:w="100" w:type="dxa"/>
            <w:vAlign w:val="bottom"/>
          </w:tcPr>
          <w:p>
            <w:pPr>
              <w:spacing w:after="0"/>
              <w:rPr>
                <w:sz w:val="24"/>
                <w:szCs w:val="24"/>
                <w:color w:val="auto"/>
              </w:rPr>
            </w:pP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  (1,965)</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  5,530</w:t>
            </w:r>
          </w:p>
        </w:tc>
        <w:tc>
          <w:tcPr>
            <w:tcW w:w="20" w:type="dxa"/>
            <w:vAlign w:val="bottom"/>
          </w:tcPr>
          <w:p>
            <w:pPr>
              <w:spacing w:after="0"/>
              <w:rPr>
                <w:sz w:val="24"/>
                <w:szCs w:val="24"/>
                <w:color w:val="auto"/>
              </w:rPr>
            </w:pPr>
          </w:p>
        </w:tc>
      </w:tr>
      <w:tr>
        <w:trPr>
          <w:trHeight w:val="256"/>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Adjustments to Reconcile Net Income (Loss) Attributable to the</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Company to Net Cash Provided by Operating Activities:</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  . . . . . . . . . . . . . . . . . . . . . . .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60,015</w:t>
            </w:r>
          </w:p>
        </w:tc>
        <w:tc>
          <w:tcPr>
            <w:tcW w:w="10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65,049</w:t>
            </w:r>
          </w:p>
        </w:tc>
        <w:tc>
          <w:tcPr>
            <w:tcW w:w="100" w:type="dxa"/>
            <w:vAlign w:val="bottom"/>
          </w:tcPr>
          <w:p>
            <w:pPr>
              <w:spacing w:after="0"/>
              <w:rPr>
                <w:sz w:val="24"/>
                <w:szCs w:val="24"/>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44,173</w:t>
            </w:r>
          </w:p>
        </w:tc>
        <w:tc>
          <w:tcPr>
            <w:tcW w:w="20" w:type="dxa"/>
            <w:vAlign w:val="bottom"/>
          </w:tcPr>
          <w:p>
            <w:pPr>
              <w:spacing w:after="0"/>
              <w:rPr>
                <w:sz w:val="24"/>
                <w:szCs w:val="24"/>
                <w:color w:val="auto"/>
              </w:rPr>
            </w:pPr>
          </w:p>
        </w:tc>
      </w:tr>
      <w:tr>
        <w:trPr>
          <w:trHeight w:val="256"/>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Intangible Assets and Liabilities to Income</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Property Revenue  . . . . . . . . . . . . . . . . . . . . .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(1,006)</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(254)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2,303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Deferred Financing Costs to Interest Expense  .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1,280</w:t>
            </w:r>
          </w:p>
        </w:tc>
        <w:tc>
          <w:tcPr>
            <w:tcW w:w="1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1,047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Discount on Convertible Debt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Gain on Disposition of Real Estate and Intangible Lease Assets</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and Liabilities . . . . . . . . . . . . . . . . . . . . . . . .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(21,452)</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(3,763)</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(7,543)</w:t>
            </w:r>
          </w:p>
        </w:tc>
        <w:tc>
          <w:tcPr>
            <w:tcW w:w="20" w:type="dxa"/>
            <w:vAlign w:val="bottom"/>
          </w:tcPr>
          <w:p>
            <w:pPr>
              <w:spacing w:after="0"/>
              <w:rPr>
                <w:sz w:val="22"/>
                <w:szCs w:val="22"/>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Gain on Disposition of Subsurface Interests  . . . . . . . . . . . . . . .</w:t>
            </w:r>
          </w:p>
        </w:tc>
        <w:tc>
          <w:tcPr>
            <w:tcW w:w="4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(4,545)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Extinguishment of Debt  . . . . . . . . . . . . . . . . . . . . . .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20,449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Provision for Impairment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Accretion of Commercial Loans and Investments Origination</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Fees . . . . . . . . . . . . . . . . . . . . . . . . . . . . . . .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(733)</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(276)</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22"/>
                <w:szCs w:val="22"/>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Non-Cash Imputed Interest . . . . . . . . . . . . . . . .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(19)</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(29)</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Income Taxes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(458)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Unrealized Loss (Gain) on Investment Securities  .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1,081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3,902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Extinguishment of Contingent Obligation . . . . . . . . . . . . . . . . .</w:t>
            </w:r>
          </w:p>
        </w:tc>
        <w:tc>
          <w:tcPr>
            <w:tcW w:w="4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(2,815)</w:t>
            </w: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Non-Cash Compensation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4,158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3,637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3,673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Decrease (Increase) in Assets:</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Refundable Income Taxes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Land and Development Costs . . . . . . . . . . . . . . . . . . . . . . . . . .</w:t>
            </w:r>
          </w:p>
        </w:tc>
        <w:tc>
          <w:tcPr>
            <w:tcW w:w="4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Mitigation Credits and Mitigation Credit Rights  . . . . . . . . . . . .</w:t>
            </w:r>
          </w:p>
        </w:tc>
        <w:tc>
          <w:tcPr>
            <w:tcW w:w="4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1,044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Assets . . . . . . . . . . . . . . . . . . . . . . . . . . .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(7,652)</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(4,047)</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(4,617)</w:t>
            </w:r>
          </w:p>
        </w:tc>
        <w:tc>
          <w:tcPr>
            <w:tcW w:w="20" w:type="dxa"/>
            <w:vAlign w:val="bottom"/>
          </w:tcPr>
          <w:p>
            <w:pPr>
              <w:spacing w:after="0"/>
              <w:rPr>
                <w:sz w:val="24"/>
                <w:szCs w:val="24"/>
                <w:color w:val="auto"/>
              </w:rPr>
            </w:pPr>
          </w:p>
        </w:tc>
      </w:tr>
      <w:tr>
        <w:trPr>
          <w:trHeight w:val="279"/>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Increase (Decrease) in Liabilities:</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 . . . . . . . . . . . . . . . . . . . . . .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(1,571)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and Other Liabilities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4,032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(2,597)</w:t>
            </w: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Revenue . . . . . . . . . . . . . . . . . . . . . . .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(730)</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(2,221)</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(642)</w:t>
            </w:r>
          </w:p>
        </w:tc>
        <w:tc>
          <w:tcPr>
            <w:tcW w:w="20" w:type="dxa"/>
            <w:vAlign w:val="bottom"/>
          </w:tcPr>
          <w:p>
            <w:pPr>
              <w:spacing w:after="0"/>
              <w:rPr>
                <w:sz w:val="24"/>
                <w:szCs w:val="24"/>
                <w:color w:val="auto"/>
              </w:rPr>
            </w:pPr>
          </w:p>
        </w:tc>
      </w:tr>
      <w:tr>
        <w:trPr>
          <w:trHeight w:val="275"/>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Income Taxes Payable . . . . . . . . . . . . . . . . . . . . . . . . . . . . . . .</w:t>
            </w:r>
          </w:p>
        </w:tc>
        <w:tc>
          <w:tcPr>
            <w:tcW w:w="4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gridSpan w:val="2"/>
          </w:tcPr>
          <w:p>
            <w:pPr>
              <w:spacing w:after="0"/>
              <w:rPr>
                <w:sz w:val="23"/>
                <w:szCs w:val="23"/>
                <w:color w:val="auto"/>
              </w:rPr>
            </w:pPr>
          </w:p>
        </w:tc>
      </w:tr>
      <w:tr>
        <w:trPr>
          <w:trHeight w:val="269"/>
        </w:trPr>
        <w:tc>
          <w:tcPr>
            <w:tcW w:w="6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Cash Provided By Operating Activities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64,600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59,867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46,314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4"/>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Cash Flow from Investing Activities:</w:t>
            </w:r>
          </w:p>
        </w:tc>
        <w:tc>
          <w:tcPr>
            <w:tcW w:w="4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6"/>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Acquisition of Real Estate and Intangible Lease Assets and</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Liabilities . . . . . . . . . . . . . . . . . . . . . . . . . . .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(145,062)</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(224,406)</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(80,279)</w:t>
            </w:r>
          </w:p>
        </w:tc>
        <w:tc>
          <w:tcPr>
            <w:tcW w:w="20" w:type="dxa"/>
            <w:vAlign w:val="bottom"/>
          </w:tcPr>
          <w:p>
            <w:pPr>
              <w:spacing w:after="0"/>
              <w:rPr>
                <w:sz w:val="22"/>
                <w:szCs w:val="22"/>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Investments in and Improvements to Real Estate . .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(15,165)</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(17,492)</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(22,670)</w:t>
            </w:r>
          </w:p>
        </w:tc>
        <w:tc>
          <w:tcPr>
            <w:tcW w:w="20" w:type="dxa"/>
            <w:vAlign w:val="bottom"/>
          </w:tcPr>
          <w:p>
            <w:pPr>
              <w:spacing w:after="0"/>
              <w:rPr>
                <w:sz w:val="24"/>
                <w:szCs w:val="24"/>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Acquisition of Commercial Loans and Investments . . . . . . . . . . .</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(14,339)</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(63,930)</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(32,869)</w:t>
            </w:r>
          </w:p>
        </w:tc>
        <w:tc>
          <w:tcPr>
            <w:tcW w:w="20" w:type="dxa"/>
            <w:vAlign w:val="bottom"/>
          </w:tcPr>
          <w:p>
            <w:pPr>
              <w:spacing w:after="0"/>
              <w:rPr>
                <w:sz w:val="24"/>
                <w:szCs w:val="24"/>
                <w:color w:val="auto"/>
              </w:rPr>
            </w:pPr>
          </w:p>
        </w:tc>
      </w:tr>
      <w:tr>
        <w:trPr>
          <w:trHeight w:val="256"/>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Disposition of Property, Plant, and Equipment,</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 . . . . . . . . . . .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84,275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37,157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84,336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Disposition of Subsurface Interests . . . . . . . . . . .</w:t>
            </w:r>
          </w:p>
        </w:tc>
        <w:tc>
          <w:tcPr>
            <w:tcW w:w="4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4,974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Principal Payments Received on Commercial Loans and</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Investments . . . . . . .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15,242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20,335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176"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 F-9</w:t>
      </w:r>
    </w:p>
    <w:p>
      <w:pPr>
        <w:sectPr>
          <w:pgSz w:w="11880" w:h="15480" w:orient="portrait"/>
          <w:cols w:equalWidth="0" w:num="1">
            <w:col w:w="9120"/>
          </w:cols>
          <w:pgMar w:left="1380" w:top="1023" w:right="1380" w:bottom="309" w:gutter="0" w:footer="0" w:header="0"/>
        </w:sectPr>
      </w:pPr>
    </w:p>
    <w:bookmarkStart w:id="85" w:name="page86"/>
    <w:bookmarkEnd w:id="85"/>
    <w:p>
      <w:pPr>
        <w:ind w:left="3160"/>
        <w:spacing w:after="0"/>
        <w:rPr>
          <w:sz w:val="20"/>
          <w:szCs w:val="20"/>
          <w:color w:val="auto"/>
        </w:rPr>
      </w:pPr>
      <w:r>
        <w:rPr>
          <w:rFonts w:ascii="Times New Roman" w:cs="Times New Roman" w:eastAsia="Times New Roman" w:hAnsi="Times New Roman"/>
          <w:sz w:val="20"/>
          <w:szCs w:val="20"/>
          <w:b w:val="1"/>
          <w:bCs w:val="1"/>
          <w:color w:val="auto"/>
        </w:rPr>
        <w:t>CTO REALTY GROWTH, INC.</w:t>
      </w:r>
    </w:p>
    <w:p>
      <w:pPr>
        <w:spacing w:after="0" w:line="1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2"/>
              </w:rPr>
              <w:t>Year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80" w:type="dxa"/>
            <w:vAlign w:val="bottom"/>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.CashReceivedforCommercialLoanReserves.......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9,483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Acquisition of Investment Securities . . . . . . . . . . . . . . . . . . . .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(9,026)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(447)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Proceeds from the Sale of Investment Securities . . . . . . . . . . . . .</w:t>
            </w: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1,655</w:t>
            </w: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.NetCashUsedInInvestingActivities...........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(71,502)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w w:val="96"/>
              </w:rPr>
              <w:t>(232,671)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(52,454)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Cash Flow From Financing Activities:</w:t>
            </w: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Proceeds from Long-Term Debt . . . . . . . . . . . . . . . . . . . . . . .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148,850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Payments on Long-Term Debt . . . . . . . . . . . . . . . . . . . . . . . .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w w:val="99"/>
              </w:rPr>
              <w:t>(292,272)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w w:val="96"/>
              </w:rPr>
              <w:t>(342,000)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(99,600)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Cash Paid for Loan Fees  . . . . . . . . . . . . . . . . . . . . . . . . . . . .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(1,535)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(1,093)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Cash Proceeds from Common Stock Issuance  . . . . . . . . . . . . .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Proceeds from Issuance of Preferred Stock, Net of Underwriting</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Discount and Expenses  . . . . .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Cash Used to Purchase Common Stock . . . . . . . . . . . . . . . . . .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(9,355)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(664)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Cash Paid for Vesting of Restricted Stock  . . . . . . . . . . . . . . . .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(1,034)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(1,274)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Proceeds from (Cash Paid for) Issuance of Common and Preferred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Stock, Net  . . . . . . . . . . . . . .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(124)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164,828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Cash Paid for Premium Related to Settlement of 2025 Notes . . .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(14,110)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Dividends Paid – Preferred Stock . . . . . . . . . . . . . . . . . . . . . .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(7,512)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(6,814)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Dividends Paid – Common Stock . . . . . . . . . . . . . . . . . . . . . . .</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(49,046)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(40,280)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(34,266)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.NetCashProvidedByFinancingActivities........</w:t>
            </w:r>
          </w:p>
        </w:tc>
        <w:tc>
          <w:tcPr>
            <w:tcW w:w="4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30,660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172,346</w:t>
            </w:r>
          </w:p>
        </w:tc>
        <w:tc>
          <w:tcPr>
            <w:tcW w:w="20" w:type="dxa"/>
            <w:vAlign w:val="bottom"/>
            <w:tcBorders>
              <w:top w:val="single" w:sz="8" w:color="auto"/>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2,765</w:t>
            </w:r>
          </w:p>
        </w:tc>
        <w:tc>
          <w:tcPr>
            <w:tcW w:w="20" w:type="dxa"/>
            <w:vAlign w:val="bottom"/>
            <w:tcBorders>
              <w:top w:val="single" w:sz="8" w:color="auto"/>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Cash . . . . . . . . . . . . . . . . . . . . . . . . . . . . . . . . . . . . . . . . . .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23,758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(458)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Beginning of Period . .</w:t>
            </w: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17,361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17,819</w:t>
            </w: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21,194</w:t>
            </w: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0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 . . . . .Cash,CashEquivalentsandRestrictedCash,EndofPeriod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41,119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17,361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17,819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Reconciliation of Cash to the Consolidated Balance Sheets: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Cash and Cash Equivalents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9,017</w:t>
            </w:r>
          </w:p>
        </w:tc>
        <w:tc>
          <w:tcPr>
            <w:tcW w:w="10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10,214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Restricted Cash . . . . . . . . . . . . . . . . . . . . . . . . . . . . . . . . . . . . .</w:t>
            </w: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34,652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8,344</w:t>
            </w:r>
          </w:p>
        </w:tc>
        <w:tc>
          <w:tcPr>
            <w:tcW w:w="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7,605</w:t>
            </w:r>
          </w:p>
        </w:tc>
        <w:tc>
          <w:tcPr>
            <w:tcW w:w="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.TotalCash..................................</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41,119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17,361</w:t>
            </w:r>
          </w:p>
        </w:tc>
        <w:tc>
          <w:tcPr>
            <w:tcW w:w="10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17,819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Supplemental Disclosure of Cash Flow Information:</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Cash Paid for Taxes, Net of Refunds Received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(57)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Cash Paid for Interest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26,303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21,206</w:t>
            </w:r>
          </w:p>
        </w:tc>
        <w:tc>
          <w:tcPr>
            <w:tcW w:w="10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21,636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Supplemental Disclosure of Non-Cash Investing and Financing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Activities: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0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Unrealized Gain (Loss) on Cash Flow Hedges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(12,922)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(8,870)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Common Stock Dividends Declared and Unpaid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Principal Related to Settlement of 2025 Notes, Paid in Common</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Stock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6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Premium Related to Settlement of 2025 Notes, Paid in Common</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Stock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146050</wp:posOffset>
                </wp:positionV>
                <wp:extent cx="136842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1.5pt" to="108.25pt,11.5pt" o:allowincell="f" strokecolor="#000000" strokeweight="0.499pt"/>
            </w:pict>
          </mc:Fallback>
        </mc:AlternateContent>
      </w:r>
    </w:p>
    <w:p>
      <w:pPr>
        <w:spacing w:after="0" w:line="334"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6"/>
          <w:szCs w:val="16"/>
          <w:color w:val="auto"/>
        </w:rPr>
        <w:t>(1)</w:t>
        <w:tab/>
        <w:t>Includes $0.3 million of capitalized interest during the years ended December 31, 2025, 2024 and 2023, respectively.</w:t>
      </w:r>
    </w:p>
    <w:p>
      <w:pPr>
        <w:sectPr>
          <w:pgSz w:w="11880" w:h="15480" w:orient="portrait"/>
          <w:cols w:equalWidth="0" w:num="1">
            <w:col w:w="9120"/>
          </w:cols>
          <w:pgMar w:left="1380" w:top="1023" w:right="13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left="860" w:right="860"/>
        <w:spacing w:after="0" w:line="325"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 F-10</w:t>
      </w:r>
    </w:p>
    <w:p>
      <w:pPr>
        <w:sectPr>
          <w:pgSz w:w="11880" w:h="15480" w:orient="portrait"/>
          <w:cols w:equalWidth="0" w:num="1">
            <w:col w:w="9120"/>
          </w:cols>
          <w:pgMar w:left="1380" w:top="1023" w:right="1380" w:bottom="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2024, and 2023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ORGANIZATION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NATURE OF OPERATIONS</w:t>
      </w:r>
    </w:p>
    <w:p>
      <w:pPr>
        <w:spacing w:after="0" w:line="168" w:lineRule="exact"/>
        <w:rPr>
          <w:sz w:val="20"/>
          <w:szCs w:val="20"/>
          <w:color w:val="auto"/>
        </w:rPr>
      </w:pPr>
    </w:p>
    <w:p>
      <w:pPr>
        <w:ind w:right="280" w:firstLine="399"/>
        <w:spacing w:after="0" w:line="288" w:lineRule="auto"/>
        <w:rPr>
          <w:sz w:val="20"/>
          <w:szCs w:val="20"/>
          <w:color w:val="auto"/>
        </w:rPr>
      </w:pPr>
      <w:r>
        <w:rPr>
          <w:rFonts w:ascii="Times New Roman" w:cs="Times New Roman" w:eastAsia="Times New Roman" w:hAnsi="Times New Roman"/>
          <w:sz w:val="20"/>
          <w:szCs w:val="20"/>
          <w:color w:val="auto"/>
        </w:rPr>
        <w:t>The terms “us,” “we,” “our,” and “the Company” as used in this report refer to CTO Realty Growth, Inc. together with our consolidated subsidiaries.</w:t>
      </w:r>
    </w:p>
    <w:p>
      <w:pPr>
        <w:spacing w:after="0" w:line="95" w:lineRule="exact"/>
        <w:rPr>
          <w:sz w:val="20"/>
          <w:szCs w:val="20"/>
          <w:color w:val="auto"/>
        </w:rPr>
      </w:pPr>
    </w:p>
    <w:p>
      <w:pPr>
        <w:ind w:firstLine="399"/>
        <w:spacing w:after="0" w:line="262" w:lineRule="auto"/>
        <w:rPr>
          <w:sz w:val="20"/>
          <w:szCs w:val="20"/>
          <w:color w:val="auto"/>
        </w:rPr>
      </w:pPr>
      <w:r>
        <w:rPr>
          <w:rFonts w:ascii="Times New Roman" w:cs="Times New Roman" w:eastAsia="Times New Roman" w:hAnsi="Times New Roman"/>
          <w:sz w:val="20"/>
          <w:szCs w:val="20"/>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22" w:lineRule="exact"/>
        <w:rPr>
          <w:sz w:val="20"/>
          <w:szCs w:val="20"/>
          <w:color w:val="auto"/>
        </w:rPr>
      </w:pPr>
    </w:p>
    <w:p>
      <w:pPr>
        <w:ind w:firstLine="399"/>
        <w:spacing w:after="0" w:line="265" w:lineRule="auto"/>
        <w:rPr>
          <w:sz w:val="20"/>
          <w:szCs w:val="20"/>
          <w:color w:val="auto"/>
        </w:rPr>
      </w:pPr>
      <w:r>
        <w:rPr>
          <w:rFonts w:ascii="Times New Roman" w:cs="Times New Roman" w:eastAsia="Times New Roman" w:hAnsi="Times New Roman"/>
          <w:sz w:val="20"/>
          <w:szCs w:val="20"/>
          <w:color w:val="auto"/>
        </w:rPr>
        <w:t>As of December 31, 2025, we own and manage, sometimes utilizing third-party property management companies, 21 commercial real estate properties in seven states in the United States, comprising 5.5 million square feet of gross leasable space. In addition to our income property portfolio, as of December 31, 2025, our business included the following:</w:t>
      </w:r>
    </w:p>
    <w:p>
      <w:pPr>
        <w:spacing w:after="0" w:line="118"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20"/>
          <w:szCs w:val="20"/>
          <w:u w:val="single" w:color="auto"/>
          <w:color w:val="auto"/>
        </w:rPr>
        <w:t>Management Services:</w:t>
      </w:r>
      <w:r>
        <w:rPr>
          <w:rFonts w:ascii="Times New Roman" w:cs="Times New Roman" w:eastAsia="Times New Roman" w:hAnsi="Times New Roman"/>
          <w:sz w:val="20"/>
          <w:szCs w:val="20"/>
          <w:color w:val="auto"/>
        </w:rPr>
        <w:t xml:space="preserve"> A fee-based management business that is engaged in managing Alpine Income Property Trust, Inc.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w:t>
      </w:r>
    </w:p>
    <w:p>
      <w:pPr>
        <w:spacing w:after="0" w:line="365" w:lineRule="exact"/>
        <w:rPr>
          <w:sz w:val="20"/>
          <w:szCs w:val="20"/>
          <w:color w:val="auto"/>
        </w:rPr>
      </w:pPr>
    </w:p>
    <w:p>
      <w:pPr>
        <w:ind w:right="580" w:firstLine="399"/>
        <w:spacing w:after="0" w:line="288" w:lineRule="auto"/>
        <w:rPr>
          <w:sz w:val="20"/>
          <w:szCs w:val="20"/>
          <w:color w:val="auto"/>
        </w:rPr>
      </w:pPr>
      <w:r>
        <w:rPr>
          <w:rFonts w:ascii="Times New Roman" w:cs="Times New Roman" w:eastAsia="Times New Roman" w:hAnsi="Times New Roman"/>
          <w:sz w:val="20"/>
          <w:szCs w:val="20"/>
          <w:u w:val="single" w:color="auto"/>
          <w:color w:val="auto"/>
        </w:rPr>
        <w:t>Commercial Loans and Investments:</w:t>
      </w:r>
      <w:r>
        <w:rPr>
          <w:rFonts w:ascii="Times New Roman" w:cs="Times New Roman" w:eastAsia="Times New Roman" w:hAnsi="Times New Roman"/>
          <w:sz w:val="20"/>
          <w:szCs w:val="20"/>
          <w:color w:val="auto"/>
        </w:rPr>
        <w:t xml:space="preserve"> A portfolio of four commercial loan investments and two preferred equity investments which are classified as commercial loan investments.</w:t>
      </w:r>
    </w:p>
    <w:p>
      <w:pPr>
        <w:spacing w:after="0" w:line="95" w:lineRule="exact"/>
        <w:rPr>
          <w:sz w:val="20"/>
          <w:szCs w:val="20"/>
          <w:color w:val="auto"/>
        </w:rPr>
      </w:pPr>
    </w:p>
    <w:p>
      <w:pPr>
        <w:ind w:right="20" w:firstLine="399"/>
        <w:spacing w:after="0" w:line="259" w:lineRule="auto"/>
        <w:rPr>
          <w:sz w:val="20"/>
          <w:szCs w:val="20"/>
          <w:color w:val="auto"/>
        </w:rPr>
      </w:pPr>
      <w:r>
        <w:rPr>
          <w:rFonts w:ascii="Times New Roman" w:cs="Times New Roman" w:eastAsia="Times New Roman" w:hAnsi="Times New Roman"/>
          <w:sz w:val="20"/>
          <w:szCs w:val="20"/>
          <w:u w:val="single" w:color="auto"/>
          <w:color w:val="auto"/>
        </w:rPr>
        <w:t>Real Estate Operations:</w:t>
      </w:r>
      <w:r>
        <w:rPr>
          <w:rFonts w:ascii="Times New Roman" w:cs="Times New Roman" w:eastAsia="Times New Roman" w:hAnsi="Times New Roman"/>
          <w:sz w:val="20"/>
          <w:szCs w:val="20"/>
          <w:color w:val="auto"/>
        </w:rPr>
        <w:t xml:space="preserve"> There were no significant real estate operations transactions during the year ended December 31, 2025. During the year ended December 31, 2024, the Company sold its remaining mitigation credits, which were produced by the Company’s formerly owned mitigation bank, and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27"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u w:val="single" w:color="auto"/>
          <w:color w:val="auto"/>
        </w:rPr>
        <w:t>Investment in PINE:</w:t>
      </w:r>
      <w:r>
        <w:rPr>
          <w:rFonts w:ascii="Times New Roman" w:cs="Times New Roman" w:eastAsia="Times New Roman" w:hAnsi="Times New Roman"/>
          <w:sz w:val="20"/>
          <w:szCs w:val="20"/>
          <w:color w:val="auto"/>
        </w:rPr>
        <w:t xml:space="preserve"> Our business also includes our investment in PINE. As of December 31, 2025, the fair value of our investment totaled $41.3 million, or 15.4% of PINE’s outstanding common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168" w:lineRule="exact"/>
        <w:rPr>
          <w:sz w:val="20"/>
          <w:szCs w:val="20"/>
          <w:color w:val="auto"/>
        </w:rPr>
      </w:pPr>
    </w:p>
    <w:p>
      <w:pPr>
        <w:ind w:firstLine="399"/>
        <w:spacing w:after="0" w:line="269"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1880" w:h="15480" w:orient="portrait"/>
          <w:cols w:equalWidth="0" w:num="1">
            <w:col w:w="9100"/>
          </w:cols>
          <w:pgMar w:left="1400" w:top="1023" w:right="1380" w:bottom="70" w:gutter="0" w:footer="0" w:header="0"/>
        </w:sectPr>
      </w:pPr>
    </w:p>
    <w:bookmarkStart w:id="87" w:name="page88"/>
    <w:bookmarkEnd w:id="87"/>
    <w:p>
      <w:pPr>
        <w:ind w:left="10" w:right="200"/>
        <w:spacing w:after="0" w:line="275" w:lineRule="auto"/>
        <w:rPr>
          <w:sz w:val="20"/>
          <w:szCs w:val="20"/>
          <w:color w:val="auto"/>
        </w:rPr>
      </w:pPr>
      <w:r>
        <w:rPr>
          <w:rFonts w:ascii="Times New Roman" w:cs="Times New Roman" w:eastAsia="Times New Roman" w:hAnsi="Times New Roman"/>
          <w:sz w:val="20"/>
          <w:szCs w:val="20"/>
          <w:color w:val="auto"/>
        </w:rPr>
        <w:t>or properties were owned or under control by us. All inter-company balances and transactions have been eliminated in the consolidated financial statements. As of December 31, 2025, the Company has an equity investment in PINE.</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168" w:lineRule="exact"/>
        <w:rPr>
          <w:sz w:val="20"/>
          <w:szCs w:val="20"/>
          <w:color w:val="auto"/>
        </w:rPr>
      </w:pPr>
    </w:p>
    <w:p>
      <w:pPr>
        <w:ind w:left="10" w:firstLine="399"/>
        <w:spacing w:after="0" w:line="265" w:lineRule="auto"/>
        <w:rPr>
          <w:sz w:val="20"/>
          <w:szCs w:val="20"/>
          <w:color w:val="auto"/>
        </w:rPr>
      </w:pPr>
      <w:r>
        <w:rPr>
          <w:rFonts w:ascii="Times New Roman" w:cs="Times New Roman" w:eastAsia="Times New Roman" w:hAnsi="Times New Roman"/>
          <w:sz w:val="20"/>
          <w:szCs w:val="20"/>
          <w:color w:val="auto"/>
        </w:rPr>
        <w:t>ASC Topic 280</w:t>
      </w:r>
      <w:r>
        <w:rPr>
          <w:rFonts w:ascii="Times New Roman" w:cs="Times New Roman" w:eastAsia="Times New Roman" w:hAnsi="Times New Roman"/>
          <w:sz w:val="20"/>
          <w:szCs w:val="20"/>
          <w:i w:val="1"/>
          <w:iCs w:val="1"/>
          <w:color w:val="auto"/>
        </w:rPr>
        <w:t>, Segment Reporting</w:t>
      </w:r>
      <w:r>
        <w:rPr>
          <w:rFonts w:ascii="Times New Roman" w:cs="Times New Roman" w:eastAsia="Times New Roman" w:hAnsi="Times New Roman"/>
          <w:sz w:val="20"/>
          <w:szCs w:val="20"/>
          <w:color w:val="auto"/>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23, “Business Segment Data”. The Company has no other reportable segments. The Company’s chief executive officer, who is the chief operating decision maker (“CODM”), reviews financial information on a disaggregated basis for purposes of allocating and evaluating financial performance.</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 IN THE PREPARATION OF FINANCIAL STATEMENTS</w:t>
      </w:r>
    </w:p>
    <w:p>
      <w:pPr>
        <w:spacing w:after="0" w:line="168" w:lineRule="exact"/>
        <w:rPr>
          <w:sz w:val="20"/>
          <w:szCs w:val="20"/>
          <w:color w:val="auto"/>
        </w:rPr>
      </w:pPr>
    </w:p>
    <w:p>
      <w:pPr>
        <w:ind w:left="10" w:firstLine="399"/>
        <w:spacing w:after="0" w:line="266"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2" w:lineRule="exact"/>
        <w:rPr>
          <w:sz w:val="20"/>
          <w:szCs w:val="20"/>
          <w:color w:val="auto"/>
        </w:rPr>
      </w:pPr>
    </w:p>
    <w:p>
      <w:pPr>
        <w:ind w:left="10" w:right="80" w:firstLine="399"/>
        <w:spacing w:after="0" w:line="266" w:lineRule="auto"/>
        <w:rPr>
          <w:sz w:val="20"/>
          <w:szCs w:val="20"/>
          <w:color w:val="auto"/>
        </w:rPr>
      </w:pPr>
      <w:r>
        <w:rPr>
          <w:rFonts w:ascii="Times New Roman" w:cs="Times New Roman" w:eastAsia="Times New Roman" w:hAnsi="Times New Roman"/>
          <w:sz w:val="20"/>
          <w:szCs w:val="20"/>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 in income properties, could change materially due to continued volatility in the real estate and financial markets, or as a result of a significant dislocation in those markets.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STANDARDS</w:t>
      </w:r>
    </w:p>
    <w:p>
      <w:pPr>
        <w:spacing w:after="0" w:line="168" w:lineRule="exact"/>
        <w:rPr>
          <w:sz w:val="20"/>
          <w:szCs w:val="20"/>
          <w:color w:val="auto"/>
        </w:rPr>
      </w:pPr>
    </w:p>
    <w:p>
      <w:pPr>
        <w:ind w:left="10" w:firstLine="399"/>
        <w:spacing w:after="0" w:line="262" w:lineRule="auto"/>
        <w:rPr>
          <w:sz w:val="20"/>
          <w:szCs w:val="20"/>
          <w:color w:val="auto"/>
        </w:rPr>
      </w:pP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In December 2023, the FASB issued ASU 2023-09,</w:t>
      </w:r>
      <w:r>
        <w:rPr>
          <w:rFonts w:ascii="Times New Roman" w:cs="Times New Roman" w:eastAsia="Times New Roman" w:hAnsi="Times New Roman"/>
          <w:sz w:val="20"/>
          <w:szCs w:val="20"/>
          <w:i w:val="1"/>
          <w:iCs w:val="1"/>
          <w:color w:val="auto"/>
        </w:rPr>
        <w:t xml:space="preserve"> Income Taxes (Topic 740) — Improvements to Income Tax Disclosures </w:t>
      </w:r>
      <w:r>
        <w:rPr>
          <w:rFonts w:ascii="Times New Roman" w:cs="Times New Roman" w:eastAsia="Times New Roman" w:hAnsi="Times New Roman"/>
          <w:sz w:val="20"/>
          <w:szCs w:val="20"/>
          <w:color w:val="auto"/>
        </w:rPr>
        <w:t>(“ASU 2023-09”) ASU 2023-09 requires annual disclosure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specific categories in the rate reconciliation and the provision of additional information for reconciling items that meet a quantitative threshold within the rate reconciliation. In addition, ASU 2023-09 requires annual disclosure of income taxes paid disaggregated by federal, state and foreign jurisdictions as well as individual jurisdictions in which income taxes paid is equal to or greater than 5 percent of total income taxes paid. ASU 2023-09 is effective for annual periods beginning after December 15, 2024 on a prospective basis, however early adoption and retrospective application is permitted. The Company determined that the adoption of ASU 2023-09 did not have a material impact on the consolidated financial statements of the Company.</w:t>
      </w:r>
    </w:p>
    <w:p>
      <w:pPr>
        <w:spacing w:after="0" w:line="375" w:lineRule="exact"/>
        <w:rPr>
          <w:sz w:val="20"/>
          <w:szCs w:val="20"/>
          <w:color w:val="auto"/>
        </w:rPr>
      </w:pPr>
    </w:p>
    <w:p>
      <w:pPr>
        <w:ind w:left="10" w:right="20" w:firstLine="399"/>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Interim Reporting. </w:t>
      </w:r>
      <w:r>
        <w:rPr>
          <w:rFonts w:ascii="Times New Roman" w:cs="Times New Roman" w:eastAsia="Times New Roman" w:hAnsi="Times New Roman"/>
          <w:sz w:val="20"/>
          <w:szCs w:val="20"/>
          <w:color w:val="auto"/>
        </w:rPr>
        <w:t>In December 2025, the FASB issued ASU 2025-11 to provide clarity and enhance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navigability of interim reporting disclosures in accordance with FASB ASC 270, Interim Reporting. The update focuses on improving the guidance for disclosure requirements for interim reporting periods by</w:t>
      </w:r>
    </w:p>
    <w:p>
      <w:pPr>
        <w:spacing w:after="0" w:line="1" w:lineRule="exact"/>
        <w:rPr>
          <w:sz w:val="20"/>
          <w:szCs w:val="20"/>
          <w:color w:val="auto"/>
        </w:rPr>
      </w:pPr>
    </w:p>
    <w:p>
      <w:pPr>
        <w:ind w:left="10" w:right="200" w:hanging="10"/>
        <w:spacing w:after="0" w:line="269" w:lineRule="auto"/>
        <w:tabs>
          <w:tab w:leader="none" w:pos="25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listing interim disclosures required under ASC 270 as well as all other ASC topics and (ii) requiring disclosure of events or transactions since the prior annual reporting period that are expected to have a material impact on the reporting entity. The update is effective for interim reporting periods within annual reporting periods beginning after December 15, 2027.</w:t>
      </w:r>
    </w:p>
    <w:p>
      <w:pPr>
        <w:spacing w:after="0" w:line="118" w:lineRule="exact"/>
        <w:rPr>
          <w:sz w:val="20"/>
          <w:szCs w:val="20"/>
          <w:color w:val="auto"/>
        </w:rPr>
      </w:pPr>
    </w:p>
    <w:p>
      <w:pPr>
        <w:ind w:left="10" w:right="80" w:firstLine="399"/>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Financial Instruments-Credit Losses. </w:t>
      </w:r>
      <w:r>
        <w:rPr>
          <w:rFonts w:ascii="Times New Roman" w:cs="Times New Roman" w:eastAsia="Times New Roman" w:hAnsi="Times New Roman"/>
          <w:sz w:val="20"/>
          <w:szCs w:val="20"/>
          <w:color w:val="auto"/>
        </w:rPr>
        <w:t>In July 2025, the FASB issued ASU 2025-05,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Instruments-Credit Losses (Topic 326): Measurement of Credit Losses for Accounts Receivable and Contract Assets (“ASU 2025-05”). ASU 2025-05 allows for a practical expedient as it relates to assuming that current conditions as of the balance sheet date do not change for the remaining life of the asset. ASU 2025-05 is effective for annual periods beginning after December 15, 2025, on a prospective basis, however early adoption is permitted. Although the Company is still evaluating the impact of ASU 2025-05, the Company does not expect the implementation of the practical expedient to have a significant impact on our CECL reserve.</w:t>
      </w:r>
    </w:p>
    <w:p>
      <w:pPr>
        <w:spacing w:after="0" w:line="200" w:lineRule="exact"/>
        <w:rPr>
          <w:sz w:val="20"/>
          <w:szCs w:val="20"/>
          <w:color w:val="auto"/>
        </w:rPr>
      </w:pPr>
    </w:p>
    <w:p>
      <w:pPr>
        <w:spacing w:after="0" w:line="3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F-12</w:t>
      </w:r>
    </w:p>
    <w:p>
      <w:pPr>
        <w:sectPr>
          <w:pgSz w:w="11880" w:h="15480" w:orient="portrait"/>
          <w:cols w:equalWidth="0" w:num="1">
            <w:col w:w="9110"/>
          </w:cols>
          <w:pgMar w:left="1390" w:top="1025" w:right="1380" w:bottom="68"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168"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Beginning on January 1, 2025 the Company classifies cash received for commercial loan reserves as a separate line item within net cash provided by investing activities on the accompanying consolidated statements of cash flows. Accordingly, $9.5 million and $0.1 million of cash received for commercial loan reserves were reclassified from net cash provided by operating activities to net cash provided by investing activities on the accompanying consolidated statements of cash flows, for the years ended December 31, 2024 and 2023, to conform to the current presentation.</w:t>
      </w:r>
    </w:p>
    <w:p>
      <w:pPr>
        <w:spacing w:after="0" w:line="112" w:lineRule="exact"/>
        <w:rPr>
          <w:sz w:val="20"/>
          <w:szCs w:val="20"/>
          <w:color w:val="auto"/>
        </w:rPr>
      </w:pPr>
    </w:p>
    <w:p>
      <w:pPr>
        <w:ind w:right="700" w:firstLine="399"/>
        <w:spacing w:after="0" w:line="279" w:lineRule="auto"/>
        <w:rPr>
          <w:sz w:val="20"/>
          <w:szCs w:val="20"/>
          <w:color w:val="auto"/>
        </w:rPr>
      </w:pPr>
      <w:r>
        <w:rPr>
          <w:rFonts w:ascii="Times New Roman" w:cs="Times New Roman" w:eastAsia="Times New Roman" w:hAnsi="Times New Roman"/>
          <w:sz w:val="20"/>
          <w:szCs w:val="20"/>
          <w:color w:val="auto"/>
        </w:rPr>
        <w:t>These reclassifications did not impact the Company’s consolidated balance sheets, consolidated statements of operations, or total net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68" w:lineRule="exact"/>
        <w:rPr>
          <w:sz w:val="20"/>
          <w:szCs w:val="20"/>
          <w:color w:val="auto"/>
        </w:rPr>
      </w:pPr>
    </w:p>
    <w:p>
      <w:pPr>
        <w:ind w:right="40" w:firstLine="399"/>
        <w:spacing w:after="0" w:line="262" w:lineRule="auto"/>
        <w:rPr>
          <w:sz w:val="20"/>
          <w:szCs w:val="20"/>
          <w:color w:val="auto"/>
        </w:rPr>
      </w:pPr>
      <w:r>
        <w:rPr>
          <w:rFonts w:ascii="Times New Roman" w:cs="Times New Roman" w:eastAsia="Times New Roman" w:hAnsi="Times New Roman"/>
          <w:sz w:val="20"/>
          <w:szCs w:val="20"/>
          <w:color w:val="auto"/>
        </w:rPr>
        <w:t>Cash and cash equivalents includes cash on hand, bank demand accounts, and money market accounts having original maturities of 90 days or less. The Company’s bank balances as of December 31, 2025 and 2024 include certain amounts over the Federal Deposit Insurance Corporation limits.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168"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Restricted cash totaled $34.7 million at December 31, 2025, consisting of (i) $11.6 million held in escrow to be reinvested through a like-kind exchange structure, (ii) $22.1 million held in one escrow account and four reserve accounts related to the Company’s commercial loans and investments, including amounts held for a principal paydown in transit, interest, real estate taxes and/or construction costs, and (iii) $1.0 million held in escrow to fund certain construction commitments.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SECURITIES</w:t>
      </w:r>
    </w:p>
    <w:p>
      <w:pPr>
        <w:spacing w:after="0" w:line="168" w:lineRule="exact"/>
        <w:rPr>
          <w:sz w:val="20"/>
          <w:szCs w:val="20"/>
          <w:color w:val="auto"/>
        </w:rPr>
      </w:pPr>
    </w:p>
    <w:p>
      <w:pPr>
        <w:ind w:right="140" w:firstLine="399"/>
        <w:spacing w:after="0" w:line="254" w:lineRule="auto"/>
        <w:rPr>
          <w:sz w:val="20"/>
          <w:szCs w:val="20"/>
          <w:color w:val="auto"/>
        </w:rPr>
      </w:pPr>
      <w:r>
        <w:rPr>
          <w:rFonts w:ascii="Times New Roman" w:cs="Times New Roman" w:eastAsia="Times New Roman" w:hAnsi="Times New Roman"/>
          <w:sz w:val="20"/>
          <w:szCs w:val="20"/>
          <w:color w:val="auto"/>
        </w:rPr>
        <w:t xml:space="preserve">In accordance with FASB ASC Topic 320, </w:t>
      </w:r>
      <w:r>
        <w:rPr>
          <w:rFonts w:ascii="Times New Roman" w:cs="Times New Roman" w:eastAsia="Times New Roman" w:hAnsi="Times New Roman"/>
          <w:sz w:val="20"/>
          <w:szCs w:val="20"/>
          <w:i w:val="1"/>
          <w:iCs w:val="1"/>
          <w:color w:val="auto"/>
        </w:rPr>
        <w:t>Investments — Debt and Equity Securities</w:t>
      </w:r>
      <w:r>
        <w:rPr>
          <w:rFonts w:ascii="Times New Roman" w:cs="Times New Roman" w:eastAsia="Times New Roman" w:hAnsi="Times New Roman"/>
          <w:sz w:val="20"/>
          <w:szCs w:val="20"/>
          <w:color w:val="auto"/>
        </w:rPr>
        <w:t xml:space="preserve"> and pursuant to ASU 2016-01, effective January 1, 2018, the Company’s investments in equity securities (“Investment Securities”) are carried at fair value in the consolidated balance sheets, with the unrealized gains and losses recognized in net income. The unrealized gains and losses are included in investment income in the consolidated statements of operations.</w:t>
      </w:r>
    </w:p>
    <w:p>
      <w:pPr>
        <w:spacing w:after="0" w:line="108" w:lineRule="exact"/>
        <w:rPr>
          <w:sz w:val="20"/>
          <w:szCs w:val="20"/>
          <w:color w:val="auto"/>
        </w:rPr>
      </w:pPr>
    </w:p>
    <w:p>
      <w:pPr>
        <w:ind w:right="260" w:firstLine="399"/>
        <w:spacing w:after="0" w:line="262" w:lineRule="auto"/>
        <w:rPr>
          <w:sz w:val="20"/>
          <w:szCs w:val="20"/>
          <w:color w:val="auto"/>
        </w:rPr>
      </w:pPr>
      <w:r>
        <w:rPr>
          <w:rFonts w:ascii="Times New Roman" w:cs="Times New Roman" w:eastAsia="Times New Roman" w:hAnsi="Times New Roman"/>
          <w:sz w:val="20"/>
          <w:szCs w:val="20"/>
          <w:color w:val="auto"/>
        </w:rPr>
        <w:t>The cost of Investment Securities sold, if any, is based on the specific identification method. Interest and dividends on Investment Securities are included in investment and other income in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FINANCIAL INSTRUMENTS AND HEDGING ACTIVITY</w:t>
      </w:r>
    </w:p>
    <w:p>
      <w:pPr>
        <w:spacing w:after="0" w:line="168"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 xml:space="preserve">The Company accounts for its cash flow hedging derivatives in accordance with FASB ASC Topic 815-20,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Depending upon the hedge’s value at each balance sheet date, the derivatives are included in 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08"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346" w:lineRule="exact"/>
        <w:rPr>
          <w:sz w:val="20"/>
          <w:szCs w:val="20"/>
          <w:color w:val="auto"/>
        </w:rPr>
      </w:pPr>
    </w:p>
    <w:p>
      <w:pPr>
        <w:jc w:val="both"/>
        <w:ind w:right="80" w:firstLine="399"/>
        <w:spacing w:after="0" w:line="262" w:lineRule="auto"/>
        <w:rPr>
          <w:sz w:val="20"/>
          <w:szCs w:val="20"/>
          <w:color w:val="auto"/>
        </w:rPr>
      </w:pPr>
      <w:r>
        <w:rPr>
          <w:rFonts w:ascii="Times New Roman" w:cs="Times New Roman" w:eastAsia="Times New Roman" w:hAnsi="Times New Roman"/>
          <w:sz w:val="20"/>
          <w:szCs w:val="20"/>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17, “Interest Rate Swaps”).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68" w:lineRule="exact"/>
        <w:rPr>
          <w:sz w:val="20"/>
          <w:szCs w:val="20"/>
          <w:color w:val="auto"/>
        </w:rPr>
      </w:pPr>
    </w:p>
    <w:p>
      <w:pPr>
        <w:ind w:right="600" w:firstLine="399"/>
        <w:spacing w:after="0" w:line="279" w:lineRule="auto"/>
        <w:rPr>
          <w:sz w:val="20"/>
          <w:szCs w:val="20"/>
          <w:color w:val="auto"/>
        </w:rPr>
      </w:pPr>
      <w:r>
        <w:rPr>
          <w:rFonts w:ascii="Times New Roman" w:cs="Times New Roman" w:eastAsia="Times New Roman" w:hAnsi="Times New Roman"/>
          <w:sz w:val="20"/>
          <w:szCs w:val="20"/>
          <w:color w:val="auto"/>
        </w:rPr>
        <w:t>The carrying amounts of the Company’s financial assets and liabilities including cash and cash equivalents, restricted cash, accounts receivable, accounts payable, and accrued and other liabilities at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1880" w:h="15480" w:orient="portrait"/>
          <w:cols w:equalWidth="0" w:num="1">
            <w:col w:w="9100"/>
          </w:cols>
          <w:pgMar w:left="1400" w:top="1026" w:right="1380" w:bottom="70" w:gutter="0" w:footer="0" w:header="0"/>
        </w:sectPr>
      </w:pPr>
    </w:p>
    <w:bookmarkStart w:id="89" w:name="page90"/>
    <w:bookmarkEnd w:id="89"/>
    <w:p>
      <w:pPr>
        <w:spacing w:after="0" w:line="258" w:lineRule="auto"/>
        <w:rPr>
          <w:sz w:val="20"/>
          <w:szCs w:val="20"/>
          <w:color w:val="auto"/>
        </w:rPr>
      </w:pPr>
      <w:r>
        <w:rPr>
          <w:rFonts w:ascii="Times New Roman" w:cs="Times New Roman" w:eastAsia="Times New Roman" w:hAnsi="Times New Roman"/>
          <w:sz w:val="20"/>
          <w:szCs w:val="20"/>
          <w:color w:val="auto"/>
        </w:rPr>
        <w:t>December 31, 2025 and 2024, approximate fair value because of the short maturity of these instruments. The carrying value of the Company’s Credit Facility (hereinafter defined) as of December 31, 2025 and 2024,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the 2029 Term Loan (hereinafter defined), the 2030 Term Loan (hereinafter defined), mortgage note, and convertible debt held as of December 31, 2025 and 2024 are measured at fair value based on current market rates for financial instruments with similar risks and maturities (see Note 9, “Fair Value of Financial Instruments”).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68"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20"/>
          <w:szCs w:val="20"/>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86" w:lineRule="exact"/>
        <w:rPr>
          <w:sz w:val="20"/>
          <w:szCs w:val="20"/>
          <w:color w:val="auto"/>
        </w:rPr>
      </w:pPr>
    </w:p>
    <w:p>
      <w:pPr>
        <w:ind w:left="580" w:hanging="191"/>
        <w:spacing w:after="0"/>
        <w:tabs>
          <w:tab w:leader="none" w:pos="5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Valuation is based upon quoted prices in active markets for identical assets or liabilities.</w:t>
      </w:r>
    </w:p>
    <w:p>
      <w:pPr>
        <w:spacing w:after="0" w:line="133" w:lineRule="exact"/>
        <w:rPr>
          <w:rFonts w:ascii="Times New Roman" w:cs="Times New Roman" w:eastAsia="Times New Roman" w:hAnsi="Times New Roman"/>
          <w:sz w:val="20"/>
          <w:szCs w:val="20"/>
          <w:color w:val="auto"/>
        </w:rPr>
      </w:pPr>
    </w:p>
    <w:p>
      <w:pPr>
        <w:ind w:left="580" w:right="120" w:hanging="191"/>
        <w:spacing w:after="0" w:line="265" w:lineRule="auto"/>
        <w:tabs>
          <w:tab w:leader="none" w:pos="5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7" w:lineRule="exact"/>
        <w:rPr>
          <w:rFonts w:ascii="Times New Roman" w:cs="Times New Roman" w:eastAsia="Times New Roman" w:hAnsi="Times New Roman"/>
          <w:sz w:val="20"/>
          <w:szCs w:val="20"/>
          <w:color w:val="auto"/>
        </w:rPr>
      </w:pPr>
    </w:p>
    <w:p>
      <w:pPr>
        <w:ind w:left="580" w:right="60" w:hanging="191"/>
        <w:spacing w:after="0" w:line="265" w:lineRule="auto"/>
        <w:tabs>
          <w:tab w:leader="none" w:pos="5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LOANS AND INVESTMENTS</w:t>
      </w:r>
    </w:p>
    <w:p>
      <w:pPr>
        <w:spacing w:after="0" w:line="168" w:lineRule="exact"/>
        <w:rPr>
          <w:sz w:val="20"/>
          <w:szCs w:val="20"/>
          <w:color w:val="auto"/>
        </w:rPr>
      </w:pPr>
    </w:p>
    <w:p>
      <w:pPr>
        <w:ind w:right="300" w:firstLine="399"/>
        <w:spacing w:after="0" w:line="288" w:lineRule="auto"/>
        <w:rPr>
          <w:sz w:val="20"/>
          <w:szCs w:val="20"/>
          <w:color w:val="auto"/>
        </w:rPr>
      </w:pPr>
      <w:r>
        <w:rPr>
          <w:rFonts w:ascii="Times New Roman" w:cs="Times New Roman" w:eastAsia="Times New Roman" w:hAnsi="Times New Roman"/>
          <w:sz w:val="20"/>
          <w:szCs w:val="20"/>
          <w:color w:val="auto"/>
        </w:rPr>
        <w:t>Investments in commercial loans and investments held for investment are recorded at historical cost, net of unaccreted origination costs and current expected credit losses (“CECL”) reserve.</w:t>
      </w:r>
    </w:p>
    <w:p>
      <w:pPr>
        <w:spacing w:after="0" w:line="95"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20"/>
          <w:szCs w:val="20"/>
          <w:color w:val="auto"/>
        </w:rPr>
        <w:t xml:space="preserve">Pursuant to ASC 326, </w:t>
      </w:r>
      <w:r>
        <w:rPr>
          <w:rFonts w:ascii="Times New Roman" w:cs="Times New Roman" w:eastAsia="Times New Roman" w:hAnsi="Times New Roman"/>
          <w:sz w:val="20"/>
          <w:szCs w:val="20"/>
          <w:i w:val="1"/>
          <w:iCs w:val="1"/>
          <w:color w:val="auto"/>
        </w:rPr>
        <w:t>Financial Instruments — Credit Losses</w:t>
      </w:r>
      <w:r>
        <w:rPr>
          <w:rFonts w:ascii="Times New Roman" w:cs="Times New Roman" w:eastAsia="Times New Roman" w:hAnsi="Times New Roman"/>
          <w:sz w:val="20"/>
          <w:szCs w:val="20"/>
          <w:color w:val="auto"/>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RECOGNITION OF INTEREST INCOME FROM COMMERCIAL LOANS AND INVESTMENTS</w:t>
      </w:r>
    </w:p>
    <w:p>
      <w:pPr>
        <w:spacing w:after="0" w:line="168" w:lineRule="exact"/>
        <w:rPr>
          <w:sz w:val="20"/>
          <w:szCs w:val="20"/>
          <w:color w:val="auto"/>
        </w:rPr>
      </w:pPr>
    </w:p>
    <w:p>
      <w:pPr>
        <w:ind w:right="40" w:firstLine="399"/>
        <w:spacing w:after="0" w:line="260" w:lineRule="auto"/>
        <w:rPr>
          <w:sz w:val="20"/>
          <w:szCs w:val="20"/>
          <w:color w:val="auto"/>
        </w:rPr>
      </w:pPr>
      <w:r>
        <w:rPr>
          <w:rFonts w:ascii="Times New Roman" w:cs="Times New Roman" w:eastAsia="Times New Roman" w:hAnsi="Times New Roman"/>
          <w:sz w:val="20"/>
          <w:szCs w:val="20"/>
          <w:color w:val="auto"/>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168"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$3.9 million and $3.7 million as of December 31, 2025 and 2024, respectively. The $0.2 million increase is primarily attributable to a increase in estimated accrued receivables for variable lease payments including common area maintenance, insurance, real estate taxes and other operating expenses.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F-14</w:t>
      </w:r>
    </w:p>
    <w:p>
      <w:pPr>
        <w:sectPr>
          <w:pgSz w:w="11880" w:h="15480" w:orient="portrait"/>
          <w:cols w:equalWidth="0" w:num="1">
            <w:col w:w="9100"/>
          </w:cols>
          <w:pgMar w:left="1400" w:top="1025" w:right="1380" w:bottom="69" w:gutter="0" w:footer="0" w:header="0"/>
        </w:sectPr>
      </w:pPr>
    </w:p>
    <w:bookmarkStart w:id="90" w:name="page91"/>
    <w:bookmarkEnd w:id="90"/>
    <w:p>
      <w:pPr>
        <w:ind w:left="380"/>
        <w:spacing w:after="0"/>
        <w:rPr>
          <w:sz w:val="20"/>
          <w:szCs w:val="20"/>
          <w:color w:val="auto"/>
        </w:rPr>
      </w:pPr>
      <w:r>
        <w:rPr>
          <w:rFonts w:ascii="Times New Roman" w:cs="Times New Roman" w:eastAsia="Times New Roman" w:hAnsi="Times New Roman"/>
          <w:sz w:val="20"/>
          <w:szCs w:val="20"/>
          <w:color w:val="auto"/>
        </w:rPr>
        <w:t>The Company continually assesses the collectability of receivables related to our income property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tenants and real estate operations. In evaluating collectability, we consider the tenant’s payment history,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condition of the tenant, current macroeconomic trends, and other factors as deemed necessary.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collectability of the aforementioned receivables shall be adjusted through an allowance for doubtful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which is included in income property revenue on the consolidated statements of operations.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the Company’s allowance for doubtful accounts totaled $2.6 million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 million, respectively, which is included within other assets on the Company’s consolidated balance sheets.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ACCOUNTING FOR ACQUISITIONS OF REAL ESTATE SUBJECT TO A LEASE</w:t>
      </w:r>
    </w:p>
    <w:p>
      <w:pPr>
        <w:spacing w:after="0" w:line="168" w:lineRule="exact"/>
        <w:rPr>
          <w:sz w:val="20"/>
          <w:szCs w:val="20"/>
          <w:color w:val="auto"/>
        </w:rPr>
      </w:pPr>
    </w:p>
    <w:p>
      <w:pPr>
        <w:ind w:firstLine="399"/>
        <w:spacing w:after="0" w:line="247" w:lineRule="auto"/>
        <w:rPr>
          <w:sz w:val="20"/>
          <w:szCs w:val="20"/>
          <w:color w:val="auto"/>
        </w:rPr>
      </w:pPr>
      <w:r>
        <w:rPr>
          <w:rFonts w:ascii="Times New Roman" w:cs="Times New Roman" w:eastAsia="Times New Roman" w:hAnsi="Times New Roman"/>
          <w:sz w:val="20"/>
          <w:szCs w:val="20"/>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Times New Roman" w:cs="Times New Roman" w:eastAsia="Times New Roman" w:hAnsi="Times New Roman"/>
          <w:sz w:val="20"/>
          <w:szCs w:val="20"/>
          <w:i w:val="1"/>
          <w:iCs w:val="1"/>
          <w:color w:val="auto"/>
        </w:rPr>
        <w:t>Business Combinations (Topic 805): Clarifying the Definition of a Business</w:t>
      </w:r>
      <w:r>
        <w:rPr>
          <w:rFonts w:ascii="Times New Roman" w:cs="Times New Roman" w:eastAsia="Times New Roman" w:hAnsi="Times New Roman"/>
          <w:sz w:val="20"/>
          <w:szCs w:val="20"/>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31"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365"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OF REAL ESTATE</w:t>
      </w:r>
    </w:p>
    <w:p>
      <w:pPr>
        <w:spacing w:after="0" w:line="168"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spacing w:after="0" w:line="120" w:lineRule="exact"/>
        <w:rPr>
          <w:sz w:val="20"/>
          <w:szCs w:val="20"/>
          <w:color w:val="auto"/>
        </w:rPr>
      </w:pPr>
    </w:p>
    <w:p>
      <w:pPr>
        <w:ind w:firstLine="399"/>
        <w:spacing w:after="0" w:line="262" w:lineRule="auto"/>
        <w:rPr>
          <w:sz w:val="20"/>
          <w:szCs w:val="20"/>
          <w:color w:val="auto"/>
        </w:rPr>
      </w:pPr>
      <w:r>
        <w:rPr>
          <w:rFonts w:ascii="Times New Roman" w:cs="Times New Roman" w:eastAsia="Times New Roman" w:hAnsi="Times New Roman"/>
          <w:sz w:val="20"/>
          <w:szCs w:val="20"/>
          <w:color w:val="auto"/>
        </w:rPr>
        <w:t xml:space="preserve">Gains and losses on land sales, in addition to the sale of Subsurface Interests and mitigation credits, are accounted for as required by FASB ASC Topic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The Company recognizes revenue from such sales when the Company transfers the promised goods in the contract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1880" w:h="15480" w:orient="portrait"/>
          <w:cols w:equalWidth="0" w:num="1">
            <w:col w:w="9100"/>
          </w:cols>
          <w:pgMar w:left="1400" w:top="1025" w:right="1380" w:bottom="71" w:gutter="0" w:footer="0" w:header="0"/>
        </w:sectPr>
      </w:pPr>
    </w:p>
    <w:bookmarkStart w:id="91" w:name="page92"/>
    <w:bookmarkEnd w:id="91"/>
    <w:p>
      <w:pPr>
        <w:ind w:right="340"/>
        <w:spacing w:after="0" w:line="260" w:lineRule="auto"/>
        <w:rPr>
          <w:sz w:val="20"/>
          <w:szCs w:val="20"/>
          <w:color w:val="auto"/>
        </w:rPr>
      </w:pPr>
      <w:r>
        <w:rPr>
          <w:rFonts w:ascii="Times New Roman" w:cs="Times New Roman" w:eastAsia="Times New Roman" w:hAnsi="Times New Roman"/>
          <w:sz w:val="20"/>
          <w:szCs w:val="20"/>
          <w:color w:val="auto"/>
        </w:rPr>
        <w:t>based on the transaction price allocated to the performance obligations within the contract. As market information becomes available, the underlying cost basis is analyzed and recorded at the lower of cost or market.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w:t>
      </w:r>
    </w:p>
    <w:p>
      <w:pPr>
        <w:spacing w:after="0" w:line="168" w:lineRule="exact"/>
        <w:rPr>
          <w:sz w:val="20"/>
          <w:szCs w:val="20"/>
          <w:color w:val="auto"/>
        </w:rPr>
      </w:pPr>
    </w:p>
    <w:p>
      <w:pPr>
        <w:ind w:right="20" w:firstLine="399"/>
        <w:spacing w:after="0" w:line="250" w:lineRule="auto"/>
        <w:rPr>
          <w:sz w:val="20"/>
          <w:szCs w:val="20"/>
          <w:color w:val="auto"/>
        </w:rPr>
      </w:pPr>
      <w:r>
        <w:rPr>
          <w:rFonts w:ascii="Times New Roman" w:cs="Times New Roman" w:eastAsia="Times New Roman" w:hAnsi="Times New Roman"/>
          <w:sz w:val="20"/>
          <w:szCs w:val="20"/>
          <w:color w:val="auto"/>
        </w:rPr>
        <w:t>Property, plant, and equipment are stated at cost, less accumulated depreciation and amortization. Such properties are depreciated on a straight-line basis over their estimated useful lives. Renewals and betterments are capitalized to property accounts. The cost of maintenance and repairs is expensed as incurred. The cost of property retired or otherwise disposed of, and the related accumulated depreciation or amortization, are removed from the accounts, and any resulting gain or loss is recorded in the consolidated statement of operations.</w:t>
      </w:r>
    </w:p>
    <w:p>
      <w:pPr>
        <w:spacing w:after="0" w:line="363" w:lineRule="exact"/>
        <w:rPr>
          <w:sz w:val="20"/>
          <w:szCs w:val="20"/>
          <w:color w:val="auto"/>
        </w:rPr>
      </w:pPr>
    </w:p>
    <w:p>
      <w:pPr>
        <w:ind w:right="340" w:firstLine="399"/>
        <w:spacing w:after="0" w:line="255" w:lineRule="auto"/>
        <w:rPr>
          <w:sz w:val="20"/>
          <w:szCs w:val="20"/>
          <w:color w:val="auto"/>
        </w:rPr>
      </w:pPr>
      <w:r>
        <w:rPr>
          <w:rFonts w:ascii="Times New Roman" w:cs="Times New Roman" w:eastAsia="Times New Roman" w:hAnsi="Times New Roman"/>
          <w:sz w:val="20"/>
          <w:szCs w:val="20"/>
          <w:color w:val="auto"/>
        </w:rPr>
        <w:t>Depreciation expense related to property, plant and equipment, exclusive of amortization related to intangible assets, was $35.2 million, $33.5 million, and $25.7 million for the years ended December 31, 2025, 2024, and 2023, respectively. For each of the years ended December 31, 2025, 2024, and 2023, the Company capitalized $0.3 million of interest.</w:t>
      </w:r>
    </w:p>
    <w:p>
      <w:pPr>
        <w:spacing w:after="0" w:line="122" w:lineRule="exact"/>
        <w:rPr>
          <w:sz w:val="20"/>
          <w:szCs w:val="20"/>
          <w:color w:val="auto"/>
        </w:rPr>
      </w:pPr>
    </w:p>
    <w:p>
      <w:pPr>
        <w:ind w:left="380" w:right="400"/>
        <w:spacing w:after="0" w:line="346" w:lineRule="auto"/>
        <w:rPr>
          <w:sz w:val="20"/>
          <w:szCs w:val="20"/>
          <w:color w:val="auto"/>
        </w:rPr>
      </w:pPr>
      <w:r>
        <w:rPr>
          <w:rFonts w:ascii="Times New Roman" w:cs="Times New Roman" w:eastAsia="Times New Roman" w:hAnsi="Times New Roman"/>
          <w:sz w:val="20"/>
          <w:szCs w:val="20"/>
          <w:color w:val="auto"/>
        </w:rPr>
        <w:t>Income Properties Buildings and Improvements . . . . . . . . . . . . . . . . . . . . . . . . . 3 – 48 Years Other Furnishings and Equipment . . . . . . . . . . . . . . . . . . . . . . . . . . . . . . . . . . 3 – 20 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w:t>
      </w:r>
    </w:p>
    <w:p>
      <w:pPr>
        <w:spacing w:after="0" w:line="168"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 xml:space="preserve">The Company follows FASB ASC Topic 360-10,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xml:space="preserve">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PROPERTY LEASES</w:t>
      </w:r>
    </w:p>
    <w:p>
      <w:pPr>
        <w:spacing w:after="0" w:line="168"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 xml:space="preserve">The rental of the Company’s income properties are classified as operating leases. Pursuant to FASB ASC Topic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the Company recognizes lease income on these properties on a straight-line basis over the term of the lease. The periodic difference between lease income recognized under this method and contractual lease payment terms (i.e., straight-line rent) is recorded as a deferred operating lease receivable and is included in straight-line rent adjustment within other assets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 EXPENSE</w:t>
      </w:r>
    </w:p>
    <w:p>
      <w:pPr>
        <w:spacing w:after="0" w:line="168" w:lineRule="exact"/>
        <w:rPr>
          <w:sz w:val="20"/>
          <w:szCs w:val="20"/>
          <w:color w:val="auto"/>
        </w:rPr>
      </w:pPr>
    </w:p>
    <w:p>
      <w:pPr>
        <w:ind w:right="220" w:firstLine="399"/>
        <w:spacing w:after="0" w:line="279" w:lineRule="auto"/>
        <w:rPr>
          <w:sz w:val="20"/>
          <w:szCs w:val="20"/>
          <w:color w:val="auto"/>
        </w:rPr>
      </w:pPr>
      <w:r>
        <w:rPr>
          <w:rFonts w:ascii="Times New Roman" w:cs="Times New Roman" w:eastAsia="Times New Roman" w:hAnsi="Times New Roman"/>
          <w:sz w:val="20"/>
          <w:szCs w:val="20"/>
          <w:color w:val="auto"/>
        </w:rPr>
        <w:t>The Company leases property and equipment, which are classified as operating leases. The Company recognizes lease expense on a straight-line basis over the term of the lease.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68"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The Company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F-16</w:t>
      </w:r>
    </w:p>
    <w:p>
      <w:pPr>
        <w:sectPr>
          <w:pgSz w:w="11880" w:h="15480" w:orient="portrait"/>
          <w:cols w:equalWidth="0" w:num="1">
            <w:col w:w="9100"/>
          </w:cols>
          <w:pgMar w:left="1400" w:top="1025" w:right="1380" w:bottom="71" w:gutter="0" w:footer="0" w:header="0"/>
        </w:sectPr>
      </w:pPr>
    </w:p>
    <w:bookmarkStart w:id="92" w:name="page93"/>
    <w:bookmarkEnd w:id="92"/>
    <w:p>
      <w:pPr>
        <w:spacing w:after="0" w:line="248" w:lineRule="auto"/>
        <w:rPr>
          <w:sz w:val="20"/>
          <w:szCs w:val="20"/>
          <w:color w:val="auto"/>
        </w:rPr>
      </w:pPr>
      <w:r>
        <w:rPr>
          <w:rFonts w:ascii="Times New Roman" w:cs="Times New Roman" w:eastAsia="Times New Roman" w:hAnsi="Times New Roman"/>
          <w:sz w:val="20"/>
          <w:szCs w:val="20"/>
          <w:color w:val="auto"/>
        </w:rPr>
        <w:t>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are subject to applicable U.S. federal, state and local corporate income tax on their taxable income. For the taxable year ended December 31, 2023, the Company held a total of two TRSs, each subject to taxation and the separate filing of its corporate income tax returns. Effective on January 1, 2024 and through December 31, 2025, the Company owns one TRS, which is subject to federal and applicable state income taxation. The TRS is required to file a separate corporate income tax return.</w:t>
      </w:r>
    </w:p>
    <w:p>
      <w:pPr>
        <w:spacing w:after="0" w:line="365" w:lineRule="exact"/>
        <w:rPr>
          <w:sz w:val="20"/>
          <w:szCs w:val="20"/>
          <w:color w:val="auto"/>
        </w:rPr>
      </w:pPr>
    </w:p>
    <w:p>
      <w:pPr>
        <w:ind w:firstLine="399"/>
        <w:spacing w:after="0" w:line="245" w:lineRule="auto"/>
        <w:rPr>
          <w:sz w:val="20"/>
          <w:szCs w:val="20"/>
          <w:color w:val="auto"/>
        </w:rPr>
      </w:pPr>
      <w:r>
        <w:rPr>
          <w:rFonts w:ascii="Times New Roman" w:cs="Times New Roman" w:eastAsia="Times New Roman" w:hAnsi="Times New Roman"/>
          <w:sz w:val="20"/>
          <w:szCs w:val="20"/>
          <w:color w:val="auto"/>
        </w:rPr>
        <w:t>The Company uses the asset and liability method to account for income taxes for the Company’s TRS. Deferred income taxes result primarily from the net tax effect of temporary differences between the carrying amounts of assets and liabilities for financial reporting purposes and the amounts used for income tax purposes (see Note 21,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w:t>
      </w:r>
    </w:p>
    <w:p>
      <w:pPr>
        <w:spacing w:after="0" w:line="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COMMON SHARE</w:t>
      </w:r>
    </w:p>
    <w:p>
      <w:pPr>
        <w:spacing w:after="0" w:line="168"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Basic earnings per common share is computed by dividing net income attributable to common stockholders for the period by the weighted average number of shares outstanding for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(hereinafter defined) on an if-converted basis, see Note 14, “Common Stock and Earnings Per Share.”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68" w:lineRule="exact"/>
        <w:rPr>
          <w:sz w:val="20"/>
          <w:szCs w:val="20"/>
          <w:color w:val="auto"/>
        </w:rPr>
      </w:pPr>
    </w:p>
    <w:p>
      <w:pPr>
        <w:ind w:right="240" w:firstLine="399"/>
        <w:spacing w:after="0" w:line="279"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concentrations of credit risk consist principally of cash and cash equivalents.</w:t>
      </w:r>
    </w:p>
    <w:p>
      <w:pPr>
        <w:spacing w:after="0" w:line="96" w:lineRule="exact"/>
        <w:rPr>
          <w:sz w:val="20"/>
          <w:szCs w:val="20"/>
          <w:color w:val="auto"/>
        </w:rPr>
      </w:pPr>
    </w:p>
    <w:p>
      <w:pPr>
        <w:ind w:right="320" w:firstLine="399"/>
        <w:spacing w:after="0" w:line="279" w:lineRule="auto"/>
        <w:rPr>
          <w:sz w:val="20"/>
          <w:szCs w:val="20"/>
          <w:color w:val="auto"/>
        </w:rPr>
      </w:pPr>
      <w:r>
        <w:rPr>
          <w:rFonts w:ascii="Times New Roman" w:cs="Times New Roman" w:eastAsia="Times New Roman" w:hAnsi="Times New Roman"/>
          <w:sz w:val="20"/>
          <w:szCs w:val="20"/>
          <w:color w:val="auto"/>
        </w:rPr>
        <w:t>The Company also has certain concentrations that make up more than 10% of our income property portfolio, as described below:</w:t>
      </w:r>
    </w:p>
    <w:p>
      <w:pPr>
        <w:spacing w:after="0" w:line="56" w:lineRule="exact"/>
        <w:rPr>
          <w:sz w:val="20"/>
          <w:szCs w:val="20"/>
          <w:color w:val="auto"/>
        </w:rPr>
      </w:pPr>
    </w:p>
    <w:p>
      <w:pPr>
        <w:ind w:left="580" w:right="60" w:hanging="191"/>
        <w:spacing w:after="0" w:line="254" w:lineRule="auto"/>
        <w:tabs>
          <w:tab w:leader="none" w:pos="5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Square Footage Concentrations. </w:t>
      </w:r>
      <w:r>
        <w:rPr>
          <w:rFonts w:ascii="Times New Roman" w:cs="Times New Roman" w:eastAsia="Times New Roman" w:hAnsi="Times New Roman"/>
          <w:sz w:val="20"/>
          <w:szCs w:val="20"/>
          <w:color w:val="auto"/>
        </w:rPr>
        <w:t>As of December 31, 2025, a total of 30%, 25%, 18% and 12%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income property portfolio, based on square footage, were located in the states of Georgia, Florida, North Carolina, and Texas, respectively. As of December 31, 2024, a total of 23%, 22%, 19%, and 19% of the Company’s income property portfolio, based on square footage, were located in the states of Georgia, North Carolina, Texas, and Florida, respectively.</w:t>
      </w:r>
    </w:p>
    <w:p>
      <w:pPr>
        <w:spacing w:after="0" w:line="80" w:lineRule="exact"/>
        <w:rPr>
          <w:rFonts w:ascii="Times New Roman" w:cs="Times New Roman" w:eastAsia="Times New Roman" w:hAnsi="Times New Roman"/>
          <w:sz w:val="20"/>
          <w:szCs w:val="20"/>
          <w:color w:val="auto"/>
        </w:rPr>
      </w:pPr>
    </w:p>
    <w:p>
      <w:pPr>
        <w:ind w:left="580" w:right="400" w:hanging="191"/>
        <w:spacing w:after="0" w:line="282" w:lineRule="auto"/>
        <w:tabs>
          <w:tab w:leader="none" w:pos="5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Tenant Concentrations. </w:t>
      </w:r>
      <w:r>
        <w:rPr>
          <w:rFonts w:ascii="Times New Roman" w:cs="Times New Roman" w:eastAsia="Times New Roman" w:hAnsi="Times New Roman"/>
          <w:sz w:val="20"/>
          <w:szCs w:val="20"/>
          <w:color w:val="auto"/>
        </w:rPr>
        <w:t>We did not have any tenants that accounted for more than 10% of total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revenues during the years ended December 31, 2025, 2024, or 2023.</w:t>
      </w:r>
    </w:p>
    <w:p>
      <w:pPr>
        <w:spacing w:after="0" w:line="54" w:lineRule="exact"/>
        <w:rPr>
          <w:rFonts w:ascii="Times New Roman" w:cs="Times New Roman" w:eastAsia="Times New Roman" w:hAnsi="Times New Roman"/>
          <w:sz w:val="20"/>
          <w:szCs w:val="20"/>
          <w:color w:val="auto"/>
        </w:rPr>
      </w:pPr>
    </w:p>
    <w:p>
      <w:pPr>
        <w:ind w:left="580" w:hanging="191"/>
        <w:spacing w:after="0" w:line="264" w:lineRule="auto"/>
        <w:tabs>
          <w:tab w:leader="none" w:pos="5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Base Rent Concentrations. </w:t>
      </w:r>
      <w:r>
        <w:rPr>
          <w:rFonts w:ascii="Times New Roman" w:cs="Times New Roman" w:eastAsia="Times New Roman" w:hAnsi="Times New Roman"/>
          <w:sz w:val="20"/>
          <w:szCs w:val="20"/>
          <w:color w:val="auto"/>
        </w:rPr>
        <w:t>A total of 36%, 25%, and 15% of our base rent revenue during the year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ended December 31, 2025 was generated from tenants located in Georgia, Florida, and North Carolina, respectively.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1880" w:h="15480" w:orient="portrait"/>
          <w:cols w:equalWidth="0" w:num="1">
            <w:col w:w="9100"/>
          </w:cols>
          <w:pgMar w:left="1400" w:top="1025" w:right="1380" w:bottom="71"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20"/>
          <w:szCs w:val="20"/>
          <w:b w:val="1"/>
          <w:bCs w:val="1"/>
          <w:color w:val="auto"/>
        </w:rPr>
        <w:t>NOTE 3. INCOME PROPERTIES</w:t>
      </w:r>
    </w:p>
    <w:p>
      <w:pPr>
        <w:spacing w:after="0" w:line="171" w:lineRule="exact"/>
        <w:rPr>
          <w:sz w:val="20"/>
          <w:szCs w:val="20"/>
          <w:color w:val="auto"/>
        </w:rPr>
      </w:pPr>
    </w:p>
    <w:p>
      <w:pPr>
        <w:ind w:left="20" w:firstLine="399"/>
        <w:spacing w:after="0" w:line="262" w:lineRule="auto"/>
        <w:rPr>
          <w:sz w:val="20"/>
          <w:szCs w:val="20"/>
          <w:color w:val="auto"/>
        </w:rPr>
      </w:pPr>
      <w:r>
        <w:rPr>
          <w:rFonts w:ascii="Times New Roman" w:cs="Times New Roman" w:eastAsia="Times New Roman" w:hAnsi="Times New Roman"/>
          <w:sz w:val="20"/>
          <w:szCs w:val="20"/>
          <w:color w:val="auto"/>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percentage rents, reimbursements from tenants for common area maintenance, insurance, real estate taxes, other operating expenses and, termination fee payments.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components of leasing revenue are as follows (in thousands):</w:t>
      </w:r>
    </w:p>
    <w:p>
      <w:pPr>
        <w:spacing w:after="0" w:line="165"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5680" w:type="dxa"/>
            <w:vAlign w:val="bottom"/>
          </w:tcPr>
          <w:p>
            <w:pPr>
              <w:spacing w:after="0"/>
              <w:rPr>
                <w:sz w:val="18"/>
                <w:szCs w:val="18"/>
                <w:color w:val="auto"/>
              </w:rPr>
            </w:pPr>
          </w:p>
        </w:tc>
        <w:tc>
          <w:tcPr>
            <w:tcW w:w="264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4"/>
        </w:trPr>
        <w:tc>
          <w:tcPr>
            <w:tcW w:w="568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0"/>
        </w:trPr>
        <w:tc>
          <w:tcPr>
            <w:tcW w:w="5680" w:type="dxa"/>
            <w:vAlign w:val="bottom"/>
          </w:tcPr>
          <w:p>
            <w:pPr>
              <w:jc w:val="right"/>
              <w:ind w:right="4140"/>
              <w:spacing w:after="0"/>
              <w:rPr>
                <w:sz w:val="20"/>
                <w:szCs w:val="20"/>
                <w:color w:val="auto"/>
              </w:rPr>
            </w:pPr>
            <w:r>
              <w:rPr>
                <w:rFonts w:ascii="Times New Roman" w:cs="Times New Roman" w:eastAsia="Times New Roman" w:hAnsi="Times New Roman"/>
                <w:sz w:val="20"/>
                <w:szCs w:val="20"/>
                <w:color w:val="auto"/>
              </w:rPr>
              <w:t>Leasing Revenue</w:t>
            </w:r>
          </w:p>
        </w:tc>
        <w:tc>
          <w:tcPr>
            <w:tcW w:w="7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r>
      <w:tr>
        <w:trPr>
          <w:trHeight w:val="259"/>
        </w:trPr>
        <w:tc>
          <w:tcPr>
            <w:tcW w:w="5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Lease Payments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$101,512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83,302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$74,721</w:t>
            </w:r>
          </w:p>
        </w:tc>
      </w:tr>
      <w:tr>
        <w:trPr>
          <w:trHeight w:val="249"/>
        </w:trPr>
        <w:tc>
          <w:tcPr>
            <w:tcW w:w="5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Variable Lease Payments . . . . . . . . . . . . . . . . . . . . . . . . .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30,644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27,289</w:t>
            </w:r>
          </w:p>
        </w:tc>
        <w:tc>
          <w:tcPr>
            <w:tcW w:w="24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21,942</w:t>
            </w:r>
          </w:p>
        </w:tc>
      </w:tr>
      <w:tr>
        <w:trPr>
          <w:trHeight w:val="249"/>
        </w:trPr>
        <w:tc>
          <w:tcPr>
            <w:tcW w:w="5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Leasing Revenue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132,156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110,591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96,663</w:t>
            </w:r>
          </w:p>
        </w:tc>
      </w:tr>
      <w:tr>
        <w:trPr>
          <w:trHeight w:val="20"/>
        </w:trPr>
        <w:tc>
          <w:tcPr>
            <w:tcW w:w="5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140" w:firstLine="399"/>
        <w:spacing w:after="0" w:line="265" w:lineRule="auto"/>
        <w:rPr>
          <w:sz w:val="20"/>
          <w:szCs w:val="20"/>
          <w:color w:val="auto"/>
        </w:rPr>
      </w:pPr>
      <w:r>
        <w:rPr>
          <w:rFonts w:ascii="Times New Roman" w:cs="Times New Roman" w:eastAsia="Times New Roman" w:hAnsi="Times New Roman"/>
          <w:sz w:val="20"/>
          <w:szCs w:val="20"/>
          <w:color w:val="auto"/>
        </w:rPr>
        <w:t>Minimum future base rental revenue on non-cancelable leases subsequent to December 31, 2025, for the next five years ended December 31 are summarized as follows (in thousands). Certain of our tenant leases include tenant renewal options which could be exercised at the tenant’s election and are not included in the amounts in the table below.</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6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$101,437</w:t>
            </w:r>
          </w:p>
        </w:tc>
      </w:tr>
      <w:tr>
        <w:trPr>
          <w:trHeight w:val="259"/>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89,996</w:t>
            </w:r>
          </w:p>
        </w:tc>
      </w:tr>
      <w:tr>
        <w:trPr>
          <w:trHeight w:val="259"/>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76,329</w:t>
            </w:r>
          </w:p>
        </w:tc>
      </w:tr>
      <w:tr>
        <w:trPr>
          <w:trHeight w:val="259"/>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62,000</w:t>
            </w:r>
          </w:p>
        </w:tc>
      </w:tr>
      <w:tr>
        <w:trPr>
          <w:trHeight w:val="259"/>
        </w:trPr>
        <w:tc>
          <w:tcPr>
            <w:tcW w:w="7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52,259</w:t>
            </w:r>
          </w:p>
        </w:tc>
      </w:tr>
      <w:tr>
        <w:trPr>
          <w:trHeight w:val="249"/>
        </w:trPr>
        <w:tc>
          <w:tcPr>
            <w:tcW w:w="7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2031 and Thereafter (Cumulative) . . . . . . . . . . . . . . . . . . . . . . . . . . . . . . . . . . . . .</w:t>
            </w:r>
          </w:p>
        </w:tc>
        <w:tc>
          <w:tcPr>
            <w:tcW w:w="24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143,923</w:t>
            </w:r>
          </w:p>
        </w:tc>
      </w:tr>
      <w:tr>
        <w:trPr>
          <w:trHeight w:val="249"/>
        </w:trPr>
        <w:tc>
          <w:tcPr>
            <w:tcW w:w="7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525,944</w:t>
            </w:r>
          </w:p>
        </w:tc>
      </w:tr>
      <w:tr>
        <w:trPr>
          <w:trHeight w:val="20"/>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20" w:right="60" w:firstLine="399"/>
        <w:spacing w:after="0" w:line="288" w:lineRule="auto"/>
        <w:rPr>
          <w:sz w:val="20"/>
          <w:szCs w:val="20"/>
          <w:color w:val="auto"/>
        </w:rPr>
      </w:pPr>
      <w:r>
        <w:rPr>
          <w:rFonts w:ascii="Times New Roman" w:cs="Times New Roman" w:eastAsia="Times New Roman" w:hAnsi="Times New Roman"/>
          <w:sz w:val="20"/>
          <w:szCs w:val="20"/>
          <w:i w:val="1"/>
          <w:iCs w:val="1"/>
          <w:color w:val="auto"/>
        </w:rPr>
        <w:t xml:space="preserve">2025 Acquisitions. </w:t>
      </w:r>
      <w:r>
        <w:rPr>
          <w:rFonts w:ascii="Times New Roman" w:cs="Times New Roman" w:eastAsia="Times New Roman" w:hAnsi="Times New Roman"/>
          <w:sz w:val="20"/>
          <w:szCs w:val="20"/>
          <w:color w:val="auto"/>
        </w:rPr>
        <w:t>During the year ended December 31, 2025, the Company two shopping centers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aggregate purchase price of $144.9 million or a total acquisition cost of $145.1 million, as follows:</w:t>
      </w:r>
    </w:p>
    <w:p>
      <w:pPr>
        <w:spacing w:after="0" w:line="55" w:lineRule="exact"/>
        <w:rPr>
          <w:sz w:val="20"/>
          <w:szCs w:val="20"/>
          <w:color w:val="auto"/>
        </w:rPr>
      </w:pPr>
    </w:p>
    <w:p>
      <w:pPr>
        <w:ind w:left="600" w:right="40" w:hanging="190"/>
        <w:spacing w:after="0" w:line="265" w:lineRule="auto"/>
        <w:tabs>
          <w:tab w:leader="none" w:pos="6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Ashley Park, a lifestyle center located in Newnan, GA, for a purchase price of $79.8 million, or a total acquisition cost of $80.0 million, including capitalized acquisition costs. Ashley Park comprises approximately 559,000 square feet, was 92% occupied at acquisition, and had a weighted average remaining lease term of 4.1 years at acquisition.</w:t>
      </w:r>
    </w:p>
    <w:p>
      <w:pPr>
        <w:spacing w:after="0" w:line="77" w:lineRule="exact"/>
        <w:rPr>
          <w:rFonts w:ascii="Times New Roman" w:cs="Times New Roman" w:eastAsia="Times New Roman" w:hAnsi="Times New Roman"/>
          <w:sz w:val="20"/>
          <w:szCs w:val="20"/>
          <w:color w:val="auto"/>
        </w:rPr>
      </w:pPr>
    </w:p>
    <w:p>
      <w:pPr>
        <w:ind w:left="600" w:right="40" w:hanging="190"/>
        <w:spacing w:after="0" w:line="264" w:lineRule="auto"/>
        <w:tabs>
          <w:tab w:leader="none" w:pos="6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Pompano Citi Centre, an open-air retail center located in Pompano Beach, FL, for a purchase price of $65.1 million, less certain purchase credits, for a total acquisition cost of $65.1 million, including capitalized acquisition costs. Pompano Citi Center comprises approximately 509,000 square feet, was 92% occupied at acquisition, and had a weighted average remaining lease term of 6.5 years at acquisition.</w:t>
      </w:r>
    </w:p>
    <w:p>
      <w:pPr>
        <w:spacing w:after="0" w:line="365" w:lineRule="exact"/>
        <w:rPr>
          <w:sz w:val="20"/>
          <w:szCs w:val="20"/>
          <w:color w:val="auto"/>
        </w:rPr>
      </w:pPr>
    </w:p>
    <w:p>
      <w:pPr>
        <w:ind w:left="20" w:firstLine="399"/>
        <w:spacing w:after="0" w:line="262" w:lineRule="auto"/>
        <w:rPr>
          <w:sz w:val="20"/>
          <w:szCs w:val="20"/>
          <w:color w:val="auto"/>
        </w:rPr>
      </w:pPr>
      <w:r>
        <w:rPr>
          <w:rFonts w:ascii="Times New Roman" w:cs="Times New Roman" w:eastAsia="Times New Roman" w:hAnsi="Times New Roman"/>
          <w:sz w:val="20"/>
          <w:szCs w:val="20"/>
          <w:color w:val="auto"/>
        </w:rPr>
        <w:t>Of the aggregate $145.1 million acquisition cost, $56.9 million was allocated to land, $73.3 million was allocated to buildings and improvements, $36.6 million was allocated to intangible assets pertaining to the in-place lease value, leasing costs, and above market lease value and $21.7 million was allocated to intangible liabilities for the below market lease value. The weighted average amortization period for the intangible assets and liabilities was 4.6 years at acquisition.</w:t>
      </w:r>
    </w:p>
    <w:p>
      <w:pPr>
        <w:spacing w:after="0" w:line="122" w:lineRule="exact"/>
        <w:rPr>
          <w:sz w:val="20"/>
          <w:szCs w:val="20"/>
          <w:color w:val="auto"/>
        </w:rPr>
      </w:pPr>
    </w:p>
    <w:p>
      <w:pPr>
        <w:ind w:left="20" w:firstLine="399"/>
        <w:spacing w:after="0" w:line="262" w:lineRule="auto"/>
        <w:rPr>
          <w:sz w:val="20"/>
          <w:szCs w:val="20"/>
          <w:color w:val="auto"/>
        </w:rPr>
      </w:pPr>
      <w:r>
        <w:rPr>
          <w:rFonts w:ascii="Times New Roman" w:cs="Times New Roman" w:eastAsia="Times New Roman" w:hAnsi="Times New Roman"/>
          <w:sz w:val="20"/>
          <w:szCs w:val="20"/>
          <w:i w:val="1"/>
          <w:iCs w:val="1"/>
          <w:color w:val="auto"/>
        </w:rPr>
        <w:t xml:space="preserve">2025 Dispositions. </w:t>
      </w:r>
      <w:r>
        <w:rPr>
          <w:rFonts w:ascii="Times New Roman" w:cs="Times New Roman" w:eastAsia="Times New Roman" w:hAnsi="Times New Roman"/>
          <w:sz w:val="20"/>
          <w:szCs w:val="20"/>
          <w:color w:val="auto"/>
        </w:rPr>
        <w:t>During the year ended December 31, 2025, the Company sold four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properties for an aggregate sales price of $85.1 million and aggregate gains of sales of $21.0 million. The sales consisted of (i) three single-tenant Main Street properties in Daytona Beach, Florida for $7.1 million, generating gains totaling $1.2 million, and (ii) one shopping center located in Plano, Texas for $78.0 million, resulting in a gain on sale of $19.8 million.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F-18</w:t>
      </w:r>
    </w:p>
    <w:p>
      <w:pPr>
        <w:sectPr>
          <w:pgSz w:w="11880" w:h="15480" w:orient="portrait"/>
          <w:cols w:equalWidth="0" w:num="1">
            <w:col w:w="9120"/>
          </w:cols>
          <w:pgMar w:left="1380" w:top="1023" w:right="1380" w:bottom="69" w:gutter="0" w:footer="0" w:header="0"/>
        </w:sectPr>
      </w:pPr>
    </w:p>
    <w:bookmarkStart w:id="94" w:name="page95"/>
    <w:bookmarkEnd w:id="94"/>
    <w:p>
      <w:pPr>
        <w:ind w:right="20" w:firstLine="399"/>
        <w:spacing w:after="0" w:line="264" w:lineRule="auto"/>
        <w:rPr>
          <w:sz w:val="20"/>
          <w:szCs w:val="20"/>
          <w:color w:val="auto"/>
        </w:rPr>
      </w:pPr>
      <w:r>
        <w:rPr>
          <w:rFonts w:ascii="Times New Roman" w:cs="Times New Roman" w:eastAsia="Times New Roman" w:hAnsi="Times New Roman"/>
          <w:sz w:val="20"/>
          <w:szCs w:val="20"/>
          <w:i w:val="1"/>
          <w:iCs w:val="1"/>
          <w:color w:val="auto"/>
        </w:rPr>
        <w:t xml:space="preserve">2024 Acquisitions. </w:t>
      </w:r>
      <w:r>
        <w:rPr>
          <w:rFonts w:ascii="Times New Roman" w:cs="Times New Roman" w:eastAsia="Times New Roman" w:hAnsi="Times New Roman"/>
          <w:sz w:val="20"/>
          <w:szCs w:val="20"/>
          <w:color w:val="auto"/>
        </w:rPr>
        <w:t>During the year ended December 31, 2024, the Company acquired five shopping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centers, one building within an existing shopping center owned by the Company, and one vacant land parcel within an existing shopping center owned by the Company, for an aggregate purchase price of $226.8 million, or a total acquisition cost of $224.4 million, as follows:</w:t>
      </w:r>
    </w:p>
    <w:p>
      <w:pPr>
        <w:spacing w:after="0" w:line="76" w:lineRule="exact"/>
        <w:rPr>
          <w:sz w:val="20"/>
          <w:szCs w:val="20"/>
          <w:color w:val="auto"/>
        </w:rPr>
      </w:pPr>
    </w:p>
    <w:p>
      <w:pPr>
        <w:ind w:left="580" w:hanging="191"/>
        <w:spacing w:after="0" w:line="263" w:lineRule="auto"/>
        <w:tabs>
          <w:tab w:leader="none" w:pos="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Granada Plaza, a shopping center located in Dunedin, Florida, for a purchase price of $16.8 million, less certain purchase credits, for a total acquisition cost of $16.7 million including capitalized acquisition costs. Granada Plaza is a 74,000 square-foot shopping center, was 95% occupied at acquisition, and had a weighted average remaining lease term of 4.2 years at acquisition.</w:t>
      </w:r>
    </w:p>
    <w:p>
      <w:pPr>
        <w:spacing w:after="0" w:line="77" w:lineRule="exact"/>
        <w:rPr>
          <w:rFonts w:ascii="Times New Roman" w:cs="Times New Roman" w:eastAsia="Times New Roman" w:hAnsi="Times New Roman"/>
          <w:sz w:val="20"/>
          <w:szCs w:val="20"/>
          <w:color w:val="auto"/>
        </w:rPr>
      </w:pPr>
    </w:p>
    <w:p>
      <w:pPr>
        <w:ind w:left="580" w:hanging="191"/>
        <w:spacing w:after="0" w:line="256" w:lineRule="auto"/>
        <w:tabs>
          <w:tab w:leader="none" w:pos="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portfolio of three open-air shopping centers (the “Three Property Portfolio”) for a gross purchase price of $137.5 million, less certain purchase credits, for a total acquisition cost of $135.1 million. The Three Property Portfolio consists of Carolina Pavilion in Charlotte, North Carolina; Millenia Crossing in Orlando, Florida; and Lake Brandon Village in Tampa, Florida. Carolina Pavilion comprises approximately 686,000 square feet, was 93% occupied at acquisition, and had a weighted average remaining lease term of 5.9 years at acquisition. Millenia Crossing comprises approximately 100,000 square feet, was 96% occupied at acquisition, and had a remaining lease term of 6.1 years at acquisition. Lake Brandon Village comprises approximately 102,000 square feet, was 100% occupied at acquisition, and had a remaining lease term of 7.4 years at acquisition.</w:t>
      </w:r>
    </w:p>
    <w:p>
      <w:pPr>
        <w:spacing w:after="0" w:line="85" w:lineRule="exact"/>
        <w:rPr>
          <w:rFonts w:ascii="Times New Roman" w:cs="Times New Roman" w:eastAsia="Times New Roman" w:hAnsi="Times New Roman"/>
          <w:sz w:val="20"/>
          <w:szCs w:val="20"/>
          <w:color w:val="auto"/>
        </w:rPr>
      </w:pPr>
    </w:p>
    <w:p>
      <w:pPr>
        <w:ind w:left="580" w:hanging="191"/>
        <w:spacing w:after="0" w:line="263" w:lineRule="auto"/>
        <w:tabs>
          <w:tab w:leader="none" w:pos="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Marketplace at Seminole Towne Center, a shopping center located in Sanford, Florida, for a purchase price of $68.7 million, or a total acquisition cost of $68.8 million including capitalized acquisition costs. The Marketplace at Seminole Towne Center comprises 315,066 square feet, was 98% occupied at acquisition, and had a weighted average remaining lease term of 4.7 years at acquisition.</w:t>
      </w:r>
    </w:p>
    <w:p>
      <w:pPr>
        <w:spacing w:after="0" w:line="77" w:lineRule="exact"/>
        <w:rPr>
          <w:rFonts w:ascii="Times New Roman" w:cs="Times New Roman" w:eastAsia="Times New Roman" w:hAnsi="Times New Roman"/>
          <w:sz w:val="20"/>
          <w:szCs w:val="20"/>
          <w:color w:val="auto"/>
        </w:rPr>
      </w:pPr>
    </w:p>
    <w:p>
      <w:pPr>
        <w:ind w:left="580" w:hanging="191"/>
        <w:spacing w:after="0" w:line="258" w:lineRule="auto"/>
        <w:tabs>
          <w:tab w:leader="none" w:pos="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property, totaling 4,000 square feet, within the 28,100 square foot retail portion of Phase II of The Exchange at Gwinnett located in Buford, Georgia for an aggregate purchase price of $2.3 million including capitalized acquisition costs. The weighted average remaining lease term at acquisition is 10.0 years. As a result of this acquisition, the Company has acquired the entire retail portion of Phase II of the Exchange at Gwinnett. The Company previously purchased the Sprouts-anchored Phase I portion of The Exchange at Gwinnett in December 2021.</w:t>
      </w:r>
    </w:p>
    <w:p>
      <w:pPr>
        <w:spacing w:after="0" w:line="85" w:lineRule="exact"/>
        <w:rPr>
          <w:rFonts w:ascii="Times New Roman" w:cs="Times New Roman" w:eastAsia="Times New Roman" w:hAnsi="Times New Roman"/>
          <w:sz w:val="20"/>
          <w:szCs w:val="20"/>
          <w:color w:val="auto"/>
        </w:rPr>
      </w:pPr>
    </w:p>
    <w:p>
      <w:pPr>
        <w:ind w:left="580" w:right="300" w:hanging="191"/>
        <w:spacing w:after="0" w:line="269" w:lineRule="auto"/>
        <w:tabs>
          <w:tab w:leader="none" w:pos="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vacant land parcel, for future development, within the previously acquired West Broad Village property, located in the Short Pump submarket of Richmond, Virginia, for a purchase price of $1.5 million including capitalized acquisition costs.</w:t>
      </w:r>
    </w:p>
    <w:p>
      <w:pPr>
        <w:spacing w:after="0" w:line="111"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20"/>
          <w:szCs w:val="20"/>
          <w:color w:val="auto"/>
        </w:rPr>
        <w:t>Of the aggregate $224.4 million total acquisition cost, $46.5 million was allocated to land, $156.7 million was allocated to buildings and improvements, and $32.4 million was allocated to intangible assets pertaining to the in-place lease value, leasing costs, and above market lease value and $11.2 million was allocated to intangible liabilities for the below market lease value. The weighted average amortization period for the intangible assets and liabilities was 5.7 years at acquisition.</w:t>
      </w:r>
    </w:p>
    <w:p>
      <w:pPr>
        <w:spacing w:after="0" w:line="121" w:lineRule="exact"/>
        <w:rPr>
          <w:sz w:val="20"/>
          <w:szCs w:val="20"/>
          <w:color w:val="auto"/>
        </w:rPr>
      </w:pPr>
    </w:p>
    <w:p>
      <w:pPr>
        <w:ind w:right="100" w:firstLine="399"/>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2024 Dispositions. </w:t>
      </w:r>
      <w:r>
        <w:rPr>
          <w:rFonts w:ascii="Times New Roman" w:cs="Times New Roman" w:eastAsia="Times New Roman" w:hAnsi="Times New Roman"/>
          <w:sz w:val="20"/>
          <w:szCs w:val="20"/>
          <w:color w:val="auto"/>
        </w:rPr>
        <w:t>During the year ended December 31, 2024, the Company sold two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properties for an aggregate sales price of $38.0 million and aggregate gains on sales of $3.8 million. The sales consisted of (i) one mixed use income property in downtown Santa Fe, New Mexico for $20.0 million, resulting in a gain of $4.6 million, and (ii) one shopping center located in West Jordan, Utah for $18.0 million resulting in a loss on sale of $0.8 million.</w:t>
      </w:r>
    </w:p>
    <w:p>
      <w:pPr>
        <w:spacing w:after="0" w:line="121" w:lineRule="exact"/>
        <w:rPr>
          <w:sz w:val="20"/>
          <w:szCs w:val="20"/>
          <w:color w:val="auto"/>
        </w:rPr>
      </w:pPr>
    </w:p>
    <w:p>
      <w:pPr>
        <w:ind w:firstLine="399"/>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2023 Acquisitions. </w:t>
      </w:r>
      <w:r>
        <w:rPr>
          <w:rFonts w:ascii="Times New Roman" w:cs="Times New Roman" w:eastAsia="Times New Roman" w:hAnsi="Times New Roman"/>
          <w:sz w:val="20"/>
          <w:szCs w:val="20"/>
          <w:color w:val="auto"/>
        </w:rPr>
        <w:t>During the year ended December 31, 2023, the Company acquired four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buildings within an existing shopping center owned by the Company, one shopping center, and one vacant land parcel adjacent to an existing shopping center owned by the Company for an aggregate purchase price of $80.0 million, or a total acquisition cost of $80.3 million, as follows:</w:t>
      </w:r>
    </w:p>
    <w:p>
      <w:pPr>
        <w:spacing w:after="0" w:line="78" w:lineRule="exact"/>
        <w:rPr>
          <w:sz w:val="20"/>
          <w:szCs w:val="20"/>
          <w:color w:val="auto"/>
        </w:rPr>
      </w:pPr>
    </w:p>
    <w:p>
      <w:pPr>
        <w:ind w:left="580" w:right="100" w:hanging="191"/>
        <w:spacing w:after="0" w:line="251" w:lineRule="auto"/>
        <w:tabs>
          <w:tab w:leader="none" w:pos="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 properties, totaling 24,100 square feet, within the 28,100 square foot retail portion of Phase II of The Exchange at Gwinnett located in Buford, Georgia, for an aggregate purchase price of $14.6 million, or a total acquisition cost of $14.7 million including capitalized acquisition costs. The four properties are leased to six different tenants with a weighted average remaining lease term of</w:t>
      </w:r>
    </w:p>
    <w:p>
      <w:pPr>
        <w:spacing w:after="0" w:line="3" w:lineRule="exact"/>
        <w:rPr>
          <w:rFonts w:ascii="Times New Roman" w:cs="Times New Roman" w:eastAsia="Times New Roman" w:hAnsi="Times New Roman"/>
          <w:sz w:val="20"/>
          <w:szCs w:val="20"/>
          <w:color w:val="auto"/>
        </w:rPr>
      </w:pPr>
    </w:p>
    <w:p>
      <w:pPr>
        <w:ind w:left="580" w:right="40"/>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9.9 years at acquisition. The Company is under contract to acquire the remaining 4,000 square-foot property that makes up the remaining retail portion of Phase II of The Exchange at Gwinnett for a</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F-19</w:t>
      </w:r>
    </w:p>
    <w:p>
      <w:pPr>
        <w:sectPr>
          <w:pgSz w:w="11880" w:h="15480" w:orient="portrait"/>
          <w:cols w:equalWidth="0" w:num="1">
            <w:col w:w="9100"/>
          </w:cols>
          <w:pgMar w:left="1400" w:top="1025" w:right="1380" w:bottom="69" w:gutter="0" w:footer="0" w:header="0"/>
        </w:sectPr>
      </w:pPr>
    </w:p>
    <w:bookmarkStart w:id="95" w:name="page96"/>
    <w:bookmarkEnd w:id="95"/>
    <w:p>
      <w:pPr>
        <w:ind w:left="580" w:right="300"/>
        <w:spacing w:after="0" w:line="279" w:lineRule="auto"/>
        <w:rPr>
          <w:sz w:val="20"/>
          <w:szCs w:val="20"/>
          <w:color w:val="auto"/>
        </w:rPr>
      </w:pPr>
      <w:r>
        <w:rPr>
          <w:rFonts w:ascii="Times New Roman" w:cs="Times New Roman" w:eastAsia="Times New Roman" w:hAnsi="Times New Roman"/>
          <w:sz w:val="20"/>
          <w:szCs w:val="20"/>
          <w:color w:val="auto"/>
        </w:rPr>
        <w:t>purchase price of $2.3 million. The Company previously purchased the Sprouts-anchored Phase I portion of The Exchange at Gwinnett in December 2021.</w:t>
      </w:r>
    </w:p>
    <w:p>
      <w:pPr>
        <w:spacing w:after="0" w:line="56" w:lineRule="exact"/>
        <w:rPr>
          <w:sz w:val="20"/>
          <w:szCs w:val="20"/>
          <w:color w:val="auto"/>
        </w:rPr>
      </w:pPr>
    </w:p>
    <w:p>
      <w:pPr>
        <w:ind w:left="580" w:hanging="191"/>
        <w:spacing w:after="0"/>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Plaza at Rockwall, a shopping center located in Rockwall, Texas for a purchase price of</w:t>
      </w:r>
    </w:p>
    <w:p>
      <w:pPr>
        <w:spacing w:after="0" w:line="5" w:lineRule="exact"/>
        <w:rPr>
          <w:rFonts w:ascii="Times New Roman" w:cs="Times New Roman" w:eastAsia="Times New Roman" w:hAnsi="Times New Roman"/>
          <w:sz w:val="20"/>
          <w:szCs w:val="20"/>
          <w:color w:val="auto"/>
        </w:rPr>
      </w:pPr>
    </w:p>
    <w:p>
      <w:pPr>
        <w:ind w:left="580" w:right="100"/>
        <w:spacing w:after="0" w:line="26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$61.2 million, or a total acquisition cost of $61.3 million including capitalized acquisition costs. The Plaza at Rockwall comprises approximately 446,500 square feet, was 95% occupied at acquisition, and had a weighted average remaining lease term of 4.2 years at acquisition.</w:t>
      </w:r>
    </w:p>
    <w:p>
      <w:pPr>
        <w:spacing w:after="0" w:line="73" w:lineRule="exact"/>
        <w:rPr>
          <w:rFonts w:ascii="Times New Roman" w:cs="Times New Roman" w:eastAsia="Times New Roman" w:hAnsi="Times New Roman"/>
          <w:sz w:val="20"/>
          <w:szCs w:val="20"/>
          <w:color w:val="auto"/>
        </w:rPr>
      </w:pPr>
    </w:p>
    <w:p>
      <w:pPr>
        <w:ind w:left="580" w:right="220" w:hanging="191"/>
        <w:spacing w:after="0" w:line="279" w:lineRule="auto"/>
        <w:tabs>
          <w:tab w:leader="none" w:pos="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vacant land parcel adjacent to the previously acquired Collection at Forsyth property, located in the Forsyth County submarket of Atlanta, Georgia, for a purchase price of $4.3 million.</w:t>
      </w:r>
    </w:p>
    <w:p>
      <w:pPr>
        <w:spacing w:after="0" w:line="96" w:lineRule="exact"/>
        <w:rPr>
          <w:sz w:val="20"/>
          <w:szCs w:val="20"/>
          <w:color w:val="auto"/>
        </w:rPr>
      </w:pPr>
    </w:p>
    <w:p>
      <w:pPr>
        <w:ind w:right="20" w:firstLine="399"/>
        <w:spacing w:after="0" w:line="254" w:lineRule="auto"/>
        <w:rPr>
          <w:sz w:val="20"/>
          <w:szCs w:val="20"/>
          <w:color w:val="auto"/>
        </w:rPr>
      </w:pPr>
      <w:r>
        <w:rPr>
          <w:rFonts w:ascii="Times New Roman" w:cs="Times New Roman" w:eastAsia="Times New Roman" w:hAnsi="Times New Roman"/>
          <w:sz w:val="20"/>
          <w:szCs w:val="20"/>
          <w:color w:val="auto"/>
        </w:rPr>
        <w:t>Of the aggregate $80.3 million acquisition cost, $21.2 million was allocated to land, $53.6 million was allocated to buildings and improvements, and $8.7 million was allocated to intangible assets pertaining to the in-place lease value, leasing costs, and above market lease value and $3.2 million was allocated to intangible liabilities for the below market lease value. The amortization period for the intangible assets and liabilities was 5.6 years at acquisition.</w:t>
      </w:r>
    </w:p>
    <w:p>
      <w:pPr>
        <w:spacing w:after="0" w:line="120"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2023 Dispositions. </w:t>
      </w:r>
      <w:r>
        <w:rPr>
          <w:rFonts w:ascii="Times New Roman" w:cs="Times New Roman" w:eastAsia="Times New Roman" w:hAnsi="Times New Roman"/>
          <w:sz w:val="20"/>
          <w:szCs w:val="20"/>
          <w:color w:val="auto"/>
        </w:rPr>
        <w:t>During the year ended December 31, 2023, the Company sold nine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properties, including (i) an outparcel of the property known as Eastern Commons, located in Henderson, Nevada, for $2.1 million, (ii) four outparcels of the property known as Crossroads Towne Center, located in Chandler, Arizona, for an aggregate sales price of $11.5 million, (iii) a single tenant office property located in Reston, Virginia leased to a subsidiary of General Dynamics for $18.5 million, (iv) a shopping center known as Westcliff, located in Fort Worth, Texas, for $14.8 million, (v) a shopping center known as Eastern Commons, located in Henderson, Nevada, for $18.2 million, (vi) a single tenant office property known as Sabal Pavilion located in Tampa, Florida for $22.0 million. The sale of these nine properties reflect a total disposition volume of $87.1 million and resulted in aggregate gains on sales of $6.6 million, which consisted of aggregate gains on disposition of $8.2 million, aggregate losses on disposition of $0.7 million, and an impairment charge prior to sale of $0.9 million.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COMMERCIAL LOANS AND INVESTMENTS</w:t>
      </w:r>
    </w:p>
    <w:p>
      <w:pPr>
        <w:spacing w:after="0" w:line="171"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364"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2025 Activity. </w:t>
      </w:r>
      <w:r>
        <w:rPr>
          <w:rFonts w:ascii="Times New Roman" w:cs="Times New Roman" w:eastAsia="Times New Roman" w:hAnsi="Times New Roman"/>
          <w:sz w:val="20"/>
          <w:szCs w:val="20"/>
          <w:color w:val="auto"/>
        </w:rPr>
        <w:t>During the year ended December 31, 2025, the Company originated $21.0 million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commercial loans and investments, including an amendment and $16.0 million upsize of an existing loan, of which none was funded, and a $5.0 million mortgage note, for a weighted average interest rate of 10.7% (including paid-in-kind interest). The Company earned $0.3 million of origination fees from these investments, or 1.3%. During the same period, the Company funded $9.3 million under existing construction loan commitments, net of origination fees received, and received principal repayments totaling $15.2 million.</w:t>
      </w:r>
    </w:p>
    <w:p>
      <w:pPr>
        <w:spacing w:after="0" w:line="124" w:lineRule="exact"/>
        <w:rPr>
          <w:sz w:val="20"/>
          <w:szCs w:val="20"/>
          <w:color w:val="auto"/>
        </w:rPr>
      </w:pPr>
    </w:p>
    <w:p>
      <w:pPr>
        <w:ind w:left="380"/>
        <w:spacing w:after="0"/>
        <w:tabs>
          <w:tab w:leader="none" w:pos="1720" w:val="left"/>
        </w:tabs>
        <w:rPr>
          <w:sz w:val="20"/>
          <w:szCs w:val="20"/>
          <w:color w:val="auto"/>
        </w:rPr>
      </w:pPr>
      <w:r>
        <w:rPr>
          <w:rFonts w:ascii="Times New Roman" w:cs="Times New Roman" w:eastAsia="Times New Roman" w:hAnsi="Times New Roman"/>
          <w:sz w:val="20"/>
          <w:szCs w:val="20"/>
          <w:i w:val="1"/>
          <w:iCs w:val="1"/>
          <w:color w:val="auto"/>
        </w:rPr>
        <w:t>2024 Activity.</w:t>
      </w:r>
      <w:r>
        <w:rPr>
          <w:sz w:val="20"/>
          <w:szCs w:val="20"/>
          <w:color w:val="auto"/>
        </w:rPr>
        <w:tab/>
      </w:r>
      <w:r>
        <w:rPr>
          <w:rFonts w:ascii="Times New Roman" w:cs="Times New Roman" w:eastAsia="Times New Roman" w:hAnsi="Times New Roman"/>
          <w:sz w:val="20"/>
          <w:szCs w:val="20"/>
          <w:color w:val="auto"/>
        </w:rPr>
        <w:t>During the year ended December 31, 2024, the Company originated four commercial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investments totaling $104.0 million at a weighted average initial cash yield of 11.7%, of which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$63.9 million had been funded as of December 31, 2024. One of these investments, totaling $10.0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 structured as preferred equity and is further described below. During the year ended December 31,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received principal repayments totaling $20.3 million.</w:t>
      </w:r>
    </w:p>
    <w:p>
      <w:pPr>
        <w:spacing w:after="0" w:line="167" w:lineRule="exact"/>
        <w:rPr>
          <w:sz w:val="20"/>
          <w:szCs w:val="20"/>
          <w:color w:val="auto"/>
        </w:rPr>
      </w:pPr>
    </w:p>
    <w:p>
      <w:pPr>
        <w:ind w:right="100" w:firstLine="399"/>
        <w:spacing w:after="0" w:line="282" w:lineRule="auto"/>
        <w:rPr>
          <w:sz w:val="20"/>
          <w:szCs w:val="20"/>
          <w:color w:val="auto"/>
        </w:rPr>
      </w:pPr>
      <w:r>
        <w:rPr>
          <w:rFonts w:ascii="Times New Roman" w:cs="Times New Roman" w:eastAsia="Times New Roman" w:hAnsi="Times New Roman"/>
          <w:sz w:val="20"/>
          <w:szCs w:val="20"/>
          <w:i w:val="1"/>
          <w:iCs w:val="1"/>
          <w:color w:val="auto"/>
        </w:rPr>
        <w:t>2023 Activity</w:t>
      </w:r>
      <w:r>
        <w:rPr>
          <w:rFonts w:ascii="Times New Roman" w:cs="Times New Roman" w:eastAsia="Times New Roman" w:hAnsi="Times New Roman"/>
          <w:sz w:val="20"/>
          <w:szCs w:val="20"/>
          <w:color w:val="auto"/>
        </w:rPr>
        <w:t>. During the year ended December 31, 2023, the Company originated two loans for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total investment of $30.4 million and received cash repayments of principal totaling $1.0 million. Including</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F-20</w:t>
      </w:r>
    </w:p>
    <w:p>
      <w:pPr>
        <w:sectPr>
          <w:pgSz w:w="11880" w:h="15480" w:orient="portrait"/>
          <w:cols w:equalWidth="0" w:num="1">
            <w:col w:w="9100"/>
          </w:cols>
          <w:pgMar w:left="1400" w:top="1025" w:right="1380" w:bottom="71" w:gutter="0" w:footer="0" w:header="0"/>
        </w:sectPr>
      </w:pPr>
    </w:p>
    <w:bookmarkStart w:id="96" w:name="page97"/>
    <w:bookmarkEnd w:id="96"/>
    <w:p>
      <w:pPr>
        <w:ind w:left="10" w:right="580"/>
        <w:spacing w:after="0" w:line="277" w:lineRule="auto"/>
        <w:rPr>
          <w:sz w:val="20"/>
          <w:szCs w:val="20"/>
          <w:color w:val="auto"/>
        </w:rPr>
      </w:pPr>
      <w:r>
        <w:rPr>
          <w:rFonts w:ascii="Times New Roman" w:cs="Times New Roman" w:eastAsia="Times New Roman" w:hAnsi="Times New Roman"/>
          <w:sz w:val="20"/>
          <w:szCs w:val="20"/>
          <w:color w:val="auto"/>
        </w:rPr>
        <w:t>the two originations and fundings on our construction loans, $32.9 million was funded during the year ended December 31, 2023.</w:t>
      </w:r>
    </w:p>
    <w:p>
      <w:pPr>
        <w:spacing w:after="0" w:line="96" w:lineRule="exact"/>
        <w:rPr>
          <w:sz w:val="20"/>
          <w:szCs w:val="20"/>
          <w:color w:val="auto"/>
        </w:rPr>
      </w:pPr>
    </w:p>
    <w:p>
      <w:pPr>
        <w:ind w:left="10" w:right="600" w:firstLine="399"/>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Other Activity. </w:t>
      </w:r>
      <w:r>
        <w:rPr>
          <w:rFonts w:ascii="Times New Roman" w:cs="Times New Roman" w:eastAsia="Times New Roman" w:hAnsi="Times New Roman"/>
          <w:sz w:val="20"/>
          <w:szCs w:val="20"/>
          <w:color w:val="auto"/>
        </w:rPr>
        <w:t>Certain commercial loans and investments outstanding as of December 31,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required determinations, at origination, related to variable interest entity matters as described herein:</w:t>
      </w:r>
    </w:p>
    <w:p>
      <w:pPr>
        <w:spacing w:after="0" w:line="56" w:lineRule="exact"/>
        <w:rPr>
          <w:sz w:val="20"/>
          <w:szCs w:val="20"/>
          <w:color w:val="auto"/>
        </w:rPr>
      </w:pPr>
    </w:p>
    <w:p>
      <w:pPr>
        <w:ind w:left="590" w:right="160" w:hanging="191"/>
        <w:spacing w:after="0" w:line="247" w:lineRule="auto"/>
        <w:tabs>
          <w:tab w:leader="none" w:pos="59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Series A Preferred Investment. </w:t>
      </w:r>
      <w:r>
        <w:rPr>
          <w:rFonts w:ascii="Times New Roman" w:cs="Times New Roman" w:eastAsia="Times New Roman" w:hAnsi="Times New Roman"/>
          <w:sz w:val="20"/>
          <w:szCs w:val="20"/>
          <w:color w:val="auto"/>
        </w:rPr>
        <w:t>On July 11, 2024, the Company funded $10.0 million into an escrow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account, which escrow closed on August 1, 2024 in exchange for 10,000 shares of 14.000% Series A preferred stock, with a $0.01 par value per share, of a subsidiary of a publicly-traded hospitality, entertainment and real-estate company (the “Series A Preferred Investment”). In connection with the investment, the Company received an origination fee of 1.0% or $0.1 million. The investment is not redeemable prior to July 11, 2029, except upon the occurrence of certain specified events. The Company determined, pursuant to FASB ASC Topic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that we do not have a variable interest in the entity underlying the Series A Preferred Investment; accordingly, FASB Topic ASC 320, </w:t>
      </w:r>
      <w:r>
        <w:rPr>
          <w:rFonts w:ascii="Times New Roman" w:cs="Times New Roman" w:eastAsia="Times New Roman" w:hAnsi="Times New Roman"/>
          <w:sz w:val="20"/>
          <w:szCs w:val="20"/>
          <w:i w:val="1"/>
          <w:iCs w:val="1"/>
          <w:color w:val="auto"/>
        </w:rPr>
        <w:t>Investments-Debt Securities</w:t>
      </w:r>
      <w:r>
        <w:rPr>
          <w:rFonts w:ascii="Times New Roman" w:cs="Times New Roman" w:eastAsia="Times New Roman" w:hAnsi="Times New Roman"/>
          <w:sz w:val="20"/>
          <w:szCs w:val="20"/>
          <w:color w:val="auto"/>
        </w:rPr>
        <w:t>, was applied and the investment was recorded in the consolidated balance sheets as a commercial loan investment at the time of acquisition.</w:t>
      </w:r>
    </w:p>
    <w:p>
      <w:pPr>
        <w:spacing w:after="0" w:line="87" w:lineRule="exact"/>
        <w:rPr>
          <w:rFonts w:ascii="Times New Roman" w:cs="Times New Roman" w:eastAsia="Times New Roman" w:hAnsi="Times New Roman"/>
          <w:sz w:val="20"/>
          <w:szCs w:val="20"/>
          <w:color w:val="auto"/>
        </w:rPr>
      </w:pPr>
    </w:p>
    <w:p>
      <w:pPr>
        <w:ind w:left="590" w:right="100" w:hanging="191"/>
        <w:spacing w:after="0" w:line="247" w:lineRule="auto"/>
        <w:tabs>
          <w:tab w:leader="none" w:pos="59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Watters Creek Investment. </w:t>
      </w:r>
      <w:r>
        <w:rPr>
          <w:rFonts w:ascii="Times New Roman" w:cs="Times New Roman" w:eastAsia="Times New Roman" w:hAnsi="Times New Roman"/>
          <w:sz w:val="20"/>
          <w:szCs w:val="20"/>
          <w:color w:val="auto"/>
        </w:rPr>
        <w:t>On April 7, 2022, the Company entered into a preferred equity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provide $30.0 million of funding towards the total investment in Watters Creek at Montgomery Farm, a grocery-anchored, mixed-use property located in Allen, Texas (the “Watters Creek Investment”). Pursuant to FASB ASC Topic 810, Consolidation, the Company determined it is not the primary beneficiary of the entity underlying the Watters Creek Investment; accordingly, the $30.0 million was recorded on the consolidated balance sheets as a commercial loan investment at the time of acquisition. The initial maturity date for the Watters Creek Investment was April 6, 2025; however, during the year ended December 31, 2025, the borrower exercised the first of two one-year extension options thereby extending the maturity date to April 6, 2026. The Watters Creek Investment bears a fixed interest rate of 8.50% at time of acquisition with increases during the initial term as well as the option terms, and requires payments of interest only prior to maturity. At closing, an origination fee of $0.15 million was received by the Company.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w:t>
      </w:r>
    </w:p>
    <w:p>
      <w:pPr>
        <w:spacing w:after="0" w:line="371" w:lineRule="exact"/>
        <w:rPr>
          <w:sz w:val="20"/>
          <w:szCs w:val="20"/>
          <w:color w:val="auto"/>
        </w:rPr>
      </w:pPr>
    </w:p>
    <w:p>
      <w:pPr>
        <w:ind w:left="10" w:right="360" w:firstLine="399"/>
        <w:spacing w:after="0" w:line="279" w:lineRule="auto"/>
        <w:rPr>
          <w:sz w:val="20"/>
          <w:szCs w:val="20"/>
          <w:color w:val="auto"/>
        </w:rPr>
      </w:pPr>
      <w:r>
        <w:rPr>
          <w:rFonts w:ascii="Times New Roman" w:cs="Times New Roman" w:eastAsia="Times New Roman" w:hAnsi="Times New Roman"/>
          <w:sz w:val="20"/>
          <w:szCs w:val="20"/>
          <w:color w:val="auto"/>
        </w:rPr>
        <w:t>The Company’s commercial loans and investments were comprised of the following at December 31, 2025 (in thousands):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00" w:type="dxa"/>
            <w:vAlign w:val="bottom"/>
          </w:tcPr>
          <w:p>
            <w:pPr>
              <w:spacing w:after="0"/>
              <w:rPr>
                <w:sz w:val="16"/>
                <w:szCs w:val="16"/>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2"/>
              </w:rPr>
              <w:t>Current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Date of</w:t>
            </w:r>
          </w:p>
        </w:tc>
        <w:tc>
          <w:tcPr>
            <w:tcW w:w="144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Maturity</w:t>
            </w:r>
          </w:p>
        </w:tc>
        <w:tc>
          <w:tcPr>
            <w:tcW w:w="80" w:type="dxa"/>
            <w:vAlign w:val="bottom"/>
          </w:tcPr>
          <w:p>
            <w:pPr>
              <w:spacing w:after="0"/>
              <w:rPr>
                <w:sz w:val="15"/>
                <w:szCs w:val="15"/>
                <w:color w:val="auto"/>
              </w:rPr>
            </w:pPr>
          </w:p>
        </w:tc>
        <w:tc>
          <w:tcPr>
            <w:tcW w:w="7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3"/>
              </w:rPr>
              <w:t>Face</w:t>
            </w:r>
          </w:p>
        </w:tc>
        <w:tc>
          <w:tcPr>
            <w:tcW w:w="100" w:type="dxa"/>
            <w:vAlign w:val="bottom"/>
          </w:tcPr>
          <w:p>
            <w:pPr>
              <w:spacing w:after="0"/>
              <w:rPr>
                <w:sz w:val="15"/>
                <w:szCs w:val="15"/>
                <w:color w:val="auto"/>
              </w:rPr>
            </w:pPr>
          </w:p>
        </w:tc>
        <w:tc>
          <w:tcPr>
            <w:tcW w:w="780" w:type="dxa"/>
            <w:vAlign w:val="bottom"/>
            <w:gridSpan w:val="3"/>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3"/>
              </w:rPr>
              <w:t>Face</w:t>
            </w:r>
          </w:p>
        </w:tc>
        <w:tc>
          <w:tcPr>
            <w:tcW w:w="880" w:type="dxa"/>
            <w:vAlign w:val="bottom"/>
            <w:gridSpan w:val="3"/>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6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Coupon</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Investment</w:t>
            </w: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60" w:type="dxa"/>
            <w:vAlign w:val="bottom"/>
          </w:tcPr>
          <w:p>
            <w:pPr>
              <w:spacing w:after="0"/>
              <w:rPr>
                <w:sz w:val="17"/>
                <w:szCs w:val="17"/>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60" w:type="dxa"/>
            <w:vAlign w:val="bottom"/>
          </w:tcPr>
          <w:p>
            <w:pPr>
              <w:spacing w:after="0"/>
              <w:rPr>
                <w:sz w:val="17"/>
                <w:szCs w:val="17"/>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Preferred Investment – Watters</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Creek – Allen, TX . . . . . . . . . .</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April 2022</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April 2026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30,000</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30,000</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29,980</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9.50%</w:t>
            </w:r>
          </w:p>
        </w:tc>
        <w:tc>
          <w:tcPr>
            <w:tcW w:w="0" w:type="dxa"/>
            <w:vAlign w:val="bottom"/>
          </w:tcPr>
          <w:p>
            <w:pPr>
              <w:spacing w:after="0"/>
              <w:rPr>
                <w:sz w:val="1"/>
                <w:szCs w:val="1"/>
                <w:color w:val="auto"/>
              </w:rPr>
            </w:pPr>
          </w:p>
        </w:tc>
      </w:tr>
      <w:tr>
        <w:trPr>
          <w:trHeight w:val="226"/>
        </w:trPr>
        <w:tc>
          <w:tcPr>
            <w:tcW w:w="3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Mortgage Note – Founders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080" w:type="dxa"/>
            <w:vAlign w:val="bottom"/>
            <w:gridSpan w:val="2"/>
          </w:tcPr>
          <w:p>
            <w:pPr>
              <w:ind w:left="180"/>
              <w:spacing w:after="0" w:line="253" w:lineRule="exact"/>
              <w:rPr>
                <w:sz w:val="20"/>
                <w:szCs w:val="20"/>
                <w:color w:val="auto"/>
              </w:rPr>
            </w:pPr>
            <w:r>
              <w:rPr>
                <w:rFonts w:ascii="Times New Roman" w:cs="Times New Roman" w:eastAsia="Times New Roman" w:hAnsi="Times New Roman"/>
                <w:sz w:val="19"/>
                <w:szCs w:val="19"/>
                <w:color w:val="auto"/>
              </w:rPr>
              <w:t>Square – Dallas, TX</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9"/>
                <w:szCs w:val="19"/>
                <w:color w:val="auto"/>
              </w:rPr>
              <w:t xml:space="preserve">   . . . . . . .</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March 2023</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March 2027</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15,000</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14,992</w:t>
            </w:r>
          </w:p>
        </w:tc>
        <w:tc>
          <w:tcPr>
            <w:tcW w:w="1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8.75%</w:t>
            </w:r>
          </w:p>
        </w:tc>
        <w:tc>
          <w:tcPr>
            <w:tcW w:w="0" w:type="dxa"/>
            <w:vAlign w:val="bottom"/>
          </w:tcPr>
          <w:p>
            <w:pPr>
              <w:spacing w:after="0"/>
              <w:rPr>
                <w:sz w:val="1"/>
                <w:szCs w:val="1"/>
                <w:color w:val="auto"/>
              </w:rPr>
            </w:pPr>
          </w:p>
        </w:tc>
      </w:tr>
      <w:tr>
        <w:trPr>
          <w:trHeight w:val="239"/>
        </w:trPr>
        <w:tc>
          <w:tcPr>
            <w:tcW w:w="3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Series A Preferred Investment . . . .</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w w:val="99"/>
              </w:rPr>
              <w:t>July 2024</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w w:val="99"/>
              </w:rPr>
              <w:t>July 2029</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10,000</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9,929</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14.00%</w:t>
            </w:r>
          </w:p>
        </w:tc>
        <w:tc>
          <w:tcPr>
            <w:tcW w:w="0" w:type="dxa"/>
            <w:vAlign w:val="bottom"/>
          </w:tcPr>
          <w:p>
            <w:pPr>
              <w:spacing w:after="0"/>
              <w:rPr>
                <w:sz w:val="1"/>
                <w:szCs w:val="1"/>
                <w:color w:val="auto"/>
              </w:rPr>
            </w:pPr>
          </w:p>
        </w:tc>
      </w:tr>
      <w:tr>
        <w:trPr>
          <w:trHeight w:val="226"/>
        </w:trPr>
        <w:tc>
          <w:tcPr>
            <w:tcW w:w="3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Construction Loan –</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080" w:type="dxa"/>
            <w:vAlign w:val="bottom"/>
            <w:gridSpan w:val="2"/>
          </w:tcPr>
          <w:p>
            <w:pPr>
              <w:ind w:left="180"/>
              <w:spacing w:after="0" w:line="253" w:lineRule="exact"/>
              <w:rPr>
                <w:sz w:val="20"/>
                <w:szCs w:val="20"/>
                <w:color w:val="auto"/>
              </w:rPr>
            </w:pPr>
            <w:r>
              <w:rPr>
                <w:rFonts w:ascii="Times New Roman" w:cs="Times New Roman" w:eastAsia="Times New Roman" w:hAnsi="Times New Roman"/>
                <w:sz w:val="19"/>
                <w:szCs w:val="19"/>
                <w:color w:val="auto"/>
              </w:rPr>
              <w:t>Rivana – Herndon, VA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9"/>
                <w:szCs w:val="19"/>
                <w:color w:val="auto"/>
              </w:rPr>
              <w:t xml:space="preserve"> . . . . . .</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rPr>
              <w:t>September 2024</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rPr>
              <w:t>September 2028</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59,450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34,246</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32,478</w:t>
            </w:r>
          </w:p>
        </w:tc>
        <w:tc>
          <w:tcPr>
            <w:tcW w:w="1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11.50%</w:t>
            </w:r>
          </w:p>
        </w:tc>
        <w:tc>
          <w:tcPr>
            <w:tcW w:w="0" w:type="dxa"/>
            <w:vAlign w:val="bottom"/>
          </w:tcPr>
          <w:p>
            <w:pPr>
              <w:spacing w:after="0"/>
              <w:rPr>
                <w:sz w:val="1"/>
                <w:szCs w:val="1"/>
                <w:color w:val="auto"/>
              </w:rPr>
            </w:pPr>
          </w:p>
        </w:tc>
      </w:tr>
      <w:tr>
        <w:trPr>
          <w:trHeight w:val="239"/>
        </w:trPr>
        <w:tc>
          <w:tcPr>
            <w:tcW w:w="3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Construction Loan – Whole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Foods – Forsyth, GA . . . . . . . .</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November 2024</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rPr>
              <w:t>May 2027</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13,804</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13,588</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12.15%</w:t>
            </w:r>
          </w:p>
        </w:tc>
        <w:tc>
          <w:tcPr>
            <w:tcW w:w="0" w:type="dxa"/>
            <w:vAlign w:val="bottom"/>
          </w:tcPr>
          <w:p>
            <w:pPr>
              <w:spacing w:after="0"/>
              <w:rPr>
                <w:sz w:val="1"/>
                <w:szCs w:val="1"/>
                <w:color w:val="auto"/>
              </w:rPr>
            </w:pPr>
          </w:p>
        </w:tc>
      </w:tr>
      <w:tr>
        <w:trPr>
          <w:trHeight w:val="239"/>
        </w:trPr>
        <w:tc>
          <w:tcPr>
            <w:tcW w:w="3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Mortgage Note – Mainstreet –</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Daytona Beach, FL . . . . . . . . .</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rPr>
              <w:t>August 2025</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rPr>
              <w:t>August 2030</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5,000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4,977</w:t>
            </w: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6.50%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159,650</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u w:val="single" w:color="auto"/>
                <w:color w:val="auto"/>
                <w:w w:val="83"/>
              </w:rPr>
              <w:t>$</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w w:val="97"/>
              </w:rPr>
              <w:t>108,050</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105,944</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CECL Reserve . . . . . . . . . . . . . .</w:t>
            </w: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9"/>
                <w:szCs w:val="19"/>
                <w:color w:val="auto"/>
              </w:rPr>
              <w:t>(1,140)</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8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Commercial Loans and</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Investments  . . . . . . . . . . . . . .</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u w:val="single" w:color="auto"/>
                <w:color w:val="auto"/>
                <w:w w:val="8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7"/>
              </w:rPr>
              <w:t>104,804</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158750</wp:posOffset>
                </wp:positionV>
                <wp:extent cx="136842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107.75pt,12.5pt" o:allowincell="f" strokecolor="#000000" strokeweight="0.499pt"/>
            </w:pict>
          </mc:Fallback>
        </mc:AlternateContent>
      </w:r>
    </w:p>
    <w:p>
      <w:pPr>
        <w:spacing w:after="0" w:line="350" w:lineRule="exact"/>
        <w:rPr>
          <w:sz w:val="20"/>
          <w:szCs w:val="20"/>
          <w:color w:val="auto"/>
        </w:rPr>
      </w:pPr>
    </w:p>
    <w:p>
      <w:pPr>
        <w:ind w:left="390" w:hanging="390"/>
        <w:spacing w:after="0"/>
        <w:tabs>
          <w:tab w:leader="none" w:pos="39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Coupon rate increases to 9.5% effective January 1, 2026.</w:t>
      </w:r>
    </w:p>
    <w:p>
      <w:pPr>
        <w:spacing w:after="0" w:line="91"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draws funded will have a 12.0% coupon rate including 10% cash and 2.0% accrued paid-in-kind interest.</w:t>
      </w:r>
    </w:p>
    <w:p>
      <w:pPr>
        <w:sectPr>
          <w:pgSz w:w="11880" w:h="15480" w:orient="portrait"/>
          <w:cols w:equalWidth="0" w:num="1">
            <w:col w:w="9210"/>
          </w:cols>
          <w:pgMar w:left="1390" w:top="1025" w:right="1280" w:bottom="70" w:gutter="0" w:footer="0" w:header="0"/>
        </w:sectPr>
      </w:pPr>
    </w:p>
    <w:p>
      <w:pPr>
        <w:spacing w:after="0" w:line="336" w:lineRule="exact"/>
        <w:rPr>
          <w:sz w:val="20"/>
          <w:szCs w:val="20"/>
          <w:color w:val="auto"/>
        </w:rPr>
      </w:pPr>
    </w:p>
    <w:p>
      <w:pPr>
        <w:jc w:val="center"/>
        <w:ind w:right="110"/>
        <w:spacing w:after="0"/>
        <w:rPr>
          <w:sz w:val="20"/>
          <w:szCs w:val="20"/>
          <w:color w:val="auto"/>
        </w:rPr>
      </w:pPr>
      <w:r>
        <w:rPr>
          <w:rFonts w:ascii="Times New Roman" w:cs="Times New Roman" w:eastAsia="Times New Roman" w:hAnsi="Times New Roman"/>
          <w:sz w:val="20"/>
          <w:szCs w:val="20"/>
          <w:color w:val="auto"/>
        </w:rPr>
        <w:t>F-21</w:t>
      </w:r>
    </w:p>
    <w:p>
      <w:pPr>
        <w:sectPr>
          <w:pgSz w:w="11880" w:h="15480" w:orient="portrait"/>
          <w:cols w:equalWidth="0" w:num="1">
            <w:col w:w="9210"/>
          </w:cols>
          <w:pgMar w:left="1390" w:top="1025" w:right="1280" w:bottom="70" w:gutter="0" w:footer="0" w:header="0"/>
          <w:type w:val="continuous"/>
        </w:sectPr>
      </w:pPr>
    </w:p>
    <w:bookmarkStart w:id="97" w:name="page98"/>
    <w:bookmarkEnd w:id="97"/>
    <w:p>
      <w:pPr>
        <w:jc w:val="both"/>
        <w:ind w:right="240" w:firstLine="399"/>
        <w:spacing w:after="0" w:line="262" w:lineRule="auto"/>
        <w:rPr>
          <w:sz w:val="20"/>
          <w:szCs w:val="20"/>
          <w:color w:val="auto"/>
        </w:rPr>
      </w:pPr>
      <w:r>
        <w:rPr>
          <w:rFonts w:ascii="Times New Roman" w:cs="Times New Roman" w:eastAsia="Times New Roman" w:hAnsi="Times New Roman"/>
          <w:sz w:val="20"/>
          <w:szCs w:val="20"/>
          <w:color w:val="auto"/>
        </w:rPr>
        <w:t>During the year ended December 31, 2025, the Company’s $5.6 million Construction Loan secured by the Hypoluxo property in Lake Worth, Florida and the $0.4 million Promissory Note secured by the Main Street property in Daytona Beach, Florida were both repaid in full.</w:t>
      </w:r>
    </w:p>
    <w:p>
      <w:pPr>
        <w:spacing w:after="0" w:line="113" w:lineRule="exact"/>
        <w:rPr>
          <w:sz w:val="20"/>
          <w:szCs w:val="20"/>
          <w:color w:val="auto"/>
        </w:rPr>
      </w:pPr>
    </w:p>
    <w:p>
      <w:pPr>
        <w:ind w:right="180" w:firstLine="399"/>
        <w:spacing w:after="0" w:line="279" w:lineRule="auto"/>
        <w:rPr>
          <w:sz w:val="20"/>
          <w:szCs w:val="20"/>
          <w:color w:val="auto"/>
        </w:rPr>
      </w:pPr>
      <w:r>
        <w:rPr>
          <w:rFonts w:ascii="Times New Roman" w:cs="Times New Roman" w:eastAsia="Times New Roman" w:hAnsi="Times New Roman"/>
          <w:sz w:val="20"/>
          <w:szCs w:val="20"/>
          <w:color w:val="auto"/>
        </w:rPr>
        <w:t>The Company has unfunded loan commitments under two construction loans totaling $51.6 million as of December 31, 2025.</w:t>
      </w:r>
    </w:p>
    <w:p>
      <w:pPr>
        <w:spacing w:after="0" w:line="96" w:lineRule="exact"/>
        <w:rPr>
          <w:sz w:val="20"/>
          <w:szCs w:val="20"/>
          <w:color w:val="auto"/>
        </w:rPr>
      </w:pPr>
    </w:p>
    <w:p>
      <w:pPr>
        <w:ind w:right="380" w:firstLine="399"/>
        <w:spacing w:after="0" w:line="279" w:lineRule="auto"/>
        <w:rPr>
          <w:sz w:val="20"/>
          <w:szCs w:val="20"/>
          <w:color w:val="auto"/>
        </w:rPr>
      </w:pPr>
      <w:r>
        <w:rPr>
          <w:rFonts w:ascii="Times New Roman" w:cs="Times New Roman" w:eastAsia="Times New Roman" w:hAnsi="Times New Roman"/>
          <w:sz w:val="20"/>
          <w:szCs w:val="20"/>
          <w:color w:val="auto"/>
        </w:rPr>
        <w:t>The Company’s commercial loans and investments were comprised of the following at December 31, 2024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Original</w:t>
            </w:r>
          </w:p>
        </w:tc>
        <w:tc>
          <w:tcPr>
            <w:tcW w:w="10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2"/>
              </w:rPr>
              <w:t>Current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Date of</w:t>
            </w:r>
          </w:p>
        </w:tc>
        <w:tc>
          <w:tcPr>
            <w:tcW w:w="146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Maturity</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3"/>
              </w:rPr>
              <w:t>Face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3"/>
              </w:rPr>
              <w:t>Face</w:t>
            </w:r>
          </w:p>
        </w:tc>
        <w:tc>
          <w:tcPr>
            <w:tcW w:w="8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6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2"/>
              </w:rPr>
              <w:t>Coupon</w:t>
            </w:r>
          </w:p>
        </w:tc>
        <w:tc>
          <w:tcPr>
            <w:tcW w:w="0" w:type="dxa"/>
            <w:vAlign w:val="bottom"/>
          </w:tcPr>
          <w:p>
            <w:pPr>
              <w:spacing w:after="0"/>
              <w:rPr>
                <w:sz w:val="1"/>
                <w:szCs w:val="1"/>
                <w:color w:val="auto"/>
              </w:rPr>
            </w:pPr>
          </w:p>
        </w:tc>
      </w:tr>
      <w:tr>
        <w:trPr>
          <w:trHeight w:val="203"/>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Investment</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2"/>
              </w:rPr>
              <w:t>Amount</w:t>
            </w:r>
          </w:p>
        </w:tc>
        <w:tc>
          <w:tcPr>
            <w:tcW w:w="1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30"/>
        </w:trPr>
        <w:tc>
          <w:tcPr>
            <w:tcW w:w="2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Preferred Investment – Watters</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Creek – Allen, TX  . . . . . . . . .</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April 2022</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April 2025</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30,000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30,000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29,987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0" w:type="dxa"/>
            <w:vAlign w:val="bottom"/>
          </w:tcPr>
          <w:p>
            <w:pPr>
              <w:spacing w:after="0"/>
              <w:rPr>
                <w:sz w:val="1"/>
                <w:szCs w:val="1"/>
                <w:color w:val="auto"/>
              </w:rPr>
            </w:pPr>
          </w:p>
        </w:tc>
      </w:tr>
      <w:tr>
        <w:trPr>
          <w:trHeight w:val="276"/>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 Note – Founders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Square – Dallas, TX . . . . . . . .</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March 2023</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March 2026</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15,000</w:t>
            </w: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14,942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8.75%</w:t>
            </w:r>
          </w:p>
        </w:tc>
        <w:tc>
          <w:tcPr>
            <w:tcW w:w="0" w:type="dxa"/>
            <w:vAlign w:val="bottom"/>
          </w:tcPr>
          <w:p>
            <w:pPr>
              <w:spacing w:after="0"/>
              <w:rPr>
                <w:sz w:val="1"/>
                <w:szCs w:val="1"/>
                <w:color w:val="auto"/>
              </w:rPr>
            </w:pPr>
          </w:p>
        </w:tc>
      </w:tr>
      <w:tr>
        <w:trPr>
          <w:trHeight w:val="276"/>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Promissory Note – Main</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Street – Daytona Beach, FL  . .</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June 2023</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May 2033</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400</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0" w:type="dxa"/>
            <w:vAlign w:val="bottom"/>
          </w:tcPr>
          <w:p>
            <w:pPr>
              <w:spacing w:after="0"/>
              <w:rPr>
                <w:sz w:val="1"/>
                <w:szCs w:val="1"/>
                <w:color w:val="auto"/>
              </w:rPr>
            </w:pPr>
          </w:p>
        </w:tc>
      </w:tr>
      <w:tr>
        <w:trPr>
          <w:trHeight w:val="276"/>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Construction Loan –</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Hypoluxo – Lake Worth, FL . .</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March 2024</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June 2025</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5,638</w:t>
            </w: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5,598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0" w:type="dxa"/>
            <w:vAlign w:val="bottom"/>
          </w:tcPr>
          <w:p>
            <w:pPr>
              <w:spacing w:after="0"/>
              <w:rPr>
                <w:sz w:val="1"/>
                <w:szCs w:val="1"/>
                <w:color w:val="auto"/>
              </w:rPr>
            </w:pPr>
          </w:p>
        </w:tc>
      </w:tr>
      <w:tr>
        <w:trPr>
          <w:trHeight w:val="299"/>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Series A Preferred Investment . . .</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July 2024</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9"/>
              </w:rPr>
              <w:t>July 2029</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10,000</w:t>
            </w: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9,910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0" w:type="dxa"/>
            <w:vAlign w:val="bottom"/>
          </w:tcPr>
          <w:p>
            <w:pPr>
              <w:spacing w:after="0"/>
              <w:rPr>
                <w:sz w:val="1"/>
                <w:szCs w:val="1"/>
                <w:color w:val="auto"/>
              </w:rPr>
            </w:pPr>
          </w:p>
        </w:tc>
      </w:tr>
      <w:tr>
        <w:trPr>
          <w:trHeight w:val="276"/>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 Note –</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0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Rivana – Herndon, VA . . . . . . September 2024</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September 2026</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42,000</w:t>
            </w: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41,530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0" w:type="dxa"/>
            <w:vAlign w:val="bottom"/>
          </w:tcPr>
          <w:p>
            <w:pPr>
              <w:spacing w:after="0"/>
              <w:rPr>
                <w:sz w:val="1"/>
                <w:szCs w:val="1"/>
                <w:color w:val="auto"/>
              </w:rPr>
            </w:pPr>
          </w:p>
        </w:tc>
      </w:tr>
      <w:tr>
        <w:trPr>
          <w:trHeight w:val="276"/>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Construction Loan – Whole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50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Foods – Forsyth, GA . . . . . . . November 2024</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May 2027</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4,125</w:t>
            </w:r>
          </w:p>
        </w:tc>
        <w:tc>
          <w:tcPr>
            <w:tcW w:w="10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3,748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143,238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5"/>
              </w:rPr>
              <w:t>107,163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106,115</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CECL Reserve  . . . . . . . . . . . . .</w:t>
            </w: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(1,072)</w:t>
            </w: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0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Commercial Loans and</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Investments . . . . . . . . . . . . . .</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105,043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340" w:firstLine="399"/>
        <w:spacing w:after="0" w:line="279" w:lineRule="auto"/>
        <w:rPr>
          <w:sz w:val="20"/>
          <w:szCs w:val="20"/>
          <w:color w:val="auto"/>
        </w:rPr>
      </w:pPr>
      <w:r>
        <w:rPr>
          <w:rFonts w:ascii="Times New Roman" w:cs="Times New Roman" w:eastAsia="Times New Roman" w:hAnsi="Times New Roman"/>
          <w:sz w:val="20"/>
          <w:szCs w:val="20"/>
          <w:color w:val="auto"/>
        </w:rPr>
        <w:t>The carrying value of the commercial loans and investment portfolio at December 31, 2025 and 2024 consisted of the following (in thousands):</w:t>
      </w:r>
    </w:p>
    <w:p>
      <w:pPr>
        <w:spacing w:after="0" w:line="96"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gridSpan w:val="6"/>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30"/>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6140" w:type="dxa"/>
            <w:vAlign w:val="bottom"/>
          </w:tcPr>
          <w:p>
            <w:pPr>
              <w:spacing w:after="0"/>
              <w:rPr>
                <w:sz w:val="17"/>
                <w:szCs w:val="17"/>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14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30"/>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8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Current Face Amount . . . . . . . . . . . . . . . . . . . . . . . . . . . . . . . .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$108,050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$107,163</w:t>
            </w:r>
          </w:p>
        </w:tc>
        <w:tc>
          <w:tcPr>
            <w:tcW w:w="80" w:type="dxa"/>
            <w:vAlign w:val="bottom"/>
          </w:tcPr>
          <w:p>
            <w:pPr>
              <w:spacing w:after="0"/>
              <w:rPr>
                <w:sz w:val="24"/>
                <w:szCs w:val="24"/>
                <w:color w:val="auto"/>
              </w:rPr>
            </w:pP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Unaccreted Origination Fees  . . . . . . . . . . . . . . . . . . . . . . . . . . . . .</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120" w:type="dxa"/>
            <w:vAlign w:val="bottom"/>
          </w:tcPr>
          <w:p>
            <w:pPr>
              <w:spacing w:after="0"/>
              <w:rPr>
                <w:sz w:val="24"/>
                <w:szCs w:val="24"/>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(1,048)</w:t>
            </w: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Unaccreted Exit Fees . . . . . . . . . . . . . . . . . . . . . . . . . . . . . . . . . . .</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CECL Reserve  . . . . . . . . . . . . . . . . . . . . . . . . . . . . . . . . . . . . . . .</w:t>
            </w:r>
          </w:p>
        </w:tc>
        <w:tc>
          <w:tcPr>
            <w:tcW w:w="200" w:type="dxa"/>
            <w:vAlign w:val="bottom"/>
            <w:gridSpan w:val="2"/>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(1,140)</w:t>
            </w:r>
          </w:p>
        </w:tc>
        <w:tc>
          <w:tcPr>
            <w:tcW w:w="120" w:type="dxa"/>
            <w:vAlign w:val="bottom"/>
          </w:tcPr>
          <w:p>
            <w:pPr>
              <w:spacing w:after="0"/>
              <w:rPr>
                <w:sz w:val="24"/>
                <w:szCs w:val="24"/>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(1,072)</w:t>
            </w:r>
          </w:p>
        </w:tc>
      </w:tr>
      <w:tr>
        <w:trPr>
          <w:trHeight w:val="20"/>
        </w:trPr>
        <w:tc>
          <w:tcPr>
            <w:tcW w:w="6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Commercial Loans and Investments  . . . . . . . . . . . . . . . . . .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$104,804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$105,043</w:t>
            </w:r>
          </w:p>
        </w:tc>
        <w:tc>
          <w:tcPr>
            <w:tcW w:w="80" w:type="dxa"/>
            <w:vAlign w:val="bottom"/>
          </w:tcPr>
          <w:p>
            <w:pPr>
              <w:spacing w:after="0"/>
              <w:rPr>
                <w:sz w:val="24"/>
                <w:szCs w:val="24"/>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MANAGEMENT SERVICES BUSINESS</w:t>
      </w:r>
    </w:p>
    <w:p>
      <w:pPr>
        <w:spacing w:after="0" w:line="171" w:lineRule="exact"/>
        <w:rPr>
          <w:sz w:val="20"/>
          <w:szCs w:val="20"/>
          <w:color w:val="auto"/>
        </w:rPr>
      </w:pPr>
    </w:p>
    <w:p>
      <w:pPr>
        <w:ind w:right="120" w:firstLine="399"/>
        <w:spacing w:after="0" w:line="257" w:lineRule="auto"/>
        <w:rPr>
          <w:sz w:val="20"/>
          <w:szCs w:val="20"/>
          <w:color w:val="auto"/>
        </w:rPr>
      </w:pPr>
      <w:r>
        <w:rPr>
          <w:rFonts w:ascii="Times New Roman" w:cs="Times New Roman" w:eastAsia="Times New Roman" w:hAnsi="Times New Roman"/>
          <w:sz w:val="20"/>
          <w:szCs w:val="20"/>
          <w:color w:val="auto"/>
        </w:rPr>
        <w:t xml:space="preserve">The Company’s management fee income is within the scope of FASB ASC Topic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and totaled $4.8 million, $4.6 million, and $4.4 million during the years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2025, 2024, and 2023, respectively. Management fee income is recognized as revenue over time, over the period the services are performed.</w:t>
      </w:r>
    </w:p>
    <w:p>
      <w:pPr>
        <w:spacing w:after="0" w:line="116" w:lineRule="exact"/>
        <w:rPr>
          <w:sz w:val="20"/>
          <w:szCs w:val="20"/>
          <w:color w:val="auto"/>
        </w:rPr>
      </w:pPr>
    </w:p>
    <w:p>
      <w:pPr>
        <w:ind w:right="120" w:firstLine="399"/>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Related Party Management of Alpine Income Property Trust. </w:t>
      </w:r>
      <w:r>
        <w:rPr>
          <w:rFonts w:ascii="Times New Roman" w:cs="Times New Roman" w:eastAsia="Times New Roman" w:hAnsi="Times New Roman"/>
          <w:sz w:val="20"/>
          <w:szCs w:val="20"/>
          <w:color w:val="auto"/>
        </w:rPr>
        <w:t>Pursuant to the Company’s management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with PINE, the Company generates a base management fee equal to 0.375% per quarter of PINE’s total equity (as defined in the management agreement and based on a 1.5% annual rate), calculated and payable in cash, quarterly in arrears. On December 5, 2025, the Company waived a portion of the base</w:t>
      </w:r>
    </w:p>
    <w:p>
      <w:pPr>
        <w:spacing w:after="0" w:line="2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F-22</w:t>
      </w:r>
    </w:p>
    <w:p>
      <w:pPr>
        <w:sectPr>
          <w:pgSz w:w="11880" w:h="15480" w:orient="portrait"/>
          <w:cols w:equalWidth="0" w:num="1">
            <w:col w:w="9220"/>
          </w:cols>
          <w:pgMar w:left="1400" w:top="1025" w:right="1260" w:bottom="70" w:gutter="0" w:footer="0" w:header="0"/>
        </w:sectPr>
      </w:pPr>
    </w:p>
    <w:bookmarkStart w:id="98" w:name="page99"/>
    <w:bookmarkEnd w:id="98"/>
    <w:p>
      <w:pPr>
        <w:ind w:left="10"/>
        <w:spacing w:after="0" w:line="245" w:lineRule="auto"/>
        <w:rPr>
          <w:sz w:val="20"/>
          <w:szCs w:val="20"/>
          <w:color w:val="auto"/>
        </w:rPr>
      </w:pPr>
      <w:r>
        <w:rPr>
          <w:rFonts w:ascii="Times New Roman" w:cs="Times New Roman" w:eastAsia="Times New Roman" w:hAnsi="Times New Roman"/>
          <w:sz w:val="20"/>
          <w:szCs w:val="20"/>
          <w:color w:val="auto"/>
        </w:rPr>
        <w:t>management fee attributable to the inclusion of the net cash proceeds from the issuance of PINE’s Series A Preferred Stock in PINE’s “total equity” (the “Incremental Equity Base”), such that the base management fee rate on the Incremental Equity Base is equal to 0.75% per annum (0.1875% per fiscal quarter), instead of 1.50% per annum (0.375% per fiscal quarter), as provided in the management agreement.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w:t>
      </w:r>
    </w:p>
    <w:p>
      <w:pPr>
        <w:spacing w:after="0" w:line="6" w:lineRule="exact"/>
        <w:rPr>
          <w:sz w:val="20"/>
          <w:szCs w:val="20"/>
          <w:color w:val="auto"/>
        </w:rPr>
      </w:pPr>
    </w:p>
    <w:p>
      <w:pPr>
        <w:ind w:left="10" w:right="360" w:hanging="10"/>
        <w:spacing w:after="0" w:line="279" w:lineRule="auto"/>
        <w:tabs>
          <w:tab w:leader="none" w:pos="30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of (a) 15% multiplied by (b) the Outperformance Amount multiplied by (c) the weighted average shares. No incentive fee was earned for the years ended December 31, 2025, 2024, or 2023.</w:t>
      </w:r>
    </w:p>
    <w:p>
      <w:pPr>
        <w:spacing w:after="0" w:line="96" w:lineRule="exact"/>
        <w:rPr>
          <w:sz w:val="20"/>
          <w:szCs w:val="20"/>
          <w:color w:val="auto"/>
        </w:rPr>
      </w:pPr>
    </w:p>
    <w:p>
      <w:pPr>
        <w:ind w:left="10" w:right="20" w:firstLine="399"/>
        <w:spacing w:after="0" w:line="253"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earned management fee revenue from PINE totaling $4.4 million, $4.2 million, and $4.3 million, respectively. Dividend income for the years ended December 31, 2025, 2024, and 2023 totaled $2.8 million, $2.6 million, and $2.5 million, respectively. Management fee revenue from PINE, included in management services, and dividend income, included in investment and other income (loss), are reflected in the accompanying consolidated statements of operations.</w:t>
      </w:r>
    </w:p>
    <w:p>
      <w:pPr>
        <w:spacing w:after="0" w:line="366" w:lineRule="exact"/>
        <w:rPr>
          <w:sz w:val="20"/>
          <w:szCs w:val="20"/>
          <w:color w:val="auto"/>
        </w:rPr>
      </w:pPr>
    </w:p>
    <w:p>
      <w:pPr>
        <w:ind w:left="10" w:right="100" w:firstLine="399"/>
        <w:spacing w:after="0" w:line="282" w:lineRule="auto"/>
        <w:rPr>
          <w:sz w:val="20"/>
          <w:szCs w:val="20"/>
          <w:color w:val="auto"/>
        </w:rPr>
      </w:pPr>
      <w:r>
        <w:rPr>
          <w:rFonts w:ascii="Times New Roman" w:cs="Times New Roman" w:eastAsia="Times New Roman" w:hAnsi="Times New Roman"/>
          <w:sz w:val="20"/>
          <w:szCs w:val="20"/>
          <w:color w:val="auto"/>
        </w:rPr>
        <w:t>The following table represents amounts due from PINE to the Company as of December 31, 2025 and 2024 which are included in other assets on the consolidated balance sheets (in thousands):</w:t>
      </w:r>
    </w:p>
    <w:p>
      <w:pPr>
        <w:spacing w:after="0" w:line="93" w:lineRule="exact"/>
        <w:rPr>
          <w:sz w:val="20"/>
          <w:szCs w:val="20"/>
          <w:color w:val="auto"/>
        </w:rPr>
      </w:pPr>
    </w:p>
    <w:tbl>
      <w:tblPr>
        <w:tblLayout w:type="fixed"/>
        <w:tblInd w:w="39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30"/>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6"/>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3"/>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r>
      <w:tr>
        <w:trPr>
          <w:trHeight w:val="30"/>
        </w:trPr>
        <w:tc>
          <w:tcPr>
            <w:tcW w:w="6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3"/>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Management Services Fee Due From PINE . . . . . . . . . . . . . . . .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$1,098</w:t>
            </w:r>
          </w:p>
        </w:tc>
      </w:tr>
      <w:tr>
        <w:trPr>
          <w:trHeight w:val="299"/>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 Receivable  . . . . . . . . . . . . . . . . . . . . . . . . . . . . . . . .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180" w:type="dxa"/>
            <w:vAlign w:val="bottom"/>
          </w:tcPr>
          <w:p>
            <w:pPr>
              <w:spacing w:after="0"/>
              <w:rPr>
                <w:sz w:val="24"/>
                <w:szCs w:val="24"/>
                <w:color w:val="auto"/>
              </w:rPr>
            </w:pPr>
          </w:p>
        </w:tc>
      </w:tr>
      <w:tr>
        <w:trPr>
          <w:trHeight w:val="302"/>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w:t>
            </w:r>
          </w:p>
        </w:tc>
        <w:tc>
          <w:tcPr>
            <w:tcW w:w="1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80" w:type="dxa"/>
            <w:vAlign w:val="bottom"/>
          </w:tcPr>
          <w:p>
            <w:pPr>
              <w:spacing w:after="0"/>
              <w:rPr>
                <w:sz w:val="24"/>
                <w:szCs w:val="24"/>
                <w:color w:val="auto"/>
              </w:rPr>
            </w:pPr>
          </w:p>
        </w:tc>
      </w:tr>
      <w:tr>
        <w:trPr>
          <w:trHeight w:val="289"/>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$2,379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$1,468</w:t>
            </w:r>
          </w:p>
        </w:tc>
      </w:tr>
      <w:tr>
        <w:trPr>
          <w:trHeight w:val="20"/>
        </w:trPr>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 w:firstLine="399"/>
        <w:spacing w:after="0" w:line="254" w:lineRule="auto"/>
        <w:rPr>
          <w:sz w:val="20"/>
          <w:szCs w:val="20"/>
          <w:color w:val="auto"/>
        </w:rPr>
      </w:pPr>
      <w:r>
        <w:rPr>
          <w:rFonts w:ascii="Times New Roman" w:cs="Times New Roman" w:eastAsia="Times New Roman" w:hAnsi="Times New Roman"/>
          <w:sz w:val="20"/>
          <w:szCs w:val="20"/>
          <w:color w:val="auto"/>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24" w:lineRule="exact"/>
        <w:rPr>
          <w:sz w:val="20"/>
          <w:szCs w:val="20"/>
          <w:color w:val="auto"/>
        </w:rPr>
      </w:pPr>
    </w:p>
    <w:p>
      <w:pPr>
        <w:ind w:left="10" w:right="20" w:firstLine="399"/>
        <w:spacing w:after="0" w:line="253" w:lineRule="auto"/>
        <w:rPr>
          <w:sz w:val="20"/>
          <w:szCs w:val="20"/>
          <w:color w:val="auto"/>
        </w:rPr>
      </w:pPr>
      <w:r>
        <w:rPr>
          <w:rFonts w:ascii="Times New Roman" w:cs="Times New Roman" w:eastAsia="Times New Roman" w:hAnsi="Times New Roman"/>
          <w:sz w:val="20"/>
          <w:szCs w:val="20"/>
          <w:color w:val="auto"/>
        </w:rPr>
        <w:t>On October 26, 2021, the Company’s Board of Directors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spacing w:after="0" w:line="12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On February 16, 2023, the Company’s Board of Directors cancelled the Prior PINE Share Purchase</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Authorization and authorized the purchase by the Company of up to $2.1 million in shares of common</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stock of PINE (the “2023 PINE Share Purchase Authorization”). Pursuant to the 2023 PINE Share Purchase</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Authorization, during the year ended December 31, 2023, the Company purchased 129,271 shares of</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PINE common stock on the open market for a total of $2.1 million, or an average price of $16.21 per share.</w:t>
      </w:r>
    </w:p>
    <w:p>
      <w:pPr>
        <w:spacing w:after="0" w:line="167" w:lineRule="exact"/>
        <w:rPr>
          <w:sz w:val="20"/>
          <w:szCs w:val="20"/>
          <w:color w:val="auto"/>
        </w:rPr>
      </w:pPr>
    </w:p>
    <w:p>
      <w:pPr>
        <w:ind w:left="10" w:firstLine="399"/>
        <w:spacing w:after="0" w:line="253" w:lineRule="auto"/>
        <w:rPr>
          <w:sz w:val="20"/>
          <w:szCs w:val="20"/>
          <w:color w:val="auto"/>
        </w:rPr>
      </w:pPr>
      <w:r>
        <w:rPr>
          <w:rFonts w:ascii="Times New Roman" w:cs="Times New Roman" w:eastAsia="Times New Roman" w:hAnsi="Times New Roman"/>
          <w:sz w:val="20"/>
          <w:szCs w:val="20"/>
          <w:color w:val="auto"/>
        </w:rPr>
        <w:t>On December 12, 2023, the Board authorized the purchase by the Company of up to $2.0 million in shares of common stock of PINE (the “December 2023 PINE Share Purchase Authorization”). No purchases of PINE common stock were made pursuant to the December 2023 PINE Share Purchase Authorization during the three months ended December 31, 2023. Pursuant to the December 2023 PINE Share Purchase Authorization, during the year ended December 31, 2024, the Company purchased 29,807 shares of PINE common stock on the open market for a total of $0.4 million, or an average price of $14.97 per share. During the year ended December 31, 2025, the Company purchased 109,081 shares of PINE common stock</w:t>
      </w:r>
    </w:p>
    <w:p>
      <w:pPr>
        <w:spacing w:after="0" w:line="28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F-23</w:t>
      </w:r>
    </w:p>
    <w:p>
      <w:pPr>
        <w:sectPr>
          <w:pgSz w:w="11880" w:h="15480" w:orient="portrait"/>
          <w:cols w:equalWidth="0" w:num="1">
            <w:col w:w="9110"/>
          </w:cols>
          <w:pgMar w:left="1390" w:top="1025" w:right="1380" w:bottom="70" w:gutter="0" w:footer="0" w:header="0"/>
        </w:sectPr>
      </w:pPr>
    </w:p>
    <w:bookmarkStart w:id="99" w:name="page100"/>
    <w:bookmarkEnd w:id="99"/>
    <w:p>
      <w:pPr>
        <w:ind w:right="80"/>
        <w:spacing w:after="0" w:line="284" w:lineRule="auto"/>
        <w:rPr>
          <w:sz w:val="20"/>
          <w:szCs w:val="20"/>
          <w:color w:val="auto"/>
        </w:rPr>
      </w:pPr>
      <w:r>
        <w:rPr>
          <w:rFonts w:ascii="Times New Roman" w:cs="Times New Roman" w:eastAsia="Times New Roman" w:hAnsi="Times New Roman"/>
          <w:sz w:val="20"/>
          <w:szCs w:val="20"/>
          <w:color w:val="auto"/>
        </w:rPr>
        <w:t>on the open market for a total of $1.6 million, or an average price of $14.24 per share, which completed the December 2023 PINE Share Purchase Authorization.</w:t>
      </w:r>
    </w:p>
    <w:p>
      <w:pPr>
        <w:spacing w:after="0" w:line="94" w:lineRule="exact"/>
        <w:rPr>
          <w:sz w:val="20"/>
          <w:szCs w:val="20"/>
          <w:color w:val="auto"/>
        </w:rPr>
      </w:pPr>
    </w:p>
    <w:p>
      <w:pPr>
        <w:ind w:right="160" w:firstLine="399"/>
        <w:spacing w:after="0" w:line="261" w:lineRule="auto"/>
        <w:rPr>
          <w:sz w:val="20"/>
          <w:szCs w:val="20"/>
          <w:color w:val="auto"/>
        </w:rPr>
      </w:pPr>
      <w:r>
        <w:rPr>
          <w:rFonts w:ascii="Times New Roman" w:cs="Times New Roman" w:eastAsia="Times New Roman" w:hAnsi="Times New Roman"/>
          <w:sz w:val="20"/>
          <w:szCs w:val="20"/>
          <w:color w:val="auto"/>
        </w:rPr>
        <w:t>On October 21, 2025, the Company’s Board of Directors authorized the purchase by the Company of up to $3.0 million in shares of common stock of PINE (the “October 2025 PINE Share Purchase Authorization”). No purchases of PINE common stock were made pursuant to the October 2025 PINE Share Purchase Authorization during the year ended December 31, 2025.</w:t>
      </w:r>
    </w:p>
    <w:p>
      <w:pPr>
        <w:spacing w:after="0" w:line="117" w:lineRule="exact"/>
        <w:rPr>
          <w:sz w:val="20"/>
          <w:szCs w:val="20"/>
          <w:color w:val="auto"/>
        </w:rPr>
      </w:pPr>
    </w:p>
    <w:p>
      <w:pPr>
        <w:jc w:val="both"/>
        <w:ind w:right="280" w:firstLine="399"/>
        <w:spacing w:after="0" w:line="267" w:lineRule="auto"/>
        <w:rPr>
          <w:sz w:val="20"/>
          <w:szCs w:val="20"/>
          <w:color w:val="auto"/>
        </w:rPr>
      </w:pPr>
      <w:r>
        <w:rPr>
          <w:rFonts w:ascii="Times New Roman" w:cs="Times New Roman" w:eastAsia="Times New Roman" w:hAnsi="Times New Roman"/>
          <w:sz w:val="20"/>
          <w:szCs w:val="20"/>
          <w:color w:val="auto"/>
        </w:rPr>
        <w:t>As of December 31, 2025, CTO owns, in the aggregate, 1,223,854 OP Units and 1,247,702 shares of PINE common stock, representing an investment totaling $41.3 million, or 15.4% of PINE’s outstanding common equity.</w:t>
      </w:r>
    </w:p>
    <w:p>
      <w:pPr>
        <w:spacing w:after="0" w:line="111"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2022, PINE exercised its right, pursuant to an Exclusivity and Right of First Offer Agreement between the Company and PINE (the “ROFO Agreement”), to purchase one single-tenant income property from the Company for a purchase price of $6.9 million, which sale was completed on January 7, 2022. During the year ended December 31, 2021, PINE exercised its right to purchase the following properties from the Company pursuant to the ROFO Agreement: (i) a portfolio of six net leased properties (the “CMBS Portfolio”) for an aggregate purchase price of $44.5 million, and (ii) one single-tenant income property for a purchase price of $11.5 million. In connection with the sale of the CMBS Portfolio, PINE assumed the related $30.0 million mortgage note payable which resulted in a loss on the extinguishment of debt of $0.5 million due to the write off of unamortized debt issuance costs.</w:t>
      </w:r>
    </w:p>
    <w:p>
      <w:pPr>
        <w:spacing w:after="0" w:line="124"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Portfolio Management Agreement. </w:t>
      </w:r>
      <w:r>
        <w:rPr>
          <w:rFonts w:ascii="Times New Roman" w:cs="Times New Roman" w:eastAsia="Times New Roman" w:hAnsi="Times New Roman"/>
          <w:sz w:val="20"/>
          <w:szCs w:val="20"/>
          <w:color w:val="auto"/>
        </w:rPr>
        <w:t>On December 4, 2023, the Company entered into an asset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agreement 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receives (or expects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During each of the years ended December 31, 2025 and 2024, the Company recognized $0.3 million of revenue pursuant to the Portfolio Management Agreement. During the year ended December 31, 2023, the Company recognized less than $0.1 million of such revenue, which is included in management fee income on the Company’s consolidated statements of operations.</w:t>
      </w:r>
    </w:p>
    <w:p>
      <w:pPr>
        <w:spacing w:after="0" w:line="134" w:lineRule="exact"/>
        <w:rPr>
          <w:sz w:val="20"/>
          <w:szCs w:val="20"/>
          <w:color w:val="auto"/>
        </w:rPr>
      </w:pPr>
    </w:p>
    <w:p>
      <w:pPr>
        <w:ind w:right="80" w:firstLine="399"/>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Asset Management Agreement. </w:t>
      </w:r>
      <w:r>
        <w:rPr>
          <w:rFonts w:ascii="Times New Roman" w:cs="Times New Roman" w:eastAsia="Times New Roman" w:hAnsi="Times New Roman"/>
          <w:sz w:val="20"/>
          <w:szCs w:val="20"/>
          <w:color w:val="auto"/>
        </w:rPr>
        <w:t>On February 16, 2024, the Company entered into the Subsurface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Agreement with a third party in conjunction with the sale of the Company’s remaining Subsurface Interests, as further described in Note 6, “Real Estate Operations” below. Pursuant to the Subsurface Management Agreement, the Company receives management and other fees. During each of the years ended December 31, 2025 and 2024, the Company recognized $0.1 million of revenue pursuant to the Subsurface Management Agreement, which is included in management fee income on the Company’s consolidated statement of operations.</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F-24</w:t>
      </w:r>
    </w:p>
    <w:p>
      <w:pPr>
        <w:sectPr>
          <w:pgSz w:w="11880" w:h="15480" w:orient="portrait"/>
          <w:cols w:equalWidth="0" w:num="1">
            <w:col w:w="9100"/>
          </w:cols>
          <w:pgMar w:left="1400" w:top="1025" w:right="1380" w:bottom="70" w:gutter="0" w:footer="0" w:header="0"/>
          <w:type w:val="continuous"/>
        </w:sectPr>
      </w:pPr>
    </w:p>
    <w:bookmarkStart w:id="100" w:name="page101"/>
    <w:bookmarkEnd w:id="100"/>
    <w:p>
      <w:pPr>
        <w:ind w:left="20"/>
        <w:spacing w:after="0"/>
        <w:rPr>
          <w:sz w:val="20"/>
          <w:szCs w:val="20"/>
          <w:color w:val="auto"/>
        </w:rPr>
      </w:pPr>
      <w:r>
        <w:rPr>
          <w:rFonts w:ascii="Times New Roman" w:cs="Times New Roman" w:eastAsia="Times New Roman" w:hAnsi="Times New Roman"/>
          <w:sz w:val="20"/>
          <w:szCs w:val="20"/>
          <w:b w:val="1"/>
          <w:bCs w:val="1"/>
          <w:color w:val="auto"/>
        </w:rPr>
        <w:t>NOTE 6. REAL ESTATE OPERATIONS</w:t>
      </w:r>
    </w:p>
    <w:p>
      <w:pPr>
        <w:spacing w:after="0" w:line="171" w:lineRule="exact"/>
        <w:rPr>
          <w:sz w:val="20"/>
          <w:szCs w:val="20"/>
          <w:color w:val="auto"/>
        </w:rPr>
      </w:pPr>
    </w:p>
    <w:p>
      <w:pPr>
        <w:jc w:val="both"/>
        <w:ind w:left="20" w:right="240" w:firstLine="399"/>
        <w:spacing w:after="0" w:line="264" w:lineRule="auto"/>
        <w:rPr>
          <w:sz w:val="20"/>
          <w:szCs w:val="20"/>
          <w:color w:val="auto"/>
        </w:rPr>
      </w:pPr>
      <w:r>
        <w:rPr>
          <w:rFonts w:ascii="Times New Roman" w:cs="Times New Roman" w:eastAsia="Times New Roman" w:hAnsi="Times New Roman"/>
          <w:sz w:val="20"/>
          <w:szCs w:val="20"/>
          <w:color w:val="auto"/>
        </w:rPr>
        <w:t xml:space="preserve">The Company’s real estate operations revenue is within the scope of FASB ASC Topic 606, </w:t>
      </w: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from Contracts with Customers </w:t>
      </w:r>
      <w:r>
        <w:rPr>
          <w:rFonts w:ascii="Times New Roman" w:cs="Times New Roman" w:eastAsia="Times New Roman" w:hAnsi="Times New Roman"/>
          <w:sz w:val="20"/>
          <w:szCs w:val="20"/>
          <w:color w:val="auto"/>
        </w:rPr>
        <w:t>as summarized below. Revenue from real estate operations is recognized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point in time the underlying assets are transferred.</w:t>
      </w:r>
    </w:p>
    <w:p>
      <w:pPr>
        <w:spacing w:after="0" w:line="113" w:lineRule="exact"/>
        <w:rPr>
          <w:sz w:val="20"/>
          <w:szCs w:val="20"/>
          <w:color w:val="auto"/>
        </w:rPr>
      </w:pPr>
    </w:p>
    <w:p>
      <w:pPr>
        <w:ind w:left="20" w:right="100" w:firstLine="399"/>
        <w:spacing w:after="0" w:line="282" w:lineRule="auto"/>
        <w:rPr>
          <w:sz w:val="20"/>
          <w:szCs w:val="20"/>
          <w:color w:val="auto"/>
        </w:rPr>
      </w:pPr>
      <w:r>
        <w:rPr>
          <w:rFonts w:ascii="Times New Roman" w:cs="Times New Roman" w:eastAsia="Times New Roman" w:hAnsi="Times New Roman"/>
          <w:sz w:val="20"/>
          <w:szCs w:val="20"/>
          <w:color w:val="auto"/>
        </w:rPr>
        <w:t>Revenue from real estate operations consisted of the following for the years ended December 31, 2025, 2024, and 2023 (in thousands):</w:t>
      </w:r>
    </w:p>
    <w:p>
      <w:pPr>
        <w:spacing w:after="0" w:line="92"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0"/>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0"/>
        </w:trPr>
        <w:tc>
          <w:tcPr>
            <w:tcW w:w="6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3"/>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Mitigation Credit Sales . . . . . . . . . . . . . . . . . . . . . . . . . . . . . . . .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$1,831</w:t>
            </w:r>
          </w:p>
        </w:tc>
        <w:tc>
          <w:tcPr>
            <w:tcW w:w="2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$2,257</w:t>
            </w:r>
          </w:p>
        </w:tc>
      </w:tr>
      <w:tr>
        <w:trPr>
          <w:trHeight w:val="299"/>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Subsurface Revenue – Other . . . . . . . . . . . . . . . . . . . . . . . . . . . . .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1,727</w:t>
            </w:r>
          </w:p>
        </w:tc>
      </w:tr>
      <w:tr>
        <w:trPr>
          <w:trHeight w:val="302"/>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Land Sales Revenue  . . . . . . . . . . . . . . . . . . . . . . . . . . . . . . . . . . .</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9"/>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Total Real Estate Operations Revenue . . . . . . . . . . . . . . . . . . . . . .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$1,981</w:t>
            </w:r>
          </w:p>
        </w:tc>
        <w:tc>
          <w:tcPr>
            <w:tcW w:w="2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$3,984</w:t>
            </w: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Mitigation Credits. </w:t>
      </w:r>
      <w:r>
        <w:rPr>
          <w:rFonts w:ascii="Times New Roman" w:cs="Times New Roman" w:eastAsia="Times New Roman" w:hAnsi="Times New Roman"/>
          <w:sz w:val="20"/>
          <w:szCs w:val="20"/>
          <w:color w:val="auto"/>
        </w:rPr>
        <w:t>Revenues and the cost of sales of mitigation credit sales are reported as revenues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and direct costs of, real estate operations, respectively, in the consolidated statements of operations. During the year ended December 31, 2024, the Company sold its remaining 14.99 mitigation credits for $1.8 million with a cost basis of $1.3 million. During the year ended December 31, 2023, the Company sold 20 mitigation credits for proceeds of $2.3 million with a cost basis of $1.5 million.</w:t>
      </w:r>
    </w:p>
    <w:p>
      <w:pPr>
        <w:spacing w:after="0" w:line="121" w:lineRule="exact"/>
        <w:rPr>
          <w:sz w:val="20"/>
          <w:szCs w:val="20"/>
          <w:color w:val="auto"/>
        </w:rPr>
      </w:pPr>
    </w:p>
    <w:p>
      <w:pPr>
        <w:ind w:right="220" w:firstLine="399"/>
        <w:spacing w:after="0" w:line="284" w:lineRule="auto"/>
        <w:rPr>
          <w:sz w:val="20"/>
          <w:szCs w:val="20"/>
          <w:color w:val="auto"/>
        </w:rPr>
      </w:pPr>
      <w:r>
        <w:rPr>
          <w:rFonts w:ascii="Times New Roman" w:cs="Times New Roman" w:eastAsia="Times New Roman" w:hAnsi="Times New Roman"/>
          <w:sz w:val="20"/>
          <w:szCs w:val="20"/>
          <w:i w:val="1"/>
          <w:iCs w:val="1"/>
          <w:color w:val="auto"/>
        </w:rPr>
        <w:t xml:space="preserve">Subsurface Interests. </w:t>
      </w:r>
      <w:r>
        <w:rPr>
          <w:rFonts w:ascii="Times New Roman" w:cs="Times New Roman" w:eastAsia="Times New Roman" w:hAnsi="Times New Roman"/>
          <w:sz w:val="20"/>
          <w:szCs w:val="20"/>
          <w:color w:val="auto"/>
        </w:rPr>
        <w:t>The Company sold its remaining acres of Subsurface Interests during the year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ended December 31, 2024 for $5.0 million, or a gain on sale of $4.5 million.</w:t>
      </w:r>
    </w:p>
    <w:p>
      <w:pPr>
        <w:spacing w:after="0" w:line="94"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color w:val="auto"/>
        </w:rPr>
        <w:t>The Company historically leased certain of the Subsurface Interests to mineral exploration firms for exploration. The Company’s subsurface operations consisted of revenue from the leasing of exploration rights and in some instances, additional revenues from royalties applicable to production from the leased acreage, which revenues are included within real estate operations in the consolidated statements of operations. There were no sales of subsurface oil, gas, and mineral rights during the year ended December 31, 2024. During the year ended December 31, 2023, the Company sold 3,481 acres of Subsurface Interests for a sales price of $1.0 million.</w:t>
      </w:r>
    </w:p>
    <w:p>
      <w:pPr>
        <w:spacing w:after="0" w:line="364" w:lineRule="exact"/>
        <w:rPr>
          <w:sz w:val="20"/>
          <w:szCs w:val="20"/>
          <w:color w:val="auto"/>
        </w:rPr>
      </w:pPr>
    </w:p>
    <w:p>
      <w:pPr>
        <w:ind w:right="40" w:firstLine="399"/>
        <w:spacing w:after="0" w:line="258" w:lineRule="auto"/>
        <w:rPr>
          <w:sz w:val="20"/>
          <w:szCs w:val="20"/>
          <w:color w:val="auto"/>
        </w:rPr>
      </w:pPr>
      <w:r>
        <w:rPr>
          <w:rFonts w:ascii="Times New Roman" w:cs="Times New Roman" w:eastAsia="Times New Roman" w:hAnsi="Times New Roman"/>
          <w:sz w:val="20"/>
          <w:szCs w:val="20"/>
          <w:color w:val="auto"/>
        </w:rPr>
        <w:t>The Company historically released surface entry rights or other rights upon request of a surface owner for a negotiated release fee typically based on a percentage of the surface value. No cash payments were received for the release of surface entry rights for the year ended December 31, 2025. Cash payments for the release of surface entry rights totaled $0.1 million and $0.7 million during the years ended December 31,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INVESTMENT IN JOINT VENTURES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 has no investments in joint ventures as of December 31, 2025 or 2024.</w:t>
      </w:r>
    </w:p>
    <w:p>
      <w:pPr>
        <w:spacing w:after="0" w:line="169" w:lineRule="exact"/>
        <w:rPr>
          <w:sz w:val="20"/>
          <w:szCs w:val="20"/>
          <w:color w:val="auto"/>
        </w:rPr>
      </w:pPr>
    </w:p>
    <w:p>
      <w:pPr>
        <w:ind w:left="400"/>
        <w:spacing w:after="0"/>
        <w:tabs>
          <w:tab w:leader="none" w:pos="2780" w:val="left"/>
        </w:tabs>
        <w:rPr>
          <w:sz w:val="20"/>
          <w:szCs w:val="20"/>
          <w:color w:val="auto"/>
        </w:rPr>
      </w:pPr>
      <w:r>
        <w:rPr>
          <w:rFonts w:ascii="Times New Roman" w:cs="Times New Roman" w:eastAsia="Times New Roman" w:hAnsi="Times New Roman"/>
          <w:sz w:val="20"/>
          <w:szCs w:val="20"/>
          <w:i w:val="1"/>
          <w:iCs w:val="1"/>
          <w:color w:val="auto"/>
        </w:rPr>
        <w:t>Watters Creek Investment.</w:t>
      </w:r>
      <w:r>
        <w:rPr>
          <w:sz w:val="20"/>
          <w:szCs w:val="20"/>
          <w:color w:val="auto"/>
        </w:rPr>
        <w:tab/>
      </w:r>
      <w:r>
        <w:rPr>
          <w:rFonts w:ascii="Times New Roman" w:cs="Times New Roman" w:eastAsia="Times New Roman" w:hAnsi="Times New Roman"/>
          <w:sz w:val="20"/>
          <w:szCs w:val="20"/>
          <w:color w:val="auto"/>
        </w:rPr>
        <w:t>As described in Note 4, “Commercial Loans and Investments,” on April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 the Company entered into the Watters Creek Investment. The Watters Creek Investment represents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$30.0 million, or approximately 23%, of funding towards the total investment in Watters Creek at Montgomery</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 xml:space="preserve">Farm, a grocery-anchored, mixed-use property located in Allen, Texas (the “Watters Creek Property”). The remaining funding is comprised of a combination of third-party sponsorship equity and a secured first mortgage. 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F-25</w:t>
      </w:r>
    </w:p>
    <w:p>
      <w:pPr>
        <w:sectPr>
          <w:pgSz w:w="11880" w:h="15480" w:orient="portrait"/>
          <w:cols w:equalWidth="0" w:num="1">
            <w:col w:w="9120"/>
          </w:cols>
          <w:pgMar w:left="1380" w:top="1023" w:right="1380" w:bottom="70" w:gutter="0" w:footer="0" w:header="0"/>
        </w:sectPr>
      </w:pPr>
    </w:p>
    <w:bookmarkStart w:id="101" w:name="page102"/>
    <w:bookmarkEnd w:id="101"/>
    <w:p>
      <w:pPr>
        <w:ind w:right="80"/>
        <w:spacing w:after="0" w:line="284" w:lineRule="auto"/>
        <w:rPr>
          <w:sz w:val="20"/>
          <w:szCs w:val="20"/>
          <w:color w:val="auto"/>
        </w:rPr>
      </w:pPr>
      <w:r>
        <w:rPr>
          <w:rFonts w:ascii="Times New Roman" w:cs="Times New Roman" w:eastAsia="Times New Roman" w:hAnsi="Times New Roman"/>
          <w:sz w:val="20"/>
          <w:szCs w:val="20"/>
          <w:color w:val="auto"/>
        </w:rPr>
        <w:t>an unrelated third-party and (ii) the Company’s position as minority lender with fixed returns and maturity dates for the repayment of the $30.0 million preferred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INVESTMENT SECURITIES</w:t>
      </w:r>
    </w:p>
    <w:p>
      <w:pPr>
        <w:spacing w:after="0" w:line="171"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As of December 31, 2025, the Company owns, in the aggregate and on a fully diluted basis, 2.47 million common shares of PINE, or 15.4% of PINE’s total common shares outstanding for an investment value of $41.3 million, which total includes 1.2 million OP Units, or 7.6%, which the Company received in exchange for the contribution of certain income properties to the PINE Operating Partnership, in addition to 1,247,702 shares of common stock owned by the Company, or 7.8%.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spacing w:after="0" w:line="124" w:lineRule="exact"/>
        <w:rPr>
          <w:sz w:val="20"/>
          <w:szCs w:val="20"/>
          <w:color w:val="auto"/>
        </w:rPr>
      </w:pPr>
    </w:p>
    <w:p>
      <w:pPr>
        <w:ind w:right="140" w:firstLine="399"/>
        <w:spacing w:after="0" w:line="261" w:lineRule="auto"/>
        <w:rPr>
          <w:sz w:val="20"/>
          <w:szCs w:val="20"/>
          <w:color w:val="auto"/>
        </w:rPr>
      </w:pPr>
      <w:r>
        <w:rPr>
          <w:rFonts w:ascii="Times New Roman" w:cs="Times New Roman" w:eastAsia="Times New Roman" w:hAnsi="Times New Roman"/>
          <w:sz w:val="20"/>
          <w:szCs w:val="20"/>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in the consolidated statements of operations for years ended December 31, 2025, 2024, and 2023.</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Company’s securities as of December 31, 2025 and 2024 are summarized below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5"/>
          </w:tcPr>
          <w:p>
            <w:pPr>
              <w:jc w:val="center"/>
              <w:ind w:left="144"/>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1080" w:type="dxa"/>
            <w:vAlign w:val="bottom"/>
            <w:gridSpan w:val="5"/>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Gains in</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Losses in</w:t>
            </w:r>
          </w:p>
        </w:tc>
        <w:tc>
          <w:tcPr>
            <w:tcW w:w="120" w:type="dxa"/>
            <w:vAlign w:val="bottom"/>
          </w:tcPr>
          <w:p>
            <w:pPr>
              <w:spacing w:after="0"/>
              <w:rPr>
                <w:sz w:val="15"/>
                <w:szCs w:val="15"/>
                <w:color w:val="auto"/>
              </w:rPr>
            </w:pPr>
          </w:p>
        </w:tc>
        <w:tc>
          <w:tcPr>
            <w:tcW w:w="1040" w:type="dxa"/>
            <w:vAlign w:val="bottom"/>
            <w:gridSpan w:val="3"/>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Estimated</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Investment</w:t>
            </w:r>
          </w:p>
        </w:tc>
        <w:tc>
          <w:tcPr>
            <w:tcW w:w="240" w:type="dxa"/>
            <w:vAlign w:val="bottom"/>
          </w:tcPr>
          <w:p>
            <w:pPr>
              <w:spacing w:after="0"/>
              <w:rPr>
                <w:sz w:val="15"/>
                <w:szCs w:val="15"/>
                <w:color w:val="auto"/>
              </w:rPr>
            </w:pPr>
          </w:p>
        </w:tc>
        <w:tc>
          <w:tcPr>
            <w:tcW w:w="840" w:type="dxa"/>
            <w:vAlign w:val="bottom"/>
            <w:gridSpan w:val="4"/>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Investment</w:t>
            </w:r>
          </w:p>
        </w:tc>
        <w:tc>
          <w:tcPr>
            <w:tcW w:w="120" w:type="dxa"/>
            <w:vAlign w:val="bottom"/>
          </w:tcPr>
          <w:p>
            <w:pPr>
              <w:spacing w:after="0"/>
              <w:rPr>
                <w:sz w:val="15"/>
                <w:szCs w:val="15"/>
                <w:color w:val="auto"/>
              </w:rPr>
            </w:pPr>
          </w:p>
        </w:tc>
        <w:tc>
          <w:tcPr>
            <w:tcW w:w="1040" w:type="dxa"/>
            <w:vAlign w:val="bottom"/>
            <w:gridSpan w:val="3"/>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66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Income</w:t>
            </w:r>
          </w:p>
        </w:tc>
        <w:tc>
          <w:tcPr>
            <w:tcW w:w="1160" w:type="dxa"/>
            <w:vAlign w:val="bottom"/>
            <w:gridSpan w:val="4"/>
          </w:tcPr>
          <w:p>
            <w:pPr>
              <w:jc w:val="center"/>
              <w:ind w:left="23"/>
              <w:spacing w:after="0"/>
              <w:rPr>
                <w:sz w:val="20"/>
                <w:szCs w:val="20"/>
                <w:color w:val="auto"/>
              </w:rPr>
            </w:pPr>
            <w:r>
              <w:rPr>
                <w:rFonts w:ascii="Times New Roman" w:cs="Times New Roman" w:eastAsia="Times New Roman" w:hAnsi="Times New Roman"/>
                <w:sz w:val="16"/>
                <w:szCs w:val="16"/>
                <w:b w:val="1"/>
                <w:bCs w:val="1"/>
                <w:color w:val="auto"/>
                <w:w w:val="95"/>
              </w:rPr>
              <w:t>(Level 1 Inputs)</w:t>
            </w:r>
          </w:p>
        </w:tc>
        <w:tc>
          <w:tcPr>
            <w:tcW w:w="0" w:type="dxa"/>
            <w:vAlign w:val="bottom"/>
          </w:tcPr>
          <w:p>
            <w:pPr>
              <w:spacing w:after="0"/>
              <w:rPr>
                <w:sz w:val="1"/>
                <w:szCs w:val="1"/>
                <w:color w:val="auto"/>
              </w:rPr>
            </w:pPr>
          </w:p>
        </w:tc>
      </w:tr>
      <w:tr>
        <w:trPr>
          <w:trHeight w:val="263"/>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$22,486</w:t>
            </w:r>
          </w:p>
        </w:tc>
        <w:tc>
          <w:tcPr>
            <w:tcW w:w="5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$(1,625)</w:t>
            </w: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$20,861</w:t>
            </w:r>
          </w:p>
        </w:tc>
        <w:tc>
          <w:tcPr>
            <w:tcW w:w="0" w:type="dxa"/>
            <w:vAlign w:val="bottom"/>
          </w:tcPr>
          <w:p>
            <w:pPr>
              <w:spacing w:after="0"/>
              <w:rPr>
                <w:sz w:val="1"/>
                <w:szCs w:val="1"/>
                <w:color w:val="auto"/>
              </w:rPr>
            </w:pPr>
          </w:p>
        </w:tc>
      </w:tr>
      <w:tr>
        <w:trPr>
          <w:trHeight w:val="249"/>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Operating Units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(2,790)</w:t>
            </w: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20,463</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Equity Securities . . . . . . . . . . . . . . . . . . . . . . . . . .</w:t>
            </w:r>
          </w:p>
        </w:tc>
        <w:tc>
          <w:tcPr>
            <w:tcW w:w="6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40" w:type="dxa"/>
            <w:vAlign w:val="bottom"/>
            <w:vMerge w:val="continue"/>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45,739</w:t>
            </w:r>
          </w:p>
        </w:tc>
        <w:tc>
          <w:tcPr>
            <w:tcW w:w="5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(4,415)</w:t>
            </w: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41,324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$20,929</w:t>
            </w:r>
          </w:p>
        </w:tc>
        <w:tc>
          <w:tcPr>
            <w:tcW w:w="5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$(1,812)</w:t>
            </w: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$19,117</w:t>
            </w:r>
          </w:p>
        </w:tc>
        <w:tc>
          <w:tcPr>
            <w:tcW w:w="0" w:type="dxa"/>
            <w:vAlign w:val="bottom"/>
          </w:tcPr>
          <w:p>
            <w:pPr>
              <w:spacing w:after="0"/>
              <w:rPr>
                <w:sz w:val="1"/>
                <w:szCs w:val="1"/>
                <w:color w:val="auto"/>
              </w:rPr>
            </w:pPr>
          </w:p>
        </w:tc>
      </w:tr>
      <w:tr>
        <w:trPr>
          <w:trHeight w:val="249"/>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Operating Units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(2,704)</w:t>
            </w: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20,549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Equity Securities . . . . . . . . . . . . . . . . . . . . . . . . . .</w:t>
            </w:r>
          </w:p>
        </w:tc>
        <w:tc>
          <w:tcPr>
            <w:tcW w:w="6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40" w:type="dxa"/>
            <w:vAlign w:val="bottom"/>
            <w:vMerge w:val="continue"/>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44,182</w:t>
            </w:r>
          </w:p>
        </w:tc>
        <w:tc>
          <w:tcPr>
            <w:tcW w:w="5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(4,516)</w:t>
            </w: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39,666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FAIR VALUE OF FINANCIAL INSTRUMENTS</w:t>
      </w:r>
    </w:p>
    <w:p>
      <w:pPr>
        <w:spacing w:after="0" w:line="171" w:lineRule="exact"/>
        <w:rPr>
          <w:sz w:val="20"/>
          <w:szCs w:val="20"/>
          <w:color w:val="auto"/>
        </w:rPr>
      </w:pPr>
    </w:p>
    <w:p>
      <w:pPr>
        <w:ind w:right="160" w:firstLine="399"/>
        <w:spacing w:after="0" w:line="267" w:lineRule="auto"/>
        <w:rPr>
          <w:sz w:val="20"/>
          <w:szCs w:val="20"/>
          <w:color w:val="auto"/>
        </w:rPr>
      </w:pPr>
      <w:r>
        <w:rPr>
          <w:rFonts w:ascii="Times New Roman" w:cs="Times New Roman" w:eastAsia="Times New Roman" w:hAnsi="Times New Roman"/>
          <w:sz w:val="20"/>
          <w:szCs w:val="20"/>
          <w:color w:val="auto"/>
        </w:rPr>
        <w:t>The following table presents the carrying value and estimated fair value of the Company’s financial instruments not carried at fair value on the consolidated balance sheets at December 31, 2025 and 2024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7"/>
                <w:szCs w:val="17"/>
                <w:color w:val="auto"/>
              </w:rPr>
            </w:pP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0"/>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r>
      <w:tr>
        <w:trPr>
          <w:trHeight w:val="196"/>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Carrying</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Carrying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Estimated</w:t>
            </w:r>
          </w:p>
        </w:tc>
      </w:tr>
      <w:tr>
        <w:trPr>
          <w:trHeight w:val="203"/>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89"/>
              </w:rPr>
              <w:t>Value</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00" w:type="dxa"/>
            <w:vAlign w:val="bottom"/>
          </w:tcPr>
          <w:p>
            <w:pPr>
              <w:spacing w:after="0"/>
              <w:rPr>
                <w:sz w:val="17"/>
                <w:szCs w:val="17"/>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89"/>
              </w:rPr>
              <w:t>Value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30"/>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4"/>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 Level 1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6,467</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6,467</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9,017</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9,017</w:t>
            </w:r>
          </w:p>
        </w:tc>
      </w:tr>
      <w:tr>
        <w:trPr>
          <w:trHeight w:val="299"/>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 Level 1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34,652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34,652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8,344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8,344</w:t>
            </w:r>
          </w:p>
        </w:tc>
      </w:tr>
      <w:tr>
        <w:trPr>
          <w:trHeight w:val="299"/>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Commercial Loans and Investments – Level 2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104,804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5"/>
              </w:rPr>
              <w:t>109,828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105,043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110,665</w:t>
            </w:r>
          </w:p>
        </w:tc>
      </w:tr>
      <w:tr>
        <w:trPr>
          <w:trHeight w:val="299"/>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 Level 2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616,345</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5"/>
              </w:rPr>
              <w:t>608,419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518,993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508,309</w:t>
            </w:r>
          </w:p>
        </w:tc>
      </w:tr>
    </w:tbl>
    <w:p>
      <w:pPr>
        <w:spacing w:after="0" w:line="196" w:lineRule="exact"/>
        <w:rPr>
          <w:sz w:val="20"/>
          <w:szCs w:val="20"/>
          <w:color w:val="auto"/>
        </w:rPr>
      </w:pPr>
    </w:p>
    <w:p>
      <w:pPr>
        <w:jc w:val="both"/>
        <w:ind w:right="80" w:firstLine="399"/>
        <w:spacing w:after="0" w:line="258" w:lineRule="auto"/>
        <w:rPr>
          <w:sz w:val="20"/>
          <w:szCs w:val="20"/>
          <w:color w:val="auto"/>
        </w:rPr>
      </w:pPr>
      <w:r>
        <w:rPr>
          <w:rFonts w:ascii="Times New Roman" w:cs="Times New Roman" w:eastAsia="Times New Roman" w:hAnsi="Times New Roman"/>
          <w:sz w:val="20"/>
          <w:szCs w:val="20"/>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F-26</w:t>
      </w:r>
    </w:p>
    <w:p>
      <w:pPr>
        <w:sectPr>
          <w:pgSz w:w="11880" w:h="15480" w:orient="portrait"/>
          <w:cols w:equalWidth="0" w:num="1">
            <w:col w:w="9100"/>
          </w:cols>
          <w:pgMar w:left="1400" w:top="1025" w:right="1380" w:bottom="70" w:gutter="0" w:footer="0" w:header="0"/>
          <w:type w:val="continuous"/>
        </w:sectPr>
      </w:pPr>
    </w:p>
    <w:bookmarkStart w:id="102" w:name="page103"/>
    <w:bookmarkEnd w:id="102"/>
    <w:p>
      <w:pPr>
        <w:ind w:right="20" w:firstLine="399"/>
        <w:spacing w:after="0" w:line="267" w:lineRule="auto"/>
        <w:rPr>
          <w:sz w:val="20"/>
          <w:szCs w:val="20"/>
          <w:color w:val="auto"/>
        </w:rPr>
      </w:pPr>
      <w:r>
        <w:rPr>
          <w:rFonts w:ascii="Times New Roman" w:cs="Times New Roman" w:eastAsia="Times New Roman" w:hAnsi="Times New Roman"/>
          <w:sz w:val="20"/>
          <w:szCs w:val="20"/>
          <w:color w:val="auto"/>
        </w:rPr>
        <w:t>The following table presents the fair value of assets (liabilities) measured on a recurring basis by level as of December 31, 2025 and 2024 (in thousands). See Note 17, “Interest Rate Swaps” for further disclosure related to the Company’s interest rate swaps.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gridSpan w:val="9"/>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 at Reporting Date Using</w:t>
            </w: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120" w:type="dxa"/>
            <w:vAlign w:val="bottom"/>
          </w:tcPr>
          <w:p>
            <w:pPr>
              <w:spacing w:after="0"/>
              <w:rPr>
                <w:sz w:val="16"/>
                <w:szCs w:val="16"/>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in Active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5"/>
                <w:szCs w:val="15"/>
                <w:color w:val="auto"/>
              </w:rPr>
            </w:pPr>
          </w:p>
        </w:tc>
        <w:tc>
          <w:tcPr>
            <w:tcW w:w="900" w:type="dxa"/>
            <w:vAlign w:val="bottom"/>
            <w:gridSpan w:val="2"/>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80"/>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Markets for</w:t>
            </w:r>
          </w:p>
        </w:tc>
        <w:tc>
          <w:tcPr>
            <w:tcW w:w="98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Observable</w:t>
            </w:r>
          </w:p>
        </w:tc>
        <w:tc>
          <w:tcPr>
            <w:tcW w:w="1020" w:type="dxa"/>
            <w:vAlign w:val="bottom"/>
            <w:gridSpan w:val="3"/>
          </w:tcPr>
          <w:p>
            <w:pPr>
              <w:jc w:val="center"/>
              <w:ind w:left="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Unobservable</w:t>
            </w:r>
          </w:p>
        </w:tc>
        <w:tc>
          <w:tcPr>
            <w:tcW w:w="0" w:type="dxa"/>
            <w:vAlign w:val="bottom"/>
          </w:tcPr>
          <w:p>
            <w:pPr>
              <w:spacing w:after="0"/>
              <w:rPr>
                <w:sz w:val="1"/>
                <w:szCs w:val="1"/>
                <w:color w:val="auto"/>
              </w:rPr>
            </w:pPr>
          </w:p>
        </w:tc>
      </w:tr>
      <w:tr>
        <w:trPr>
          <w:trHeight w:val="180"/>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Identical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Inputs</w:t>
            </w:r>
          </w:p>
        </w:tc>
        <w:tc>
          <w:tcPr>
            <w:tcW w:w="120" w:type="dxa"/>
            <w:vAlign w:val="bottom"/>
          </w:tcPr>
          <w:p>
            <w:pPr>
              <w:spacing w:after="0"/>
              <w:rPr>
                <w:sz w:val="15"/>
                <w:szCs w:val="15"/>
                <w:color w:val="auto"/>
              </w:rPr>
            </w:pPr>
          </w:p>
        </w:tc>
        <w:tc>
          <w:tcPr>
            <w:tcW w:w="9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20" w:type="dxa"/>
            <w:vAlign w:val="bottom"/>
          </w:tcPr>
          <w:p>
            <w:pPr>
              <w:spacing w:after="0"/>
              <w:rPr>
                <w:sz w:val="17"/>
                <w:szCs w:val="17"/>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25"/>
        </w:trPr>
        <w:tc>
          <w:tcPr>
            <w:tcW w:w="4880" w:type="dxa"/>
            <w:vAlign w:val="bottom"/>
            <w:vMerge w:val="restart"/>
          </w:tcPr>
          <w:p>
            <w:pPr>
              <w:jc w:val="right"/>
              <w:ind w:right="3200"/>
              <w:spacing w:after="0"/>
              <w:rPr>
                <w:sz w:val="20"/>
                <w:szCs w:val="20"/>
                <w:color w:val="auto"/>
              </w:rPr>
            </w:pPr>
            <w:r>
              <w:rPr>
                <w:rFonts w:ascii="Times New Roman" w:cs="Times New Roman" w:eastAsia="Times New Roman" w:hAnsi="Times New Roman"/>
                <w:sz w:val="20"/>
                <w:szCs w:val="20"/>
                <w:b w:val="1"/>
                <w:bCs w:val="1"/>
                <w:color w:val="auto"/>
                <w:w w:val="96"/>
              </w:rPr>
              <w:t>December 31, 2025</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Hedge – 2027 Term Loan Interest Rate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Swaps . . . . . . . . .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w:t>
            </w: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66"/>
        </w:trPr>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Hedge – 2028 Term Loan Interest Rate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Swaps . . . . . . . . .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(1,351)</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5"/>
              </w:rPr>
              <w:t>(1,351)</w:t>
            </w:r>
          </w:p>
        </w:tc>
        <w:tc>
          <w:tcPr>
            <w:tcW w:w="12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66"/>
        </w:trPr>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Hedge – 2029 Term Loan Interest Rate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Swaps . . . . . . . . .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66"/>
        </w:trPr>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Hedge – 2030 Term Loan Interest Rate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Swaps . . . . . . . . .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(48)</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(48)</w:t>
            </w:r>
          </w:p>
        </w:tc>
        <w:tc>
          <w:tcPr>
            <w:tcW w:w="12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66"/>
        </w:trPr>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Hedge – Credit Facility Interest Rate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Swaps . . . . . . . . .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(497)</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(497)</w:t>
            </w:r>
          </w:p>
        </w:tc>
        <w:tc>
          <w:tcPr>
            <w:tcW w:w="12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89"/>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Investment Securities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41,324</w:t>
            </w:r>
          </w:p>
        </w:tc>
        <w:tc>
          <w:tcPr>
            <w:tcW w:w="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98"/>
              </w:rPr>
              <w:t>41,324</w:t>
            </w:r>
          </w:p>
        </w:tc>
        <w:tc>
          <w:tcPr>
            <w:tcW w:w="12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79"/>
        </w:trPr>
        <w:tc>
          <w:tcPr>
            <w:tcW w:w="4880" w:type="dxa"/>
            <w:vAlign w:val="bottom"/>
          </w:tcPr>
          <w:p>
            <w:pPr>
              <w:jc w:val="right"/>
              <w:ind w:right="3200"/>
              <w:spacing w:after="0"/>
              <w:rPr>
                <w:sz w:val="20"/>
                <w:szCs w:val="20"/>
                <w:color w:val="auto"/>
              </w:rPr>
            </w:pPr>
            <w:r>
              <w:rPr>
                <w:rFonts w:ascii="Times New Roman" w:cs="Times New Roman" w:eastAsia="Times New Roman" w:hAnsi="Times New Roman"/>
                <w:sz w:val="20"/>
                <w:szCs w:val="20"/>
                <w:b w:val="1"/>
                <w:bCs w:val="1"/>
                <w:color w:val="auto"/>
                <w:w w:val="96"/>
              </w:rPr>
              <w:t>December 31, 2024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Hedge – 2026 Term Loan Interest Rate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Swaps . . . . . . . . .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2,372</w:t>
            </w: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66"/>
        </w:trPr>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Hedge – 2027 Term Loan Interest Rate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Swaps . . . . . . . . .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5,854</w:t>
            </w: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66"/>
        </w:trPr>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Hedge – 2028 Term Loan Interest Rate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Swaps . . . . . . . . .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1,001</w:t>
            </w: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66"/>
        </w:trPr>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Hedge – 2029 Term Loan Interest Rate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Swaps . . . . . . . . .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3,099</w:t>
            </w: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66"/>
        </w:trPr>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Flow Hedge – Credit Facility Interest Rate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Swaps . . . . . . . . .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89"/>
        </w:trPr>
        <w:tc>
          <w:tcPr>
            <w:tcW w:w="4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Investment Securities . . . . . . . . . . . . . . . . . . . . .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39,666</w:t>
            </w:r>
          </w:p>
        </w:tc>
        <w:tc>
          <w:tcPr>
            <w:tcW w:w="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98"/>
              </w:rPr>
              <w:t>39,666</w:t>
            </w:r>
          </w:p>
        </w:tc>
        <w:tc>
          <w:tcPr>
            <w:tcW w:w="12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 assets were measured on a non-recurring basis as of December 31, 2025 or 2024.</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F-27</w:t>
      </w:r>
    </w:p>
    <w:p>
      <w:pPr>
        <w:sectPr>
          <w:pgSz w:w="11880" w:h="15480" w:orient="portrait"/>
          <w:cols w:equalWidth="0" w:num="1">
            <w:col w:w="9100"/>
          </w:cols>
          <w:pgMar w:left="1400" w:top="1025" w:right="1380" w:bottom="70" w:gutter="0" w:footer="0" w:header="0"/>
          <w:type w:val="continuous"/>
        </w:sectPr>
      </w:pPr>
    </w:p>
    <w:bookmarkStart w:id="103" w:name="page104"/>
    <w:bookmarkEnd w:id="103"/>
    <w:p>
      <w:pPr>
        <w:ind w:left="20"/>
        <w:spacing w:after="0"/>
        <w:rPr>
          <w:sz w:val="20"/>
          <w:szCs w:val="20"/>
          <w:color w:val="auto"/>
        </w:rPr>
      </w:pPr>
      <w:r>
        <w:rPr>
          <w:rFonts w:ascii="Times New Roman" w:cs="Times New Roman" w:eastAsia="Times New Roman" w:hAnsi="Times New Roman"/>
          <w:sz w:val="20"/>
          <w:szCs w:val="20"/>
          <w:b w:val="1"/>
          <w:bCs w:val="1"/>
          <w:color w:val="auto"/>
        </w:rPr>
        <w:t>NOTE 10. INTANGIBLE ASSETS AND LIABILITIES</w:t>
      </w:r>
    </w:p>
    <w:p>
      <w:pPr>
        <w:spacing w:after="0" w:line="171" w:lineRule="exact"/>
        <w:rPr>
          <w:sz w:val="20"/>
          <w:szCs w:val="20"/>
          <w:color w:val="auto"/>
        </w:rPr>
      </w:pPr>
    </w:p>
    <w:p>
      <w:pPr>
        <w:ind w:left="20" w:firstLine="399"/>
        <w:spacing w:after="0" w:line="266" w:lineRule="auto"/>
        <w:rPr>
          <w:sz w:val="20"/>
          <w:szCs w:val="20"/>
          <w:color w:val="auto"/>
        </w:rPr>
      </w:pPr>
      <w:r>
        <w:rPr>
          <w:rFonts w:ascii="Times New Roman" w:cs="Times New Roman" w:eastAsia="Times New Roman" w:hAnsi="Times New Roman"/>
          <w:sz w:val="20"/>
          <w:szCs w:val="20"/>
          <w:color w:val="auto"/>
        </w:rPr>
        <w:t>Intangible assets and liabilities consist of the value of above-market and below-market leases, the value of in-place leases, and the value of leasing costs, based in each case on their fair values. The gross values of certain intangible lease assets and liabilities that were fully amortized as of December 31, 2024, and the related accumulated amortization, were adjusted in the disclosure below. There was no impact to Intangible Lease Assets-Net or Intangible Lease Liabilities-Net as reported in the consolidated balance sheets as of December 31, 2024 as a result of the disclosure adjustment. Intangible assets and liabilities consisted of the following as of December 31, 2025 and 2024 (in thousands):</w:t>
      </w:r>
    </w:p>
    <w:p>
      <w:pPr>
        <w:spacing w:after="0" w:line="107"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114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Intangible Lease Assets:</w:t>
            </w: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Value of In-Place Leases . . . . . . . . . . . . . . . . . . . . . . . . . . . . . . .</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99,346</w:t>
            </w:r>
          </w:p>
        </w:tc>
        <w:tc>
          <w:tcPr>
            <w:tcW w:w="1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85,913</w:t>
            </w:r>
          </w:p>
        </w:tc>
        <w:tc>
          <w:tcPr>
            <w:tcW w:w="0" w:type="dxa"/>
            <w:vAlign w:val="bottom"/>
          </w:tcPr>
          <w:p>
            <w:pPr>
              <w:spacing w:after="0"/>
              <w:rPr>
                <w:sz w:val="1"/>
                <w:szCs w:val="1"/>
                <w:color w:val="auto"/>
              </w:rPr>
            </w:pPr>
          </w:p>
        </w:tc>
      </w:tr>
      <w:tr>
        <w:trPr>
          <w:trHeight w:val="299"/>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Value of Above Market In-Place Leases . . . . . . . . . . . . . . . . . . .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23,873</w:t>
            </w:r>
          </w:p>
        </w:tc>
        <w:tc>
          <w:tcPr>
            <w:tcW w:w="0" w:type="dxa"/>
            <w:vAlign w:val="bottom"/>
          </w:tcPr>
          <w:p>
            <w:pPr>
              <w:spacing w:after="0"/>
              <w:rPr>
                <w:sz w:val="1"/>
                <w:szCs w:val="1"/>
                <w:color w:val="auto"/>
              </w:rPr>
            </w:pPr>
          </w:p>
        </w:tc>
      </w:tr>
      <w:tr>
        <w:trPr>
          <w:trHeight w:val="302"/>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Value of Intangible Leasing Costs . . . . . . . . . . . . . . . . . . . . . . .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Sub-total Intangible Lease Assets . . . . . . . . . . . . . . . . . . . . . .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152,361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134,175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Accumulated Amortization . . . . . . . . . . . . . . . . . . . . . . . . . .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(67,651)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(54,977)</w:t>
            </w:r>
          </w:p>
        </w:tc>
        <w:tc>
          <w:tcPr>
            <w:tcW w:w="0" w:type="dxa"/>
            <w:vAlign w:val="bottom"/>
          </w:tcPr>
          <w:p>
            <w:pPr>
              <w:spacing w:after="0"/>
              <w:rPr>
                <w:sz w:val="1"/>
                <w:szCs w:val="1"/>
                <w:color w:val="auto"/>
              </w:rPr>
            </w:pPr>
          </w:p>
        </w:tc>
      </w:tr>
      <w:tr>
        <w:trPr>
          <w:trHeight w:val="286"/>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Sub-total Intangible Lease Assets – Net  . . . . . . . . . . . . . . . . .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79,198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Intangible Lease Liabilities: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Value of Below Market In-Place Leases  . . . . . . . . . . . . . . . . . . .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(42,144)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(21,448)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Sub-total Intangible Lease Liabilities  . . . . . . . . . . . . . . . . . . .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(42,144)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(21,448)</w:t>
            </w:r>
          </w:p>
        </w:tc>
        <w:tc>
          <w:tcPr>
            <w:tcW w:w="0" w:type="dxa"/>
            <w:vAlign w:val="bottom"/>
          </w:tcPr>
          <w:p>
            <w:pPr>
              <w:spacing w:after="0"/>
              <w:rPr>
                <w:sz w:val="1"/>
                <w:szCs w:val="1"/>
                <w:color w:val="auto"/>
              </w:rPr>
            </w:pPr>
          </w:p>
        </w:tc>
      </w:tr>
      <w:tr>
        <w:trPr>
          <w:trHeight w:val="302"/>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Accumulated Amortization . . . . . . . . . . . . . . . . . . . . . . . . . .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10,658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Sub-total Intangible Lease Liabilities – Net . . . . . . . . . . . . . . .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(15,124)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1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Intangible Assets and Liabilities – Net . . . . . . . . . . . . . . . . . . .</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right="400" w:firstLine="399"/>
        <w:spacing w:after="0" w:line="294" w:lineRule="auto"/>
        <w:rPr>
          <w:sz w:val="20"/>
          <w:szCs w:val="20"/>
          <w:color w:val="auto"/>
        </w:rPr>
      </w:pPr>
      <w:r>
        <w:rPr>
          <w:rFonts w:ascii="Times New Roman" w:cs="Times New Roman" w:eastAsia="Times New Roman" w:hAnsi="Times New Roman"/>
          <w:sz w:val="20"/>
          <w:szCs w:val="20"/>
          <w:color w:val="auto"/>
        </w:rPr>
        <w:t>The following table reflects the net amortization of intangible assets and liabilities during the years ended December 31, 2025, 2024, and 2023 (in thousands):</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0"/>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6"/>
        </w:trPr>
        <w:tc>
          <w:tcPr>
            <w:tcW w:w="4980" w:type="dxa"/>
            <w:vAlign w:val="bottom"/>
          </w:tcPr>
          <w:p>
            <w:pPr>
              <w:spacing w:after="0"/>
              <w:rPr>
                <w:sz w:val="17"/>
                <w:szCs w:val="17"/>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gridSpan w:val="5"/>
          </w:tcPr>
          <w:p>
            <w:pPr>
              <w:jc w:val="center"/>
              <w:ind w:left="2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40" w:type="dxa"/>
            <w:vAlign w:val="bottom"/>
            <w:gridSpan w:val="4"/>
          </w:tcPr>
          <w:p>
            <w:pPr>
              <w:jc w:val="center"/>
              <w:ind w:left="2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3"/>
        </w:trPr>
        <w:tc>
          <w:tcPr>
            <w:tcW w:w="498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020" w:type="dxa"/>
            <w:vAlign w:val="bottom"/>
            <w:gridSpan w:val="3"/>
          </w:tcPr>
          <w:p>
            <w:pPr>
              <w:jc w:val="center"/>
              <w:ind w:left="24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r>
      <w:tr>
        <w:trPr>
          <w:trHeight w:val="30"/>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8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Expense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$24,827</w:t>
            </w:r>
          </w:p>
        </w:tc>
        <w:tc>
          <w:tcPr>
            <w:tcW w:w="140" w:type="dxa"/>
            <w:vAlign w:val="bottom"/>
          </w:tcPr>
          <w:p>
            <w:pPr>
              <w:spacing w:after="0"/>
              <w:rPr>
                <w:sz w:val="24"/>
                <w:szCs w:val="24"/>
                <w:color w:val="auto"/>
              </w:rPr>
            </w:pP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$31,561</w:t>
            </w:r>
          </w:p>
        </w:tc>
        <w:tc>
          <w:tcPr>
            <w:tcW w:w="120" w:type="dxa"/>
            <w:vAlign w:val="bottom"/>
          </w:tcPr>
          <w:p>
            <w:pPr>
              <w:spacing w:after="0"/>
              <w:rPr>
                <w:sz w:val="24"/>
                <w:szCs w:val="24"/>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$18,444</w:t>
            </w:r>
          </w:p>
        </w:tc>
      </w:tr>
      <w:tr>
        <w:trPr>
          <w:trHeight w:val="302"/>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Accretion to Income Properties Revenue . . . . . . . . . . . .</w:t>
            </w:r>
          </w:p>
        </w:tc>
        <w:tc>
          <w:tcPr>
            <w:tcW w:w="260" w:type="dxa"/>
            <w:vAlign w:val="bottom"/>
            <w:gridSpan w:val="2"/>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(1,006)</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(254)</w:t>
            </w:r>
          </w:p>
        </w:tc>
        <w:tc>
          <w:tcPr>
            <w:tcW w:w="120" w:type="dxa"/>
            <w:vAlign w:val="bottom"/>
          </w:tcPr>
          <w:p>
            <w:pPr>
              <w:spacing w:after="0"/>
              <w:rPr>
                <w:sz w:val="24"/>
                <w:szCs w:val="24"/>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2,303</w:t>
            </w:r>
          </w:p>
        </w:tc>
      </w:tr>
      <w:tr>
        <w:trPr>
          <w:trHeight w:val="20"/>
        </w:trPr>
        <w:tc>
          <w:tcPr>
            <w:tcW w:w="4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9"/>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Net Amortization of Intangible Assets and Liabilities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$23,821</w:t>
            </w:r>
          </w:p>
        </w:tc>
        <w:tc>
          <w:tcPr>
            <w:tcW w:w="140" w:type="dxa"/>
            <w:vAlign w:val="bottom"/>
          </w:tcPr>
          <w:p>
            <w:pPr>
              <w:spacing w:after="0"/>
              <w:rPr>
                <w:sz w:val="24"/>
                <w:szCs w:val="24"/>
                <w:color w:val="auto"/>
              </w:rPr>
            </w:pP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$31,307</w:t>
            </w:r>
          </w:p>
        </w:tc>
        <w:tc>
          <w:tcPr>
            <w:tcW w:w="120" w:type="dxa"/>
            <w:vAlign w:val="bottom"/>
          </w:tcPr>
          <w:p>
            <w:pPr>
              <w:spacing w:after="0"/>
              <w:rPr>
                <w:sz w:val="24"/>
                <w:szCs w:val="24"/>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$20,747</w:t>
            </w: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 w:right="40" w:firstLine="399"/>
        <w:spacing w:after="0" w:line="270" w:lineRule="auto"/>
        <w:rPr>
          <w:sz w:val="20"/>
          <w:szCs w:val="20"/>
          <w:color w:val="auto"/>
        </w:rPr>
      </w:pPr>
      <w:r>
        <w:rPr>
          <w:rFonts w:ascii="Times New Roman" w:cs="Times New Roman" w:eastAsia="Times New Roman" w:hAnsi="Times New Roman"/>
          <w:sz w:val="20"/>
          <w:szCs w:val="20"/>
          <w:color w:val="auto"/>
        </w:rPr>
        <w:t>Amortization Expense for the year ended December 31, 2025 includes $2.8 million related to the acceleration of amortization of lease intangibles associated with certain leases terminated during the year. Accretion to Income Properties Revenue for the year ended December 31, 2025 includes $0.2 million related to the acceleration of amortization of lease intangibles associated with certain leases terminated during the year.</w:t>
      </w:r>
    </w:p>
    <w:p>
      <w:pPr>
        <w:spacing w:after="0" w:line="386" w:lineRule="exact"/>
        <w:rPr>
          <w:sz w:val="20"/>
          <w:szCs w:val="20"/>
          <w:color w:val="auto"/>
        </w:rPr>
      </w:pPr>
    </w:p>
    <w:p>
      <w:pPr>
        <w:ind w:left="20" w:firstLine="399"/>
        <w:spacing w:after="0" w:line="266" w:lineRule="auto"/>
        <w:rPr>
          <w:sz w:val="20"/>
          <w:szCs w:val="20"/>
          <w:color w:val="auto"/>
        </w:rPr>
      </w:pPr>
      <w:r>
        <w:rPr>
          <w:rFonts w:ascii="Times New Roman" w:cs="Times New Roman" w:eastAsia="Times New Roman" w:hAnsi="Times New Roman"/>
          <w:sz w:val="20"/>
          <w:szCs w:val="20"/>
          <w:color w:val="auto"/>
        </w:rPr>
        <w:t>Amortization expense for the year ended December 31, 2024 included an out-of-period adjustment totaling $10.1 million consisting of (i) $4.5 million associated with the acceleration of amortization for lease intangibles related to certain lease terminations that occurred prior to January 1, 2024 and (ii) $5.6 million associated with calculating amortization based on the remaining useful life of each lease on an individual basis as opposed to a property-level weighted average remaining useful lease life. Based on our quantitative and qualitative analyses, we do not consider the impact of the out-of-period adjustment to be material to our financial position or results of operations for the year ended December 31, 2024, or for any prior periods.</w:t>
      </w:r>
    </w:p>
    <w:p>
      <w:pPr>
        <w:sectPr>
          <w:pgSz w:w="11880" w:h="15480" w:orient="portrait"/>
          <w:cols w:equalWidth="0" w:num="1">
            <w:col w:w="9120"/>
          </w:cols>
          <w:pgMar w:left="138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F-28</w:t>
      </w:r>
    </w:p>
    <w:p>
      <w:pPr>
        <w:sectPr>
          <w:pgSz w:w="11880" w:h="15480" w:orient="portrait"/>
          <w:cols w:equalWidth="0" w:num="1">
            <w:col w:w="9120"/>
          </w:cols>
          <w:pgMar w:left="1380" w:top="1023" w:right="1380" w:bottom="70" w:gutter="0" w:footer="0" w:header="0"/>
          <w:type w:val="continuous"/>
        </w:sectPr>
      </w:pPr>
    </w:p>
    <w:bookmarkStart w:id="104" w:name="page105"/>
    <w:bookmarkEnd w:id="104"/>
    <w:p>
      <w:pPr>
        <w:ind w:right="140" w:firstLine="399"/>
        <w:spacing w:after="0" w:line="284" w:lineRule="auto"/>
        <w:rPr>
          <w:sz w:val="20"/>
          <w:szCs w:val="20"/>
          <w:color w:val="auto"/>
        </w:rPr>
      </w:pPr>
      <w:r>
        <w:rPr>
          <w:rFonts w:ascii="Times New Roman" w:cs="Times New Roman" w:eastAsia="Times New Roman" w:hAnsi="Times New Roman"/>
          <w:sz w:val="20"/>
          <w:szCs w:val="20"/>
          <w:color w:val="auto"/>
        </w:rPr>
        <w:t>The estimated future amortization expense (income) related to net intangible assets and liabilities is as follows (in thousands):</w:t>
      </w:r>
    </w:p>
    <w:p>
      <w:pPr>
        <w:spacing w:after="0" w:line="86"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Future</w:t>
            </w:r>
          </w:p>
        </w:tc>
        <w:tc>
          <w:tcPr>
            <w:tcW w:w="10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Net Future</w:t>
            </w:r>
          </w:p>
        </w:tc>
      </w:tr>
      <w:tr>
        <w:trPr>
          <w:trHeight w:val="180"/>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5"/>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Accretion to</w:t>
            </w:r>
          </w:p>
        </w:tc>
        <w:tc>
          <w:tcPr>
            <w:tcW w:w="1000" w:type="dxa"/>
            <w:vAlign w:val="bottom"/>
            <w:gridSpan w:val="4"/>
          </w:tcPr>
          <w:p>
            <w:pPr>
              <w:jc w:val="center"/>
              <w:ind w:left="3"/>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Amortization</w:t>
            </w:r>
          </w:p>
        </w:tc>
      </w:tr>
      <w:tr>
        <w:trPr>
          <w:trHeight w:val="180"/>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3"/>
              </w:rPr>
              <w:t>Future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Income</w:t>
            </w:r>
          </w:p>
        </w:tc>
        <w:tc>
          <w:tcPr>
            <w:tcW w:w="100" w:type="dxa"/>
            <w:vAlign w:val="bottom"/>
          </w:tcPr>
          <w:p>
            <w:pPr>
              <w:spacing w:after="0"/>
              <w:rPr>
                <w:sz w:val="15"/>
                <w:szCs w:val="15"/>
                <w:color w:val="auto"/>
              </w:rPr>
            </w:pPr>
          </w:p>
        </w:tc>
        <w:tc>
          <w:tcPr>
            <w:tcW w:w="90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of Intangible</w:t>
            </w:r>
          </w:p>
        </w:tc>
      </w:tr>
      <w:tr>
        <w:trPr>
          <w:trHeight w:val="180"/>
        </w:trPr>
        <w:tc>
          <w:tcPr>
            <w:tcW w:w="5020" w:type="dxa"/>
            <w:vAlign w:val="bottom"/>
          </w:tcPr>
          <w:p>
            <w:pPr>
              <w:spacing w:after="0"/>
              <w:rPr>
                <w:sz w:val="15"/>
                <w:szCs w:val="15"/>
                <w:color w:val="auto"/>
              </w:rPr>
            </w:pPr>
          </w:p>
        </w:tc>
        <w:tc>
          <w:tcPr>
            <w:tcW w:w="136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Amortization</w:t>
            </w:r>
          </w:p>
        </w:tc>
        <w:tc>
          <w:tcPr>
            <w:tcW w:w="40" w:type="dxa"/>
            <w:vAlign w:val="bottom"/>
          </w:tcPr>
          <w:p>
            <w:pPr>
              <w:spacing w:after="0"/>
              <w:rPr>
                <w:sz w:val="15"/>
                <w:szCs w:val="15"/>
                <w:color w:val="auto"/>
              </w:rPr>
            </w:pPr>
          </w:p>
        </w:tc>
        <w:tc>
          <w:tcPr>
            <w:tcW w:w="900" w:type="dxa"/>
            <w:vAlign w:val="bottom"/>
            <w:gridSpan w:val="4"/>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Property</w:t>
            </w:r>
          </w:p>
        </w:tc>
        <w:tc>
          <w:tcPr>
            <w:tcW w:w="100" w:type="dxa"/>
            <w:vAlign w:val="bottom"/>
          </w:tcPr>
          <w:p>
            <w:pPr>
              <w:spacing w:after="0"/>
              <w:rPr>
                <w:sz w:val="15"/>
                <w:szCs w:val="15"/>
                <w:color w:val="auto"/>
              </w:rPr>
            </w:pPr>
          </w:p>
        </w:tc>
        <w:tc>
          <w:tcPr>
            <w:tcW w:w="90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Assets and</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40" w:type="dxa"/>
            <w:vAlign w:val="bottom"/>
          </w:tcPr>
          <w:p>
            <w:pPr>
              <w:spacing w:after="0"/>
              <w:rPr>
                <w:sz w:val="17"/>
                <w:szCs w:val="17"/>
                <w:color w:val="auto"/>
              </w:rPr>
            </w:pPr>
          </w:p>
        </w:tc>
        <w:tc>
          <w:tcPr>
            <w:tcW w:w="90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1"/>
              </w:rPr>
              <w:t>Revenue</w:t>
            </w:r>
          </w:p>
        </w:tc>
        <w:tc>
          <w:tcPr>
            <w:tcW w:w="10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Liabilities</w:t>
            </w:r>
          </w:p>
        </w:tc>
      </w:tr>
      <w:tr>
        <w:trPr>
          <w:trHeight w:val="30"/>
        </w:trPr>
        <w:tc>
          <w:tcPr>
            <w:tcW w:w="5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84"/>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$20,680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(3,203)</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$17,477</w:t>
            </w:r>
          </w:p>
        </w:tc>
      </w:tr>
      <w:tr>
        <w:trPr>
          <w:trHeight w:val="29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15,538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(2,681)</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12,857</w:t>
            </w:r>
          </w:p>
        </w:tc>
      </w:tr>
      <w:tr>
        <w:trPr>
          <w:trHeight w:val="29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2028 . . . . . . . . . . . . . . . . . . . . . . . . . . . . . . . . . . . . . .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11,303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(2,394)</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8,909</w:t>
            </w:r>
          </w:p>
        </w:tc>
      </w:tr>
      <w:tr>
        <w:trPr>
          <w:trHeight w:val="29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2029 . . . . . . . . . . . . . . . . . . . . . . . . . . . . . . . . . . . . . .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7,611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(2,395)</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5,216</w:t>
            </w:r>
          </w:p>
        </w:tc>
      </w:tr>
      <w:tr>
        <w:trPr>
          <w:trHeight w:val="29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2030 . . . . . . . . . . . . . . . . . . . . . . . . . . . . . . . . . . . . . .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5,699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(1,958)</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3,741</w:t>
            </w:r>
          </w:p>
        </w:tc>
      </w:tr>
      <w:tr>
        <w:trPr>
          <w:trHeight w:val="302"/>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2031 and Thereafter  . . . . . . . . . . . . . . . . . . . . . . . . . . .</w:t>
            </w:r>
          </w:p>
        </w:tc>
        <w:tc>
          <w:tcPr>
            <w:tcW w:w="36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(9,476)</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5,024</w:t>
            </w:r>
          </w:p>
        </w:tc>
      </w:tr>
      <w:tr>
        <w:trPr>
          <w:trHeight w:val="20"/>
        </w:trPr>
        <w:tc>
          <w:tcPr>
            <w:tcW w:w="5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$75,331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w w:val="99"/>
              </w:rPr>
              <w:t>(22,107)</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$53,224</w:t>
            </w: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right="500" w:firstLine="399"/>
        <w:spacing w:after="0" w:line="284" w:lineRule="auto"/>
        <w:rPr>
          <w:sz w:val="20"/>
          <w:szCs w:val="20"/>
          <w:color w:val="auto"/>
        </w:rPr>
      </w:pPr>
      <w:r>
        <w:rPr>
          <w:rFonts w:ascii="Times New Roman" w:cs="Times New Roman" w:eastAsia="Times New Roman" w:hAnsi="Times New Roman"/>
          <w:sz w:val="20"/>
          <w:szCs w:val="20"/>
          <w:color w:val="auto"/>
        </w:rPr>
        <w:t>As of December 31, 2025, the weighted average amortization period of total intangible assets and liabilities was 7.8 years and 9.2 years,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PROVISION FOR IMPAIRMENT</w:t>
      </w:r>
    </w:p>
    <w:p>
      <w:pPr>
        <w:spacing w:after="0" w:line="171" w:lineRule="exact"/>
        <w:rPr>
          <w:sz w:val="20"/>
          <w:szCs w:val="20"/>
          <w:color w:val="auto"/>
        </w:rPr>
      </w:pPr>
    </w:p>
    <w:p>
      <w:pPr>
        <w:ind w:right="420" w:firstLine="399"/>
        <w:spacing w:after="0" w:line="284" w:lineRule="auto"/>
        <w:rPr>
          <w:sz w:val="20"/>
          <w:szCs w:val="20"/>
          <w:color w:val="auto"/>
        </w:rPr>
      </w:pPr>
      <w:r>
        <w:rPr>
          <w:rFonts w:ascii="Times New Roman" w:cs="Times New Roman" w:eastAsia="Times New Roman" w:hAnsi="Times New Roman"/>
          <w:sz w:val="20"/>
          <w:szCs w:val="20"/>
          <w:color w:val="auto"/>
        </w:rPr>
        <w:t>In the aggregate, $0.1 million, $0.7 million and $1.5 million of impairment charges were recorded during the years ended December 31, 2025, 2024 and 2023, respectively, as described below by segment.</w:t>
      </w:r>
    </w:p>
    <w:p>
      <w:pPr>
        <w:spacing w:after="0" w:line="94"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Income Properties. </w:t>
      </w:r>
      <w:r>
        <w:rPr>
          <w:rFonts w:ascii="Times New Roman" w:cs="Times New Roman" w:eastAsia="Times New Roman" w:hAnsi="Times New Roman"/>
          <w:sz w:val="20"/>
          <w:szCs w:val="20"/>
          <w:color w:val="auto"/>
        </w:rPr>
        <w:t>The Company assesses the impairment of long-lived assets whenever events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25" w:lineRule="exact"/>
        <w:rPr>
          <w:sz w:val="20"/>
          <w:szCs w:val="20"/>
          <w:color w:val="auto"/>
        </w:rPr>
      </w:pPr>
    </w:p>
    <w:p>
      <w:pPr>
        <w:ind w:right="540" w:firstLine="399"/>
        <w:spacing w:after="0" w:line="284" w:lineRule="auto"/>
        <w:rPr>
          <w:sz w:val="20"/>
          <w:szCs w:val="20"/>
          <w:color w:val="auto"/>
        </w:rPr>
      </w:pPr>
      <w:r>
        <w:rPr>
          <w:rFonts w:ascii="Times New Roman" w:cs="Times New Roman" w:eastAsia="Times New Roman" w:hAnsi="Times New Roman"/>
          <w:sz w:val="20"/>
          <w:szCs w:val="20"/>
          <w:color w:val="auto"/>
        </w:rPr>
        <w:t>There were no impairment charges on the Company’s income property portfolio during the years ended December 31, 2025 or 2024.</w:t>
      </w:r>
    </w:p>
    <w:p>
      <w:pPr>
        <w:spacing w:after="0" w:line="94"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spacing w:after="0" w:line="121" w:lineRule="exact"/>
        <w:rPr>
          <w:sz w:val="20"/>
          <w:szCs w:val="20"/>
          <w:color w:val="auto"/>
        </w:rPr>
      </w:pPr>
    </w:p>
    <w:p>
      <w:pPr>
        <w:ind w:firstLine="399"/>
        <w:spacing w:after="0" w:line="256" w:lineRule="auto"/>
        <w:rPr>
          <w:sz w:val="20"/>
          <w:szCs w:val="20"/>
          <w:color w:val="auto"/>
        </w:rPr>
      </w:pPr>
      <w:r>
        <w:rPr>
          <w:rFonts w:ascii="Times New Roman" w:cs="Times New Roman" w:eastAsia="Times New Roman" w:hAnsi="Times New Roman"/>
          <w:sz w:val="20"/>
          <w:szCs w:val="20"/>
          <w:i w:val="1"/>
          <w:iCs w:val="1"/>
          <w:color w:val="auto"/>
        </w:rPr>
        <w:t>Commercial Loans and Investments</w:t>
      </w:r>
      <w:r>
        <w:rPr>
          <w:rFonts w:ascii="Times New Roman" w:cs="Times New Roman" w:eastAsia="Times New Roman" w:hAnsi="Times New Roman"/>
          <w:sz w:val="20"/>
          <w:szCs w:val="20"/>
          <w:color w:val="auto"/>
        </w:rPr>
        <w:t>. Pursuant to ASC 326,</w:t>
      </w:r>
      <w:r>
        <w:rPr>
          <w:rFonts w:ascii="Times New Roman" w:cs="Times New Roman" w:eastAsia="Times New Roman" w:hAnsi="Times New Roman"/>
          <w:sz w:val="20"/>
          <w:szCs w:val="20"/>
          <w:i w:val="1"/>
          <w:iCs w:val="1"/>
          <w:color w:val="auto"/>
        </w:rPr>
        <w:t xml:space="preserve"> Financial Instruments — Credit Losses</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25" w:lineRule="exact"/>
        <w:rPr>
          <w:sz w:val="20"/>
          <w:szCs w:val="20"/>
          <w:color w:val="auto"/>
        </w:rPr>
      </w:pPr>
    </w:p>
    <w:p>
      <w:pPr>
        <w:ind w:right="60" w:firstLine="399"/>
        <w:spacing w:after="0" w:line="267" w:lineRule="auto"/>
        <w:rPr>
          <w:sz w:val="20"/>
          <w:szCs w:val="20"/>
          <w:color w:val="auto"/>
        </w:rPr>
      </w:pPr>
      <w:r>
        <w:rPr>
          <w:rFonts w:ascii="Times New Roman" w:cs="Times New Roman" w:eastAsia="Times New Roman" w:hAnsi="Times New Roman"/>
          <w:sz w:val="20"/>
          <w:szCs w:val="20"/>
          <w:color w:val="auto"/>
        </w:rPr>
        <w:t>The Company recorded impairment charges of $0.1 million, $0.7 million and $0.6 million related to its commercial loans and investments portfolio during the years ended December 31, 2025, 2024 and 2023, respectively</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F-29</w:t>
      </w:r>
    </w:p>
    <w:p>
      <w:pPr>
        <w:sectPr>
          <w:pgSz w:w="11880" w:h="15480" w:orient="portrait"/>
          <w:cols w:equalWidth="0" w:num="1">
            <w:col w:w="9100"/>
          </w:cols>
          <w:pgMar w:left="1400" w:top="1025" w:right="1380" w:bottom="70" w:gutter="0" w:footer="0" w:header="0"/>
          <w:type w:val="continuous"/>
        </w:sectPr>
      </w:pPr>
    </w:p>
    <w:bookmarkStart w:id="105" w:name="page106"/>
    <w:bookmarkEnd w:id="105"/>
    <w:p>
      <w:pPr>
        <w:ind w:left="10"/>
        <w:spacing w:after="0"/>
        <w:rPr>
          <w:sz w:val="20"/>
          <w:szCs w:val="20"/>
          <w:color w:val="auto"/>
        </w:rPr>
      </w:pPr>
      <w:r>
        <w:rPr>
          <w:rFonts w:ascii="Times New Roman" w:cs="Times New Roman" w:eastAsia="Times New Roman" w:hAnsi="Times New Roman"/>
          <w:sz w:val="20"/>
          <w:szCs w:val="20"/>
          <w:b w:val="1"/>
          <w:bCs w:val="1"/>
          <w:color w:val="auto"/>
        </w:rPr>
        <w:t>NOTE 12. OTHER ASSETS</w:t>
      </w:r>
    </w:p>
    <w:p>
      <w:pPr>
        <w:spacing w:after="0" w:line="171"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Other assets consisted of the following as of December 31, 2025 and 2024 (in thousands):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20"/>
                <w:szCs w:val="20"/>
                <w:color w:val="auto"/>
              </w:rPr>
              <w:t>Income Property Tenant Receivables, Net of Allowance for Doubtful</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5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Accounts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 . . . . . . . . . . .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3,936</w:t>
            </w:r>
          </w:p>
        </w:tc>
        <w:tc>
          <w:tcPr>
            <w:tcW w:w="12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3,745</w:t>
            </w:r>
          </w:p>
        </w:tc>
        <w:tc>
          <w:tcPr>
            <w:tcW w:w="0" w:type="dxa"/>
            <w:vAlign w:val="bottom"/>
          </w:tcPr>
          <w:p>
            <w:pPr>
              <w:spacing w:after="0"/>
              <w:rPr>
                <w:sz w:val="1"/>
                <w:szCs w:val="1"/>
                <w:color w:val="auto"/>
              </w:rPr>
            </w:pPr>
          </w:p>
        </w:tc>
      </w:tr>
      <w:tr>
        <w:trPr>
          <w:trHeight w:val="263"/>
        </w:trPr>
        <w:tc>
          <w:tcPr>
            <w:tcW w:w="6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Income Property Straight-line Rent Adjustment . . . . . . . . . . . . . . .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6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Income Property Leasing Commissions and Costs, Net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Operating Leases – Right-of-Use Asset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Cash Flow Hedge – Interest Rate Swap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12,517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Infrastructure Reimbursement Receivables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Prepaid Expenses, Deposits, and Other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Due from Alpine Income Property Trust, Inc.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Financing Costs, Net of Accumulated Amortization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Total Other Assets . . . . . . . . . . . . . . . . . . . . . . . . . . . . . . . . . . . .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36,207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36,201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140" w:type="dxa"/>
            <w:vAlign w:val="bottom"/>
            <w:tcBorders>
              <w:bottom w:val="single" w:sz="8" w:color="auto"/>
            </w:tcBorders>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90" w:hanging="390"/>
        <w:spacing w:after="0"/>
        <w:tabs>
          <w:tab w:leader="none" w:pos="39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$2.6 million and $1.9 million allowance for doubtful accounts as of December 31, 2025 and 2024, respectively.</w:t>
      </w:r>
    </w:p>
    <w:p>
      <w:pPr>
        <w:spacing w:after="0" w:line="2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13. EQUITY</w:t>
      </w:r>
    </w:p>
    <w:p>
      <w:pPr>
        <w:spacing w:after="0" w:line="2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SHELF REGISTRATION</w:t>
      </w:r>
    </w:p>
    <w:p>
      <w:pPr>
        <w:spacing w:after="0" w:line="165" w:lineRule="exact"/>
        <w:rPr>
          <w:sz w:val="20"/>
          <w:szCs w:val="20"/>
          <w:color w:val="auto"/>
        </w:rPr>
      </w:pPr>
    </w:p>
    <w:p>
      <w:pPr>
        <w:ind w:left="10" w:right="180" w:firstLine="399"/>
        <w:spacing w:after="0" w:line="264" w:lineRule="auto"/>
        <w:rPr>
          <w:sz w:val="20"/>
          <w:szCs w:val="20"/>
          <w:color w:val="auto"/>
        </w:rPr>
      </w:pPr>
      <w:r>
        <w:rPr>
          <w:rFonts w:ascii="Times New Roman" w:cs="Times New Roman" w:eastAsia="Times New Roman" w:hAnsi="Times New Roman"/>
          <w:sz w:val="20"/>
          <w:szCs w:val="20"/>
          <w:color w:val="auto"/>
        </w:rPr>
        <w:t>On October 11, 2022, the Company filed a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w:t>
      </w:r>
    </w:p>
    <w:p>
      <w:pPr>
        <w:spacing w:after="0" w:line="122" w:lineRule="exact"/>
        <w:rPr>
          <w:sz w:val="20"/>
          <w:szCs w:val="20"/>
          <w:color w:val="auto"/>
        </w:rPr>
      </w:pPr>
    </w:p>
    <w:p>
      <w:pPr>
        <w:ind w:left="10" w:firstLine="399"/>
        <w:spacing w:after="0" w:line="263" w:lineRule="auto"/>
        <w:rPr>
          <w:sz w:val="20"/>
          <w:szCs w:val="20"/>
          <w:color w:val="auto"/>
        </w:rPr>
      </w:pPr>
      <w:r>
        <w:rPr>
          <w:rFonts w:ascii="Times New Roman" w:cs="Times New Roman" w:eastAsia="Times New Roman" w:hAnsi="Times New Roman"/>
          <w:sz w:val="20"/>
          <w:szCs w:val="20"/>
          <w:color w:val="auto"/>
        </w:rPr>
        <w:t>On October 16, 2024, the Company filed a new shelf registration statement on Form S-3, relating to the registration and potential issuance of its common stock, preferred stock, debt securities, warrants, rights, and units with a maximum aggregate offering price of up to $500.0 million (the “2024 Registration Statement”). The Securities and Exchange Commission declared the 2024 Registration Statement effective on November 12, 2024. The 2022 Registration Statement was terminated concurrently with the effectiveness of the 2024 Registration Statement.</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EQUITY OFFERING</w:t>
      </w:r>
    </w:p>
    <w:p>
      <w:pPr>
        <w:spacing w:after="0" w:line="165" w:lineRule="exact"/>
        <w:rPr>
          <w:sz w:val="20"/>
          <w:szCs w:val="20"/>
          <w:color w:val="auto"/>
        </w:rPr>
      </w:pPr>
    </w:p>
    <w:p>
      <w:pPr>
        <w:ind w:left="10" w:right="440" w:firstLine="399"/>
        <w:spacing w:after="0" w:line="267" w:lineRule="auto"/>
        <w:rPr>
          <w:sz w:val="20"/>
          <w:szCs w:val="20"/>
          <w:color w:val="auto"/>
        </w:rPr>
      </w:pPr>
      <w:r>
        <w:rPr>
          <w:rFonts w:ascii="Times New Roman" w:cs="Times New Roman" w:eastAsia="Times New Roman" w:hAnsi="Times New Roman"/>
          <w:sz w:val="20"/>
          <w:szCs w:val="20"/>
          <w:color w:val="auto"/>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ATM PROGRAM</w:t>
      </w:r>
    </w:p>
    <w:p>
      <w:pPr>
        <w:spacing w:after="0" w:line="165" w:lineRule="exact"/>
        <w:rPr>
          <w:sz w:val="20"/>
          <w:szCs w:val="20"/>
          <w:color w:val="auto"/>
        </w:rPr>
      </w:pPr>
    </w:p>
    <w:p>
      <w:pPr>
        <w:ind w:left="10" w:right="40" w:firstLine="399"/>
        <w:spacing w:after="0" w:line="260" w:lineRule="auto"/>
        <w:rPr>
          <w:sz w:val="20"/>
          <w:szCs w:val="20"/>
          <w:color w:val="auto"/>
        </w:rPr>
      </w:pPr>
      <w:r>
        <w:rPr>
          <w:rFonts w:ascii="Times New Roman" w:cs="Times New Roman" w:eastAsia="Times New Roman" w:hAnsi="Times New Roman"/>
          <w:sz w:val="20"/>
          <w:szCs w:val="20"/>
          <w:color w:val="auto"/>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2021 ATM Program was terminated in connection with the establishment of the 2022 ATM Program, hereinafter defined.</w:t>
      </w:r>
    </w:p>
    <w:p>
      <w:pPr>
        <w:spacing w:after="0" w:line="200" w:lineRule="exact"/>
        <w:rPr>
          <w:sz w:val="20"/>
          <w:szCs w:val="20"/>
          <w:color w:val="auto"/>
        </w:rPr>
      </w:pPr>
    </w:p>
    <w:p>
      <w:pPr>
        <w:spacing w:after="0" w:line="3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F-30</w:t>
      </w:r>
    </w:p>
    <w:p>
      <w:pPr>
        <w:sectPr>
          <w:pgSz w:w="11880" w:h="15480" w:orient="portrait"/>
          <w:cols w:equalWidth="0" w:num="1">
            <w:col w:w="9110"/>
          </w:cols>
          <w:pgMar w:left="1390" w:top="1023" w:right="1380" w:bottom="69" w:gutter="0" w:footer="0" w:header="0"/>
        </w:sectPr>
      </w:pPr>
    </w:p>
    <w:bookmarkStart w:id="106" w:name="page107"/>
    <w:bookmarkEnd w:id="106"/>
    <w:p>
      <w:pPr>
        <w:ind w:firstLine="399"/>
        <w:spacing w:after="0" w:line="262" w:lineRule="auto"/>
        <w:rPr>
          <w:sz w:val="20"/>
          <w:szCs w:val="20"/>
          <w:color w:val="auto"/>
        </w:rPr>
      </w:pPr>
      <w:r>
        <w:rPr>
          <w:rFonts w:ascii="Times New Roman" w:cs="Times New Roman" w:eastAsia="Times New Roman" w:hAnsi="Times New Roman"/>
          <w:sz w:val="20"/>
          <w:szCs w:val="20"/>
          <w:color w:val="auto"/>
        </w:rPr>
        <w:t>On October 28, 2022, the Company implemented a $150.0 million “at-the-market” equity offering program (the “2022 ATM 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w:t>
      </w:r>
    </w:p>
    <w:p>
      <w:pPr>
        <w:spacing w:after="0" w:line="137" w:lineRule="exact"/>
        <w:rPr>
          <w:sz w:val="20"/>
          <w:szCs w:val="20"/>
          <w:color w:val="auto"/>
        </w:rPr>
      </w:pPr>
    </w:p>
    <w:p>
      <w:pPr>
        <w:ind w:firstLine="399"/>
        <w:spacing w:after="0" w:line="258" w:lineRule="auto"/>
        <w:rPr>
          <w:sz w:val="20"/>
          <w:szCs w:val="20"/>
          <w:color w:val="auto"/>
        </w:rPr>
      </w:pPr>
      <w:r>
        <w:rPr>
          <w:rFonts w:ascii="Times New Roman" w:cs="Times New Roman" w:eastAsia="Times New Roman" w:hAnsi="Times New Roman"/>
          <w:sz w:val="20"/>
          <w:szCs w:val="20"/>
          <w:color w:val="auto"/>
        </w:rPr>
        <w:t>In the aggregate, under the 2021 ATM Program and 2022 ATM Program, during the year ended December 31, 2022, the Company sold 1,566,026 shares for gross proceeds of $33.4 million at a weighted average price of $21.33 per share, generating net proceeds of $32.9 million after deducting transaction fees totaling $0.5 million. The Company was not active under the 2022 ATM Program during the year ended December 31, 2023. During the year ended December 31, 2024, the Company sold 7,226,192 shares under the 2022 ATM Program for gross proceeds of $134.2 million at a weighted average price of $18.58 per share, generating net proceeds of $132.2 million after deducting transaction fees of $2.0 million. The 2022 ATM Program was terminated in connection with the establishment of the 2024 ATM Program, hereinafter defined.</w:t>
      </w:r>
    </w:p>
    <w:p>
      <w:pPr>
        <w:spacing w:after="0" w:line="145" w:lineRule="exact"/>
        <w:rPr>
          <w:sz w:val="20"/>
          <w:szCs w:val="20"/>
          <w:color w:val="auto"/>
        </w:rPr>
      </w:pPr>
    </w:p>
    <w:p>
      <w:pPr>
        <w:ind w:firstLine="399"/>
        <w:spacing w:after="0" w:line="262" w:lineRule="auto"/>
        <w:rPr>
          <w:sz w:val="20"/>
          <w:szCs w:val="20"/>
          <w:color w:val="auto"/>
        </w:rPr>
      </w:pPr>
      <w:r>
        <w:rPr>
          <w:rFonts w:ascii="Times New Roman" w:cs="Times New Roman" w:eastAsia="Times New Roman" w:hAnsi="Times New Roman"/>
          <w:sz w:val="20"/>
          <w:szCs w:val="20"/>
          <w:color w:val="auto"/>
        </w:rPr>
        <w:t>On November 12, 2024, the Company implemented a $250.0 million “at-the-market” equity offering program (the “2024 ATM Program”) pursuant to which the Company may sell, from time to time, shares of the Company’s common stock. During the year ended December 31, 2024, the Company sold 1,696,601 shares under the 2024 ATM Program for gross proceeds of $33.5 million at a weighted average price of $19.77 per share, generating net proceeds of $33.0 million after deducting transaction fees of $0.5 million.</w:t>
      </w:r>
    </w:p>
    <w:p>
      <w:pPr>
        <w:spacing w:after="0" w:line="137" w:lineRule="exact"/>
        <w:rPr>
          <w:sz w:val="20"/>
          <w:szCs w:val="20"/>
          <w:color w:val="auto"/>
        </w:rPr>
      </w:pPr>
    </w:p>
    <w:p>
      <w:pPr>
        <w:ind w:right="60" w:firstLine="399"/>
        <w:spacing w:after="0" w:line="265" w:lineRule="auto"/>
        <w:rPr>
          <w:sz w:val="20"/>
          <w:szCs w:val="20"/>
          <w:color w:val="auto"/>
        </w:rPr>
      </w:pPr>
      <w:r>
        <w:rPr>
          <w:rFonts w:ascii="Times New Roman" w:cs="Times New Roman" w:eastAsia="Times New Roman" w:hAnsi="Times New Roman"/>
          <w:sz w:val="20"/>
          <w:szCs w:val="20"/>
          <w:color w:val="auto"/>
        </w:rPr>
        <w:t>In the aggregate, under the 2022 ATM Program and 2024 ATM Program, during the year ended December 31, 2024, the Company sold 8,922,793 shares for gross proceeds of $167.7 million at a weighted average price of $18.79 per share, generating net proceeds of $165.2 million after deducting transaction fees totaling $2.5 million.</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Company was not active under the 2024 ATM Program during the year ended December 31, 2025.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$216.5 million of availability remained under the 2024 ATM Program.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PREFERRED STOCK</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On June 28, 2021, the Company priced a public offering of 3,000,000 shares of its 6.375% Series 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Cumulative Redeemable Preferred Stock (the “Series A Preferred Stock”) at a public offering price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$25.00 per share. The offering closed on July 6, 2021 and generated total net proceeds to the Company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$72.4 million, after deducting the underwriting discount and expenses.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On April 4, 2024, the Company priced a public offering of 1,500,000 additional shares of the Series 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Preferred Stock, liquidation preference $25.00 per share, at a public offering price of $20.00 per share.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also granted the underwriters a 30-day option to purchase up to an additional 225,000 shares of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Series A Preferred Stock to cover over-allotments, which the underwriters exercised with respect to 218,417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on April 9, 2024. Upon closing on April 11, 2024, 1,718,417 shares of the Series A Preferred Stock</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the 218,417 shares of Series A Preferred Stock issued pursuant to the underwriters’ option)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were issued generating net proceeds of $33.1 million, after deducting the underwriting discount and offering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expenses payable by the Company.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details the public offerings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Earliest</w:t>
            </w:r>
          </w:p>
        </w:tc>
      </w:tr>
      <w:tr>
        <w:trPr>
          <w:trHeight w:val="180"/>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89"/>
              </w:rPr>
              <w:t>Dividend</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 of</w:t>
            </w:r>
          </w:p>
        </w:tc>
        <w:tc>
          <w:tcPr>
            <w:tcW w:w="8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3"/>
              </w:rPr>
              <w:t>Dividend</w:t>
            </w:r>
          </w:p>
        </w:tc>
        <w:tc>
          <w:tcPr>
            <w:tcW w:w="800" w:type="dxa"/>
            <w:vAlign w:val="bottom"/>
            <w:gridSpan w:val="2"/>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3"/>
              </w:rPr>
              <w:t>Redemption</w:t>
            </w:r>
          </w:p>
        </w:tc>
      </w:t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w:t>
            </w:r>
          </w:p>
        </w:tc>
        <w:tc>
          <w:tcPr>
            <w:tcW w:w="24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Issued</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Shares Issued</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Proceeds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Net Proceeds</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per Share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0"/>
        </w:trPr>
        <w:tc>
          <w:tcPr>
            <w:tcW w:w="2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Series A . . . . . . . . . . .</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6.375%</w:t>
            </w:r>
          </w:p>
        </w:tc>
        <w:tc>
          <w:tcPr>
            <w:tcW w:w="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July 2021</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3,000,000</w:t>
            </w:r>
          </w:p>
        </w:tc>
        <w:tc>
          <w:tcPr>
            <w:tcW w:w="2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$75,000</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$72,428</w:t>
            </w:r>
          </w:p>
        </w:tc>
        <w:tc>
          <w:tcPr>
            <w:tcW w:w="24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$0.3984</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July 2026</w:t>
            </w:r>
          </w:p>
        </w:tc>
      </w:tr>
      <w:tr>
        <w:trPr>
          <w:trHeight w:val="299"/>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Series A . . . . . . . . . . .</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6.375%</w:t>
            </w: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color w:val="auto"/>
              </w:rPr>
              <w:t>April 2024</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1,718,417</w:t>
            </w:r>
          </w:p>
        </w:tc>
        <w:tc>
          <w:tcPr>
            <w:tcW w:w="2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$34,368</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$33,055</w:t>
            </w:r>
          </w:p>
        </w:tc>
        <w:tc>
          <w:tcPr>
            <w:tcW w:w="24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$0.3984</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July 2026</w:t>
            </w:r>
          </w:p>
        </w:tc>
      </w:tr>
    </w:tbl>
    <w:p>
      <w:pPr>
        <w:spacing w:after="0" w:line="216" w:lineRule="exact"/>
        <w:rPr>
          <w:sz w:val="20"/>
          <w:szCs w:val="20"/>
          <w:color w:val="auto"/>
        </w:rPr>
      </w:pPr>
    </w:p>
    <w:p>
      <w:pPr>
        <w:ind w:firstLine="399"/>
        <w:spacing w:after="0" w:line="265" w:lineRule="auto"/>
        <w:rPr>
          <w:sz w:val="20"/>
          <w:szCs w:val="20"/>
          <w:color w:val="auto"/>
        </w:rPr>
      </w:pPr>
      <w:r>
        <w:rPr>
          <w:rFonts w:ascii="Times New Roman" w:cs="Times New Roman" w:eastAsia="Times New Roman" w:hAnsi="Times New Roman"/>
          <w:sz w:val="20"/>
          <w:szCs w:val="20"/>
          <w:color w:val="auto"/>
        </w:rPr>
        <w:t>On August 23, 2024, the Company implemented a $24.5 million “at-the-market” preferred stock equity offering program (the “2024 Preferred Stock ATM Program”) pursuant to which the Company may sell, from time to time, shares of the Company’s Series A Preferred Stock. During the year ended December 31, 2024, the Company sold 15,844 shares under the 2024 Preferred Stock ATM Program generating net proceeds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F-31</w:t>
      </w:r>
    </w:p>
    <w:p>
      <w:pPr>
        <w:sectPr>
          <w:pgSz w:w="11880" w:h="15480" w:orient="portrait"/>
          <w:cols w:equalWidth="0" w:num="1">
            <w:col w:w="9100"/>
          </w:cols>
          <w:pgMar w:left="1400" w:top="1025" w:right="1380" w:bottom="70" w:gutter="0" w:footer="0" w:header="0"/>
        </w:sectPr>
      </w:pPr>
    </w:p>
    <w:bookmarkStart w:id="107" w:name="page108"/>
    <w:bookmarkEnd w:id="107"/>
    <w:p>
      <w:pPr>
        <w:spacing w:after="0" w:line="267" w:lineRule="auto"/>
        <w:rPr>
          <w:sz w:val="20"/>
          <w:szCs w:val="20"/>
          <w:color w:val="auto"/>
        </w:rPr>
      </w:pPr>
      <w:r>
        <w:rPr>
          <w:rFonts w:ascii="Times New Roman" w:cs="Times New Roman" w:eastAsia="Times New Roman" w:hAnsi="Times New Roman"/>
          <w:sz w:val="20"/>
          <w:szCs w:val="20"/>
          <w:color w:val="auto"/>
        </w:rPr>
        <w:t>of $0.4 million at a weighted average price of $23.22 per share after deducting transaction fees of less than $0.1 million. As of December 31, 2025, $24.1 million of availability remained under the 2024 Preferred Stock ATM Program.</w:t>
      </w:r>
    </w:p>
    <w:p>
      <w:pPr>
        <w:spacing w:after="0" w:line="111" w:lineRule="exact"/>
        <w:rPr>
          <w:sz w:val="20"/>
          <w:szCs w:val="20"/>
          <w:color w:val="auto"/>
        </w:rPr>
      </w:pPr>
    </w:p>
    <w:p>
      <w:pPr>
        <w:ind w:right="20" w:firstLine="399"/>
        <w:spacing w:after="0" w:line="267" w:lineRule="auto"/>
        <w:rPr>
          <w:sz w:val="20"/>
          <w:szCs w:val="20"/>
          <w:color w:val="auto"/>
        </w:rPr>
      </w:pPr>
      <w:r>
        <w:rPr>
          <w:rFonts w:ascii="Times New Roman" w:cs="Times New Roman" w:eastAsia="Times New Roman" w:hAnsi="Times New Roman"/>
          <w:sz w:val="20"/>
          <w:szCs w:val="20"/>
          <w:color w:val="auto"/>
        </w:rPr>
        <w:t>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11"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spacing w:after="0" w:line="1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See Note 15, “Share Repurchases” for the Company’s Series A Preferred Stock repurchase activity.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165"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20"/>
          <w:szCs w:val="20"/>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pacing w:after="0" w:line="368" w:lineRule="exact"/>
        <w:rPr>
          <w:sz w:val="20"/>
          <w:szCs w:val="20"/>
          <w:color w:val="auto"/>
        </w:rPr>
      </w:pPr>
    </w:p>
    <w:p>
      <w:pPr>
        <w:ind w:right="520" w:firstLine="399"/>
        <w:spacing w:after="0" w:line="284" w:lineRule="auto"/>
        <w:rPr>
          <w:sz w:val="20"/>
          <w:szCs w:val="20"/>
          <w:color w:val="auto"/>
        </w:rPr>
      </w:pPr>
      <w:r>
        <w:rPr>
          <w:rFonts w:ascii="Times New Roman" w:cs="Times New Roman" w:eastAsia="Times New Roman" w:hAnsi="Times New Roman"/>
          <w:sz w:val="20"/>
          <w:szCs w:val="20"/>
          <w:color w:val="auto"/>
        </w:rPr>
        <w:t>The following table outlines dividends declared and paid for each issuance of CTO’s stock during the years ended December 31, 2025, 2024, and 2023 (in thousands, except per share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2"/>
              </w:rPr>
              <w:t>Year Ended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rPr>
                <w:sz w:val="17"/>
                <w:szCs w:val="17"/>
                <w:color w:val="auto"/>
              </w:rPr>
            </w:pP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0"/>
        </w:trPr>
        <w:tc>
          <w:tcPr>
            <w:tcW w:w="5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Series A Preferred Stock</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Dividends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7,512</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6,814</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4,772</w:t>
            </w:r>
          </w:p>
        </w:tc>
        <w:tc>
          <w:tcPr>
            <w:tcW w:w="0" w:type="dxa"/>
            <w:vAlign w:val="bottom"/>
          </w:tcPr>
          <w:p>
            <w:pPr>
              <w:spacing w:after="0"/>
              <w:rPr>
                <w:sz w:val="1"/>
                <w:szCs w:val="1"/>
                <w:color w:val="auto"/>
              </w:rPr>
            </w:pPr>
          </w:p>
        </w:tc>
      </w:tr>
      <w:tr>
        <w:trPr>
          <w:trHeight w:val="299"/>
        </w:trPr>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Per Share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1.59</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1.59</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1.59</w:t>
            </w:r>
          </w:p>
        </w:tc>
        <w:tc>
          <w:tcPr>
            <w:tcW w:w="0" w:type="dxa"/>
            <w:vAlign w:val="bottom"/>
          </w:tcPr>
          <w:p>
            <w:pPr>
              <w:spacing w:after="0"/>
              <w:rPr>
                <w:sz w:val="1"/>
                <w:szCs w:val="1"/>
                <w:color w:val="auto"/>
              </w:rPr>
            </w:pPr>
          </w:p>
        </w:tc>
      </w:tr>
      <w:tr>
        <w:trPr>
          <w:trHeight w:val="299"/>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Dividends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w w:val="98"/>
              </w:rPr>
              <w:t>49,046</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w w:val="98"/>
              </w:rPr>
              <w:t>40,280</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w w:val="98"/>
              </w:rPr>
              <w:t>34,266</w:t>
            </w:r>
          </w:p>
        </w:tc>
        <w:tc>
          <w:tcPr>
            <w:tcW w:w="0" w:type="dxa"/>
            <w:vAlign w:val="bottom"/>
          </w:tcPr>
          <w:p>
            <w:pPr>
              <w:spacing w:after="0"/>
              <w:rPr>
                <w:sz w:val="1"/>
                <w:szCs w:val="1"/>
                <w:color w:val="auto"/>
              </w:rPr>
            </w:pPr>
          </w:p>
        </w:tc>
      </w:tr>
      <w:tr>
        <w:trPr>
          <w:trHeight w:val="299"/>
        </w:trPr>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Per Share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1.52</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1.52</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F-32</w:t>
      </w:r>
    </w:p>
    <w:p>
      <w:pPr>
        <w:sectPr>
          <w:pgSz w:w="11880" w:h="15480" w:orient="portrait"/>
          <w:cols w:equalWidth="0" w:num="1">
            <w:col w:w="9100"/>
          </w:cols>
          <w:pgMar w:left="1400" w:top="1025" w:right="1380" w:bottom="70" w:gutter="0" w:footer="0" w:header="0"/>
          <w:type w:val="continuous"/>
        </w:sectPr>
      </w:pPr>
    </w:p>
    <w:bookmarkStart w:id="108" w:name="page109"/>
    <w:bookmarkEnd w:id="108"/>
    <w:p>
      <w:pPr>
        <w:ind w:left="10"/>
        <w:spacing w:after="0"/>
        <w:rPr>
          <w:sz w:val="20"/>
          <w:szCs w:val="20"/>
          <w:color w:val="auto"/>
        </w:rPr>
      </w:pPr>
      <w:r>
        <w:rPr>
          <w:rFonts w:ascii="Times New Roman" w:cs="Times New Roman" w:eastAsia="Times New Roman" w:hAnsi="Times New Roman"/>
          <w:sz w:val="20"/>
          <w:szCs w:val="20"/>
          <w:b w:val="1"/>
          <w:bCs w:val="1"/>
          <w:color w:val="auto"/>
        </w:rPr>
        <w:t>NOTE 14. COMMON STOCK AND EARNINGS PER SHARE</w:t>
      </w:r>
    </w:p>
    <w:p>
      <w:pPr>
        <w:spacing w:after="0" w:line="171" w:lineRule="exact"/>
        <w:rPr>
          <w:sz w:val="20"/>
          <w:szCs w:val="20"/>
          <w:color w:val="auto"/>
        </w:rPr>
      </w:pPr>
    </w:p>
    <w:p>
      <w:pPr>
        <w:ind w:left="10" w:firstLine="399"/>
        <w:spacing w:after="0" w:line="256" w:lineRule="auto"/>
        <w:rPr>
          <w:sz w:val="20"/>
          <w:szCs w:val="20"/>
          <w:color w:val="auto"/>
        </w:rPr>
      </w:pPr>
      <w:r>
        <w:rPr>
          <w:rFonts w:ascii="Times New Roman" w:cs="Times New Roman" w:eastAsia="Times New Roman" w:hAnsi="Times New Roman"/>
          <w:sz w:val="20"/>
          <w:szCs w:val="20"/>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on an if-converted basis.</w:t>
      </w:r>
    </w:p>
    <w:p>
      <w:pPr>
        <w:spacing w:after="0" w:line="125" w:lineRule="exact"/>
        <w:rPr>
          <w:sz w:val="20"/>
          <w:szCs w:val="20"/>
          <w:color w:val="auto"/>
        </w:rPr>
      </w:pPr>
    </w:p>
    <w:p>
      <w:pPr>
        <w:ind w:left="10" w:right="600" w:firstLine="399"/>
        <w:spacing w:after="0" w:line="284" w:lineRule="auto"/>
        <w:rPr>
          <w:sz w:val="20"/>
          <w:szCs w:val="20"/>
          <w:color w:val="auto"/>
        </w:rPr>
      </w:pPr>
      <w:r>
        <w:rPr>
          <w:rFonts w:ascii="Times New Roman" w:cs="Times New Roman" w:eastAsia="Times New Roman" w:hAnsi="Times New Roman"/>
          <w:sz w:val="20"/>
          <w:szCs w:val="20"/>
          <w:color w:val="auto"/>
        </w:rPr>
        <w:t>The following is a reconciliation of basic and diluted earnings per common share for each of the periods presented (in thousands, except share and per share data):</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1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Basic and Diluted Earnings: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(Loss) Attributable to Common Stockholders, Used</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 Basic EPS  . . . . . . . . . . . . . . . . . . . . . . . . . . . . . . . . . .</w:t>
            </w:r>
          </w:p>
        </w:tc>
        <w:tc>
          <w:tcPr>
            <w:tcW w:w="2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(8,779)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0" w:type="dxa"/>
            <w:vAlign w:val="bottom"/>
          </w:tcPr>
          <w:p>
            <w:pPr>
              <w:spacing w:after="0"/>
              <w:rPr>
                <w:sz w:val="1"/>
                <w:szCs w:val="1"/>
                <w:color w:val="auto"/>
              </w:rPr>
            </w:pPr>
          </w:p>
        </w:tc>
      </w:tr>
      <w:tr>
        <w:trPr>
          <w:trHeight w:val="307"/>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 Back: Effect of Dilutive Interest Related to 2025 Notes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w:t>
            </w:r>
          </w:p>
        </w:tc>
        <w:tc>
          <w:tcPr>
            <w:tcW w:w="2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(Loss) Attributable to Common Stockholders, Used</w:t>
            </w:r>
          </w:p>
        </w:tc>
        <w:tc>
          <w:tcPr>
            <w:tcW w:w="2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 Diluted EPS . . . . . . . . . . . . . . . . . . . . . . . . . . . . . . . . .</w:t>
            </w:r>
          </w:p>
        </w:tc>
        <w:tc>
          <w:tcPr>
            <w:tcW w:w="2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(8,779)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Basic and Diluted Shares: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Shares Outstanding, Basic . . . . . . . . . . . . .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32,267,365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5"/>
              </w:rPr>
              <w:t>25,361,379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22,529,703</w:t>
            </w:r>
          </w:p>
        </w:tc>
        <w:tc>
          <w:tcPr>
            <w:tcW w:w="0" w:type="dxa"/>
            <w:vAlign w:val="bottom"/>
          </w:tcPr>
          <w:p>
            <w:pPr>
              <w:spacing w:after="0"/>
              <w:rPr>
                <w:sz w:val="1"/>
                <w:szCs w:val="1"/>
                <w:color w:val="auto"/>
              </w:rPr>
            </w:pPr>
          </w:p>
        </w:tc>
      </w:tr>
      <w:tr>
        <w:trPr>
          <w:trHeight w:val="282"/>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Shares Applicable to Unvested Restricted Stock Using</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the Treasury Stock Method  . . . . . . . . . . . . . . . . . . . . . . . .</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39,797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7"/>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Shares Applicable to Dilutive Effect of 2025 Notes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Shares Outstanding, Diluted  . . . . . . . . . . . .</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32,292,812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5"/>
              </w:rPr>
              <w:t>25,401,176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22,529,703</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Per Share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Net Income (Loss) Attributable to Common Stockholders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Basic and Diluted . . . . . . . . . . . . . . . . . . . . . . . . . . . . . . .</w:t>
            </w:r>
          </w:p>
        </w:tc>
        <w:tc>
          <w:tcPr>
            <w:tcW w:w="2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(0.35)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40" w:type="dxa"/>
            <w:vAlign w:val="bottom"/>
            <w:tcBorders>
              <w:bottom w:val="single" w:sz="8" w:color="auto"/>
            </w:tcBorders>
          </w:tcPr>
          <w:p>
            <w:pPr>
              <w:spacing w:after="0"/>
              <w:rPr>
                <w:sz w:val="17"/>
                <w:szCs w:val="17"/>
                <w:color w:val="auto"/>
              </w:rPr>
            </w:pP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90" w:hanging="390"/>
        <w:spacing w:after="0" w:line="267" w:lineRule="auto"/>
        <w:tabs>
          <w:tab w:leader="none" w:pos="39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2025 Notes were settled during the year ended December 31, 2025. As applicable, includes interest expense, amortization of discount, amortization of fees, and other changes in net income or loss that would result from the assumed conversion of the 2025 Notes to derive FFO effective January 1, 2022 due to the implementation of ASU 2020-06 which requires presentation on an if-converted basis. For the years ended December 31, 2025, 2024 and 2023 a total of $0.6 million, $2.1 million and $2.1 million of interest, respectively, was not included as the impact of the 2025 Notes, if-converted, would be antidilutive to the net income (loss) attributable to common stockholders in each respective period.</w:t>
      </w:r>
    </w:p>
    <w:p>
      <w:pPr>
        <w:spacing w:after="0" w:line="49" w:lineRule="exact"/>
        <w:rPr>
          <w:rFonts w:ascii="Times New Roman" w:cs="Times New Roman" w:eastAsia="Times New Roman" w:hAnsi="Times New Roman"/>
          <w:sz w:val="16"/>
          <w:szCs w:val="16"/>
          <w:color w:val="auto"/>
        </w:rPr>
      </w:pPr>
    </w:p>
    <w:p>
      <w:pPr>
        <w:ind w:left="390" w:hanging="390"/>
        <w:spacing w:after="0" w:line="267" w:lineRule="auto"/>
        <w:tabs>
          <w:tab w:leader="none" w:pos="39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the Company issued 1,089,555 shares of the Company’s common stock in connection with the settlement of the 2025 Notes and such shares were included in the basic and diluted weighted average share count for the period. Due to the implementation of ASU 2020-06, a total of 0.9 million shares, 3.6 million shares, and 3.3 million shares, representing the dilutive impact of the 2025 Notes, were not included in the computation of diluted net income (loss) attributable to common stockholders for the years ended December 31, 2025, 2024 or 2023, respectively, because they were antidilutive to the net income (loss) attributable to common stockholders in each respective period.</w:t>
      </w:r>
    </w:p>
    <w:p>
      <w:pPr>
        <w:spacing w:after="0" w:line="131" w:lineRule="exact"/>
        <w:rPr>
          <w:sz w:val="20"/>
          <w:szCs w:val="20"/>
          <w:color w:val="auto"/>
        </w:rPr>
      </w:pPr>
    </w:p>
    <w:p>
      <w:pPr>
        <w:jc w:val="both"/>
        <w:ind w:left="10" w:right="200" w:firstLine="399"/>
        <w:spacing w:after="0" w:line="267" w:lineRule="auto"/>
        <w:rPr>
          <w:sz w:val="20"/>
          <w:szCs w:val="20"/>
          <w:color w:val="auto"/>
        </w:rPr>
      </w:pPr>
      <w:r>
        <w:rPr>
          <w:rFonts w:ascii="Times New Roman" w:cs="Times New Roman" w:eastAsia="Times New Roman" w:hAnsi="Times New Roman"/>
          <w:sz w:val="20"/>
          <w:szCs w:val="20"/>
          <w:color w:val="auto"/>
        </w:rPr>
        <w:t>There were 25,447 and 39,797 potentially dilutive shares related to the Company’s restricted stock for the years ended December 31, 2025 and 2024, respectively. There were no potentially dilutive securities for year ended December 31, 2023 related to the Company’s restricted stock.</w:t>
      </w:r>
    </w:p>
    <w:p>
      <w:pPr>
        <w:sectPr>
          <w:pgSz w:w="11880" w:h="15480" w:orient="portrait"/>
          <w:cols w:equalWidth="0" w:num="1">
            <w:col w:w="9110"/>
          </w:cols>
          <w:pgMar w:left="139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F-33</w:t>
      </w:r>
    </w:p>
    <w:p>
      <w:pPr>
        <w:sectPr>
          <w:pgSz w:w="11880" w:h="15480" w:orient="portrait"/>
          <w:cols w:equalWidth="0" w:num="1">
            <w:col w:w="9110"/>
          </w:cols>
          <w:pgMar w:left="1390" w:top="1023" w:right="1380" w:bottom="7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color w:val="auto"/>
        </w:rPr>
        <w:t>NOTE 15. SHARE REPURCHASES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65" w:lineRule="exact"/>
        <w:rPr>
          <w:sz w:val="20"/>
          <w:szCs w:val="20"/>
          <w:color w:val="auto"/>
        </w:rPr>
      </w:pPr>
    </w:p>
    <w:p>
      <w:pPr>
        <w:ind w:firstLine="399"/>
        <w:spacing w:after="0" w:line="247" w:lineRule="auto"/>
        <w:rPr>
          <w:sz w:val="20"/>
          <w:szCs w:val="20"/>
          <w:color w:val="auto"/>
        </w:rPr>
      </w:pPr>
      <w:r>
        <w:rPr>
          <w:rFonts w:ascii="Times New Roman" w:cs="Times New Roman" w:eastAsia="Times New Roman" w:hAnsi="Times New Roman"/>
          <w:sz w:val="20"/>
          <w:szCs w:val="20"/>
          <w:color w:val="auto"/>
        </w:rPr>
        <w:t>In February 2020, the Company’s Board of Directors approved a $10.0 million common stock repurchase program (the “$10.0 Million Common Stock Repurchase Program”). During the year ended December 31, 2020, the Company repurchased 265,695 shares of its common stock on the open market for a total cost of $4.1 million, or an average price per share of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average price per share of $19.15. No repurchases were made pursuant to the $10.0 Million Common Stock Repurchase Program during the year ended December 31, 2023.</w:t>
      </w:r>
    </w:p>
    <w:p>
      <w:pPr>
        <w:spacing w:after="0" w:line="131" w:lineRule="exact"/>
        <w:rPr>
          <w:sz w:val="20"/>
          <w:szCs w:val="20"/>
          <w:color w:val="auto"/>
        </w:rPr>
      </w:pPr>
    </w:p>
    <w:p>
      <w:pPr>
        <w:ind w:firstLine="399"/>
        <w:spacing w:after="0" w:line="248" w:lineRule="auto"/>
        <w:rPr>
          <w:sz w:val="20"/>
          <w:szCs w:val="20"/>
          <w:color w:val="auto"/>
        </w:rPr>
      </w:pPr>
      <w:r>
        <w:rPr>
          <w:rFonts w:ascii="Times New Roman" w:cs="Times New Roman" w:eastAsia="Times New Roman" w:hAnsi="Times New Roman"/>
          <w:sz w:val="20"/>
          <w:szCs w:val="20"/>
          <w:color w:val="auto"/>
        </w:rPr>
        <w:t>On February 16, 2023, the Company’s Board of Directors approved a common stock repurchase program (the “February 2023 $5.0 Million Common Stock Repurchase Program”), which eliminated the unutilized portion of the $10.0 Million Common Stock Repurchase Program. Pursuant to the February 2023 $5.0 Million Common Stock Repurchase Program, the Company was authorized to repurchase shares of its common stock for a total purchase price of up to $5.0 million. During the year ended December 31, 2023, prior to March 31, 2023, the Company repurchased 303,354 shares of its common stock on the open market for a total cost of $5.0 million, or an average price per share of $16.48, pursuant to the February 2023 $5.0 Million Common Stock Repurchase Program. Accordingly, as of March 31, 2023, no shares of the Company’s common stock remained available for repurchase under the February 2023 $5.0 Million Common Stock Repurchase Program.</w:t>
      </w:r>
    </w:p>
    <w:p>
      <w:pPr>
        <w:spacing w:after="0" w:line="370"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20"/>
          <w:szCs w:val="20"/>
          <w:color w:val="auto"/>
        </w:rPr>
        <w:t>On April 25, 2023, the Company’s Board of Directors approved a common stock repurchase program, (the “April 2023 $5.0 Million Common Stock Repurchase Program”). Pursuant to the April 2023 $5.0 Million Common Stock Repurchase Program, the Company was authorized to repurchase shares of its common stock for a total purchase price of up to $5.0 million. During the year ended December 31, 2023, the Company repurchased 65,946 shares of its common stock on the open market for a total cost of $1.0 million, or an average price per share of $15.72. The April 2023 $5.0 Million Common Stock Repurchase Program was terminated in connection with the establishment of the December 2023 $5.0 Million Common Stock Repurchase Program (hereinafter defined).</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On December 12, 2023, the Company’s Board of Directors approved a common stock repurchase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program (the “December 2023 $5.0 Million Common Stock Repurchase Program”). Pursuant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2023 $5.0 Million Common Stock Repurchase Program, the Company was authorized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repurchase shares of its common stock for a total purchase price of up to $5.0 million. During the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ended December 31, 2024, the Company repurchased 40,726 shares of its common stock on the open market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 total cost of $0.7 million, or an average price per share of $16.28 pursuant to the December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 Million Common Stock Repurchase Program. During the year ended December 31, 2025,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repurchased 266,161 shares of its common stock on the open market for a total cost of $4.3 million, or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average price per share of $16.29 pursuant to the December 2023 $5.0 Million Common Stock Repurchase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Program. Accordingly, as of the date that the Company’s Board of Directors established the September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Million Common Stock Repurchase Program (hereinafter defined), no shares of the Company’s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remained available for repurchase under the December 2023 $5.0 Million Common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Repurchase Program.</w:t>
      </w:r>
    </w:p>
    <w:p>
      <w:pPr>
        <w:spacing w:after="0" w:line="165"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20"/>
          <w:szCs w:val="20"/>
          <w:color w:val="auto"/>
        </w:rPr>
        <w:t>On September 24, 2025, the Company’s Board of Directors approved a common stock repurchase program, which is expected to be in effect until the approved dollar amount has been used to repurchase shares (the “September 2025 $10.0 Million Common Stock Repurchase Program”). Pursuant to the September 2025 $10.0 Million Common Stock Repurchase Program, the Company may repurchase shares of its common stock for a total purchase price of up to $10.0 million. Shares may be purchased under the September 2025 $10.0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September 2025 $10.0 Million Common Stock Repurchase Program does not obligate the Company to acquire any particular amount of shares of its common stock and may be modified or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F-34</w:t>
      </w:r>
    </w:p>
    <w:p>
      <w:pPr>
        <w:sectPr>
          <w:pgSz w:w="11880" w:h="15480" w:orient="portrait"/>
          <w:cols w:equalWidth="0" w:num="1">
            <w:col w:w="9100"/>
          </w:cols>
          <w:pgMar w:left="1400" w:top="1023" w:right="1380" w:bottom="71" w:gutter="0" w:footer="0" w:header="0"/>
        </w:sectPr>
      </w:pPr>
    </w:p>
    <w:bookmarkStart w:id="110" w:name="page111"/>
    <w:bookmarkEnd w:id="110"/>
    <w:p>
      <w:pPr>
        <w:ind w:left="10" w:right="120"/>
        <w:spacing w:after="0" w:line="254" w:lineRule="auto"/>
        <w:rPr>
          <w:sz w:val="20"/>
          <w:szCs w:val="20"/>
          <w:color w:val="auto"/>
        </w:rPr>
      </w:pPr>
      <w:r>
        <w:rPr>
          <w:rFonts w:ascii="Times New Roman" w:cs="Times New Roman" w:eastAsia="Times New Roman" w:hAnsi="Times New Roman"/>
          <w:sz w:val="20"/>
          <w:szCs w:val="20"/>
          <w:color w:val="auto"/>
        </w:rPr>
        <w:t>suspended. During the year ended December 31, 2025, the Company repurchased 307,563 shares of its common stock on the open market for a total cost of $5.0 million, or an average price per share of $16.26 under the September 2025 $10 Million Common Stock Repurchase Program. As of December 31, 2025, $5.0 million remained available for repurchases under the September 2025 $10 Million Common Stock Repurchase Program.</w:t>
      </w:r>
    </w:p>
    <w:p>
      <w:pPr>
        <w:spacing w:after="0" w:line="120" w:lineRule="exact"/>
        <w:rPr>
          <w:sz w:val="20"/>
          <w:szCs w:val="20"/>
          <w:color w:val="auto"/>
        </w:rPr>
      </w:pPr>
    </w:p>
    <w:p>
      <w:pPr>
        <w:ind w:left="10" w:firstLine="399"/>
        <w:spacing w:after="0" w:line="257" w:lineRule="auto"/>
        <w:rPr>
          <w:sz w:val="20"/>
          <w:szCs w:val="20"/>
          <w:color w:val="auto"/>
        </w:rPr>
      </w:pPr>
      <w:r>
        <w:rPr>
          <w:rFonts w:ascii="Times New Roman" w:cs="Times New Roman" w:eastAsia="Times New Roman" w:hAnsi="Times New Roman"/>
          <w:sz w:val="20"/>
          <w:szCs w:val="20"/>
          <w:color w:val="auto"/>
        </w:rPr>
        <w:t>In the aggregate, under the December 2023 $5.0 Million Common Stock Repurchase Program and September 2025 $10.0 Million Common Stock Repurchase Program, the Company repurchased 573,724 shares of its common stock on the open market for a total cost of $9.3 million, or an average price per share of $16.27 during the year ended December 31, 2025.</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SERIES A PREFERRED STOCK REPURCHASE PROGRAM</w:t>
      </w:r>
    </w:p>
    <w:p>
      <w:pPr>
        <w:spacing w:after="0" w:line="16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On February 16, 2023, the Company’s Board of Directors approved a Series A Preferred Stock</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repurchase program, which is expected to be in effect until the approved dollar amount has been used to</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repurchase shares (the “Series A Preferred Stock Repurchase Program”). Pursuant to the Series A Preferred</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Stock Repurchase Program, the Company may repurchase shares of its Series A Preferred Stock for a</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total purchase price of up to $3.0 million. Shares may be purchased under the Series A Preferred Stock</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Repurchase Program in open market transactions, including through block purchases, through privately</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negotiated transactions or pursuant to any trading plan that may be adopted in accordance with Rule 10b5-1</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under the Exchange Act. The Series A Preferred Stock Repurchase Program does not obligate the Company</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to acquire any particular amount of shares of its Series A Preferred Stock and may be modified or</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suspended. During the year ended December 31, 2023, the Company repurchased 21,192 shares of Series A</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Preferred Stock on the open market for a total cost of $0.4 million, or an average price per share of</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$18.45. No shares of the Company’s Series A Preferred Stock were repurchased under the Series A Preferred</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Stock Repurchase Program during the years ended December 31, 2025 or 2024.</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16. LONG-TERM DEBT</w:t>
      </w:r>
    </w:p>
    <w:p>
      <w:pPr>
        <w:spacing w:after="0" w:line="171" w:lineRule="exact"/>
        <w:rPr>
          <w:sz w:val="20"/>
          <w:szCs w:val="20"/>
          <w:color w:val="auto"/>
        </w:rPr>
      </w:pPr>
    </w:p>
    <w:p>
      <w:pPr>
        <w:ind w:left="10" w:right="300" w:firstLine="399"/>
        <w:spacing w:after="0" w:line="279" w:lineRule="auto"/>
        <w:rPr>
          <w:sz w:val="20"/>
          <w:szCs w:val="20"/>
          <w:color w:val="auto"/>
        </w:rPr>
      </w:pPr>
      <w:r>
        <w:rPr>
          <w:rFonts w:ascii="Times New Roman" w:cs="Times New Roman" w:eastAsia="Times New Roman" w:hAnsi="Times New Roman"/>
          <w:sz w:val="20"/>
          <w:szCs w:val="20"/>
          <w:color w:val="auto"/>
        </w:rPr>
        <w:t>As of December 31, 2025, the Company’s outstanding indebtedness, at face value, was as follows (in thousands):</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Wtd.</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76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Debt</w:t>
            </w:r>
          </w:p>
        </w:tc>
        <w:tc>
          <w:tcPr>
            <w:tcW w:w="2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24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120" w:type="dxa"/>
            <w:vAlign w:val="bottom"/>
          </w:tcPr>
          <w:p>
            <w:pPr>
              <w:spacing w:after="0"/>
              <w:rPr>
                <w:sz w:val="17"/>
                <w:szCs w:val="17"/>
                <w:color w:val="auto"/>
              </w:rPr>
            </w:pPr>
          </w:p>
        </w:tc>
        <w:tc>
          <w:tcPr>
            <w:tcW w:w="7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w w:val="94"/>
              </w:rPr>
              <w:t>Avg. Rate</w:t>
            </w:r>
          </w:p>
        </w:tc>
        <w:tc>
          <w:tcPr>
            <w:tcW w:w="0" w:type="dxa"/>
            <w:vAlign w:val="bottom"/>
          </w:tcPr>
          <w:p>
            <w:pPr>
              <w:spacing w:after="0"/>
              <w:rPr>
                <w:sz w:val="1"/>
                <w:szCs w:val="1"/>
                <w:color w:val="auto"/>
              </w:rPr>
            </w:pPr>
          </w:p>
        </w:tc>
      </w:tr>
      <w:tr>
        <w:trPr>
          <w:trHeight w:val="250"/>
        </w:trPr>
        <w:tc>
          <w:tcPr>
            <w:tcW w:w="4060" w:type="dxa"/>
            <w:vAlign w:val="bottom"/>
          </w:tcPr>
          <w:p>
            <w:pPr>
              <w:jc w:val="right"/>
              <w:ind w:right="140"/>
              <w:spacing w:after="0" w:line="250" w:lineRule="exact"/>
              <w:rPr>
                <w:sz w:val="20"/>
                <w:szCs w:val="20"/>
                <w:color w:val="auto"/>
              </w:rPr>
            </w:pPr>
            <w:r>
              <w:rPr>
                <w:rFonts w:ascii="Times New Roman" w:cs="Times New Roman" w:eastAsia="Times New Roman" w:hAnsi="Times New Roman"/>
                <w:sz w:val="20"/>
                <w:szCs w:val="20"/>
                <w:color w:val="auto"/>
              </w:rPr>
              <w:t>. . . . . . . . . . . . . . . . . . . .CreditFacility</w:t>
            </w:r>
            <w:r>
              <w:rPr>
                <w:rFonts w:ascii="Times New Roman" w:cs="Times New Roman" w:eastAsia="Times New Roman" w:hAnsi="Times New Roman"/>
                <w:sz w:val="25"/>
                <w:szCs w:val="25"/>
                <w:color w:val="auto"/>
                <w:vertAlign w:val="superscript"/>
              </w:rPr>
              <w:t>(1)</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$151,000</w:t>
            </w:r>
          </w:p>
        </w:tc>
        <w:tc>
          <w:tcPr>
            <w:tcW w:w="240" w:type="dxa"/>
            <w:vAlign w:val="bottom"/>
          </w:tcPr>
          <w:p>
            <w:pPr>
              <w:spacing w:after="0"/>
              <w:rPr>
                <w:sz w:val="21"/>
                <w:szCs w:val="21"/>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January 2027</w:t>
            </w:r>
          </w:p>
        </w:tc>
        <w:tc>
          <w:tcPr>
            <w:tcW w:w="240" w:type="dxa"/>
            <w:vAlign w:val="bottom"/>
          </w:tcPr>
          <w:p>
            <w:pPr>
              <w:spacing w:after="0"/>
              <w:rPr>
                <w:sz w:val="21"/>
                <w:szCs w:val="21"/>
                <w:color w:val="auto"/>
              </w:rPr>
            </w:pPr>
          </w:p>
        </w:tc>
        <w:tc>
          <w:tcPr>
            <w:tcW w:w="15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SOFR + 0.10%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color w:val="auto"/>
                <w:w w:val="96"/>
              </w:rPr>
              <w:t>5.00%</w:t>
            </w:r>
          </w:p>
        </w:tc>
        <w:tc>
          <w:tcPr>
            <w:tcW w:w="0" w:type="dxa"/>
            <w:vAlign w:val="bottom"/>
          </w:tcPr>
          <w:p>
            <w:pPr>
              <w:spacing w:after="0"/>
              <w:rPr>
                <w:sz w:val="1"/>
                <w:szCs w:val="1"/>
                <w:color w:val="auto"/>
              </w:rPr>
            </w:pPr>
          </w:p>
        </w:tc>
      </w:tr>
      <w:tr>
        <w:trPr>
          <w:trHeight w:val="259"/>
        </w:trPr>
        <w:tc>
          <w:tcPr>
            <w:tcW w:w="406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2027 Term Loan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 . . . . .</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2.20%]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60" w:type="dxa"/>
            <w:vAlign w:val="bottom"/>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24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January 2027</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rPr>
              <w:t>SOFR + 0.10% +</w:t>
            </w:r>
          </w:p>
        </w:tc>
        <w:tc>
          <w:tcPr>
            <w:tcW w:w="7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w w:val="96"/>
              </w:rPr>
              <w:t>2.80%</w:t>
            </w:r>
          </w:p>
        </w:tc>
        <w:tc>
          <w:tcPr>
            <w:tcW w:w="0" w:type="dxa"/>
            <w:vAlign w:val="bottom"/>
          </w:tcPr>
          <w:p>
            <w:pPr>
              <w:spacing w:after="0"/>
              <w:rPr>
                <w:sz w:val="1"/>
                <w:szCs w:val="1"/>
                <w:color w:val="auto"/>
              </w:rPr>
            </w:pPr>
          </w:p>
        </w:tc>
      </w:tr>
      <w:tr>
        <w:trPr>
          <w:trHeight w:val="259"/>
        </w:trPr>
        <w:tc>
          <w:tcPr>
            <w:tcW w:w="406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2028 Term Loan</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 . . . . . . . . . . . . .</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2.20%]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60" w:type="dxa"/>
            <w:vAlign w:val="bottom"/>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24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January 2028</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rPr>
              <w:t>SOFR + 0.10% +</w:t>
            </w:r>
          </w:p>
        </w:tc>
        <w:tc>
          <w:tcPr>
            <w:tcW w:w="7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w w:val="96"/>
              </w:rPr>
              <w:t>5.18%</w:t>
            </w:r>
          </w:p>
        </w:tc>
        <w:tc>
          <w:tcPr>
            <w:tcW w:w="0" w:type="dxa"/>
            <w:vAlign w:val="bottom"/>
          </w:tcPr>
          <w:p>
            <w:pPr>
              <w:spacing w:after="0"/>
              <w:rPr>
                <w:sz w:val="1"/>
                <w:szCs w:val="1"/>
                <w:color w:val="auto"/>
              </w:rPr>
            </w:pPr>
          </w:p>
        </w:tc>
      </w:tr>
      <w:tr>
        <w:trPr>
          <w:trHeight w:val="259"/>
        </w:trPr>
        <w:tc>
          <w:tcPr>
            <w:tcW w:w="406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2029 Term Loan</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 . . . . . . . . . . . . . . . . .</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[1.20% – 2.15%]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60" w:type="dxa"/>
            <w:vAlign w:val="bottom"/>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24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September 2029</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rPr>
              <w:t>SOFR +</w:t>
            </w:r>
          </w:p>
        </w:tc>
        <w:tc>
          <w:tcPr>
            <w:tcW w:w="7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w w:val="96"/>
              </w:rPr>
              <w:t>4.21%</w:t>
            </w:r>
          </w:p>
        </w:tc>
        <w:tc>
          <w:tcPr>
            <w:tcW w:w="0" w:type="dxa"/>
            <w:vAlign w:val="bottom"/>
          </w:tcPr>
          <w:p>
            <w:pPr>
              <w:spacing w:after="0"/>
              <w:rPr>
                <w:sz w:val="1"/>
                <w:szCs w:val="1"/>
                <w:color w:val="auto"/>
              </w:rPr>
            </w:pPr>
          </w:p>
        </w:tc>
      </w:tr>
      <w:tr>
        <w:trPr>
          <w:trHeight w:val="259"/>
        </w:trPr>
        <w:tc>
          <w:tcPr>
            <w:tcW w:w="406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2030 Term Loan</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 . . . . . . . . . . . . . . . . .</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[1.20% – 2.15%]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60" w:type="dxa"/>
            <w:vAlign w:val="bottom"/>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24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September 2030</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rPr>
              <w:t>SOFR +</w:t>
            </w:r>
          </w:p>
        </w:tc>
        <w:tc>
          <w:tcPr>
            <w:tcW w:w="7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w w:val="96"/>
              </w:rPr>
              <w:t>4.24%</w:t>
            </w:r>
          </w:p>
        </w:tc>
        <w:tc>
          <w:tcPr>
            <w:tcW w:w="0" w:type="dxa"/>
            <w:vAlign w:val="bottom"/>
          </w:tcPr>
          <w:p>
            <w:pPr>
              <w:spacing w:after="0"/>
              <w:rPr>
                <w:sz w:val="1"/>
                <w:szCs w:val="1"/>
                <w:color w:val="auto"/>
              </w:rPr>
            </w:pPr>
          </w:p>
        </w:tc>
      </w:tr>
      <w:tr>
        <w:trPr>
          <w:trHeight w:val="259"/>
        </w:trPr>
        <w:tc>
          <w:tcPr>
            <w:tcW w:w="4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[1.20% – 2.15%]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0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Mortgage Note Payable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17,800</w:t>
            </w:r>
          </w:p>
        </w:tc>
        <w:tc>
          <w:tcPr>
            <w:tcW w:w="24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August 2026</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4.060%</w:t>
            </w:r>
          </w:p>
        </w:tc>
        <w:tc>
          <w:tcPr>
            <w:tcW w:w="12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4.06%</w:t>
            </w:r>
          </w:p>
        </w:tc>
        <w:tc>
          <w:tcPr>
            <w:tcW w:w="0" w:type="dxa"/>
            <w:vAlign w:val="bottom"/>
          </w:tcPr>
          <w:p>
            <w:pPr>
              <w:spacing w:after="0"/>
              <w:rPr>
                <w:sz w:val="1"/>
                <w:szCs w:val="1"/>
                <w:color w:val="auto"/>
              </w:rPr>
            </w:pPr>
          </w:p>
        </w:tc>
      </w:tr>
      <w:tr>
        <w:trPr>
          <w:trHeight w:val="20"/>
        </w:trPr>
        <w:tc>
          <w:tcPr>
            <w:tcW w:w="406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Total Long-Term Face Value Debt  . . . . . . .</w:t>
            </w: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60" w:type="dxa"/>
            <w:vAlign w:val="bottom"/>
            <w:vMerge w:val="continue"/>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618,800</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4.33%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152400</wp:posOffset>
                </wp:positionV>
                <wp:extent cx="13684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107.75pt,12pt" o:allowincell="f" strokecolor="#000000" strokeweight="0.499pt"/>
            </w:pict>
          </mc:Fallback>
        </mc:AlternateContent>
      </w:r>
    </w:p>
    <w:p>
      <w:pPr>
        <w:spacing w:after="0" w:line="324" w:lineRule="exact"/>
        <w:rPr>
          <w:sz w:val="20"/>
          <w:szCs w:val="20"/>
          <w:color w:val="auto"/>
        </w:rPr>
      </w:pPr>
    </w:p>
    <w:p>
      <w:pPr>
        <w:ind w:left="390" w:right="300" w:hanging="390"/>
        <w:spacing w:after="0" w:line="290" w:lineRule="auto"/>
        <w:tabs>
          <w:tab w:leader="none" w:pos="39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utilized interest rate swaps on $65.0 million of the Credit Facility balance to fix SOFR and achieve a weighted average fixed swap rate of 3.12% plus the 10 bps SOFR adjustment plus the applicable spread.</w:t>
      </w:r>
    </w:p>
    <w:p>
      <w:pPr>
        <w:spacing w:after="0" w:line="10" w:lineRule="exact"/>
        <w:rPr>
          <w:rFonts w:ascii="Times New Roman" w:cs="Times New Roman" w:eastAsia="Times New Roman" w:hAnsi="Times New Roman"/>
          <w:sz w:val="16"/>
          <w:szCs w:val="16"/>
          <w:color w:val="auto"/>
        </w:rPr>
      </w:pPr>
    </w:p>
    <w:p>
      <w:pPr>
        <w:ind w:left="390" w:right="160" w:hanging="390"/>
        <w:spacing w:after="0" w:line="290" w:lineRule="auto"/>
        <w:tabs>
          <w:tab w:leader="none" w:pos="39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utilized interest rate swaps on the $100.0 million 2027 Term Loan balance to fix SOFR and achieve a fixed swap rate of 1.35% plus the 10 bps SOFR adjustment plus the applicable spread.</w:t>
      </w:r>
    </w:p>
    <w:p>
      <w:pPr>
        <w:spacing w:after="0" w:line="10" w:lineRule="exact"/>
        <w:rPr>
          <w:rFonts w:ascii="Times New Roman" w:cs="Times New Roman" w:eastAsia="Times New Roman" w:hAnsi="Times New Roman"/>
          <w:sz w:val="16"/>
          <w:szCs w:val="16"/>
          <w:color w:val="auto"/>
        </w:rPr>
      </w:pPr>
    </w:p>
    <w:p>
      <w:pPr>
        <w:ind w:left="390" w:right="260" w:hanging="390"/>
        <w:spacing w:after="0" w:line="290" w:lineRule="auto"/>
        <w:tabs>
          <w:tab w:leader="none" w:pos="39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utilized interest rate swaps on the $100.0 million 2028 Term Loan balance to fix SOFR and achieve a weighted average fixed swap rate of 3.78% plus the 10 bps SOFR adjustment plus the applicable spread.</w:t>
      </w:r>
    </w:p>
    <w:p>
      <w:pPr>
        <w:spacing w:after="0" w:line="10" w:lineRule="exact"/>
        <w:rPr>
          <w:rFonts w:ascii="Times New Roman" w:cs="Times New Roman" w:eastAsia="Times New Roman" w:hAnsi="Times New Roman"/>
          <w:sz w:val="16"/>
          <w:szCs w:val="16"/>
          <w:color w:val="auto"/>
        </w:rPr>
      </w:pPr>
    </w:p>
    <w:p>
      <w:pPr>
        <w:ind w:left="390" w:right="260" w:hanging="390"/>
        <w:spacing w:after="0" w:line="290" w:lineRule="auto"/>
        <w:tabs>
          <w:tab w:leader="none" w:pos="39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utilized interest rate swaps on the $125.0 million 2029 Term Loan balance to fix SOFR and achieve a weighted average fixed swap rate of 2.91% plus the applicable spread.</w:t>
      </w:r>
    </w:p>
    <w:p>
      <w:pPr>
        <w:spacing w:after="0" w:line="10" w:lineRule="exact"/>
        <w:rPr>
          <w:rFonts w:ascii="Times New Roman" w:cs="Times New Roman" w:eastAsia="Times New Roman" w:hAnsi="Times New Roman"/>
          <w:sz w:val="16"/>
          <w:szCs w:val="16"/>
          <w:color w:val="auto"/>
        </w:rPr>
      </w:pPr>
    </w:p>
    <w:p>
      <w:pPr>
        <w:ind w:left="390" w:right="260" w:hanging="390"/>
        <w:spacing w:after="0" w:line="290" w:lineRule="auto"/>
        <w:tabs>
          <w:tab w:leader="none" w:pos="39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utilized interest rate swaps on the $125.0 million 2030 Term Loan balance to fix SOFR and achieve a weighted average fixed swap rate of 2.94% plus the applicable spread.</w:t>
      </w:r>
    </w:p>
    <w:p>
      <w:pPr>
        <w:sectPr>
          <w:pgSz w:w="11880" w:h="15480" w:orient="portrait"/>
          <w:cols w:equalWidth="0" w:num="1">
            <w:col w:w="9110"/>
          </w:cols>
          <w:pgMar w:left="1390" w:top="1025" w:right="1380" w:bottom="70" w:gutter="0" w:footer="0" w:header="0"/>
        </w:sectPr>
      </w:pPr>
    </w:p>
    <w:p>
      <w:pPr>
        <w:spacing w:after="0" w:line="26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F-35</w:t>
      </w:r>
    </w:p>
    <w:p>
      <w:pPr>
        <w:sectPr>
          <w:pgSz w:w="11880" w:h="15480" w:orient="portrait"/>
          <w:cols w:equalWidth="0" w:num="1">
            <w:col w:w="9110"/>
          </w:cols>
          <w:pgMar w:left="1390" w:top="1025" w:right="1380" w:bottom="70" w:gutter="0" w:footer="0" w:header="0"/>
          <w:type w:val="continuous"/>
        </w:sectPr>
      </w:pPr>
    </w:p>
    <w:bookmarkStart w:id="111" w:name="page112"/>
    <w:bookmarkEnd w:id="111"/>
    <w:p>
      <w:pPr>
        <w:ind w:left="10" w:firstLine="399"/>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Credit Facility. </w:t>
      </w:r>
      <w:r>
        <w:rPr>
          <w:rFonts w:ascii="Times New Roman" w:cs="Times New Roman" w:eastAsia="Times New Roman" w:hAnsi="Times New Roman"/>
          <w:sz w:val="20"/>
          <w:szCs w:val="20"/>
          <w:color w:val="auto"/>
        </w:rPr>
        <w:t>The Credit Facility, with Bank of Montreal (“BMO”) as the administrative agent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lenders 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Amendment and the Eighth Amendment, both as defined below, The Huntington National Bank, PNC Bank, National Association, and Regions Bank, were added as lenders to the Company’s Credit Facility.</w:t>
      </w:r>
    </w:p>
    <w:p>
      <w:pPr>
        <w:spacing w:after="0" w:line="12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On May 24, 2019, the Company executed the second amendment to the 2017 Amended Credit Facility</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“May 2019 Revolver Amendment”). As a result of the May 2019 Revolver Amendment, the Credit</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Facility had a total borrowing capacity of $200.0 million with the ability to increase that capacity up to</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$300.0 million during the term, subject to lender approval. The Credit Facility provides the lenders with a</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security interest in the equity of the Company subsidiaries that own the properties included in the borrowing</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base. The indebtedness outstanding under the Credit Facility accrues interest at a rate ranging from SOFR</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plus 0.10% plus 125 basis points to SOFR plus 0.10% plus 220 basis points based on the total balance</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outstanding under the Credit Facility as a percentage of the total asset value of the Company, as defined</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 the 2017 Amended Credit Facility, as amended by the Eighth Amendment. The Credit Facility also accrues</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 fee of 15 to 25 basis points for any unused portion of the borrowing capacity based on whether the</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unused portion is greater or less than 50% of the total borrowing capacity. Pursuant to the Eighth</w:t>
      </w:r>
    </w:p>
    <w:p>
      <w:pPr>
        <w:spacing w:after="0" w:line="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Amendment, the Credit Facility matures on January 31, 2027, with the ability to extend the term for 1 year.</w:t>
      </w:r>
    </w:p>
    <w:p>
      <w:pPr>
        <w:spacing w:after="0" w:line="171" w:lineRule="exact"/>
        <w:rPr>
          <w:sz w:val="20"/>
          <w:szCs w:val="20"/>
          <w:color w:val="auto"/>
        </w:rPr>
      </w:pPr>
    </w:p>
    <w:p>
      <w:pPr>
        <w:ind w:left="10" w:right="40" w:firstLine="399"/>
        <w:spacing w:after="0" w:line="257" w:lineRule="auto"/>
        <w:rPr>
          <w:sz w:val="20"/>
          <w:szCs w:val="20"/>
          <w:color w:val="auto"/>
        </w:rPr>
      </w:pPr>
      <w:r>
        <w:rPr>
          <w:rFonts w:ascii="Times New Roman" w:cs="Times New Roman" w:eastAsia="Times New Roman" w:hAnsi="Times New Roman"/>
          <w:sz w:val="20"/>
          <w:szCs w:val="20"/>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the common stock and OP Units.</w:t>
      </w:r>
    </w:p>
    <w:p>
      <w:pPr>
        <w:spacing w:after="0" w:line="126" w:lineRule="exact"/>
        <w:rPr>
          <w:sz w:val="20"/>
          <w:szCs w:val="20"/>
          <w:color w:val="auto"/>
        </w:rPr>
      </w:pPr>
    </w:p>
    <w:p>
      <w:pPr>
        <w:ind w:left="10" w:right="20" w:firstLine="399"/>
        <w:spacing w:after="0" w:line="269" w:lineRule="auto"/>
        <w:rPr>
          <w:sz w:val="20"/>
          <w:szCs w:val="20"/>
          <w:color w:val="auto"/>
        </w:rPr>
      </w:pPr>
      <w:r>
        <w:rPr>
          <w:rFonts w:ascii="Times New Roman" w:cs="Times New Roman" w:eastAsia="Times New Roman" w:hAnsi="Times New Roman"/>
          <w:sz w:val="20"/>
          <w:szCs w:val="20"/>
          <w:color w:val="auto"/>
        </w:rPr>
        <w:t>On July 1, 2020, the Company entered into the fourth amendment to the 2017 Amended Credit Facility (the “July 2020 Revolver Amendment”) whereby the tangible net worth covenant was adjusted to be more reflective of market terms. The July 2020 Revolver Amendment was effective as of March 31, 2020.</w:t>
      </w:r>
    </w:p>
    <w:p>
      <w:pPr>
        <w:spacing w:after="0" w:line="111" w:lineRule="exact"/>
        <w:rPr>
          <w:sz w:val="20"/>
          <w:szCs w:val="20"/>
          <w:color w:val="auto"/>
        </w:rPr>
      </w:pPr>
    </w:p>
    <w:p>
      <w:pPr>
        <w:ind w:left="10" w:firstLine="399"/>
        <w:spacing w:after="0" w:line="257" w:lineRule="auto"/>
        <w:rPr>
          <w:sz w:val="20"/>
          <w:szCs w:val="20"/>
          <w:color w:val="auto"/>
        </w:rPr>
      </w:pPr>
      <w:r>
        <w:rPr>
          <w:rFonts w:ascii="Times New Roman" w:cs="Times New Roman" w:eastAsia="Times New Roman" w:hAnsi="Times New Roman"/>
          <w:sz w:val="20"/>
          <w:szCs w:val="20"/>
          <w:color w:val="auto"/>
        </w:rPr>
        <w:t>On November 12, 2020, the Company entered into the fifth amendment to the 2017 Amended Credit Facility (the “November 2020 Revolver Amendment”). The November 2020 Revolver Amendment provided that, among other things, (i) 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26" w:lineRule="exact"/>
        <w:rPr>
          <w:sz w:val="20"/>
          <w:szCs w:val="20"/>
          <w:color w:val="auto"/>
        </w:rPr>
      </w:pPr>
    </w:p>
    <w:p>
      <w:pPr>
        <w:ind w:left="10" w:right="160" w:firstLine="399"/>
        <w:spacing w:after="0" w:line="251" w:lineRule="auto"/>
        <w:rPr>
          <w:sz w:val="20"/>
          <w:szCs w:val="20"/>
          <w:color w:val="auto"/>
        </w:rPr>
      </w:pPr>
      <w:r>
        <w:rPr>
          <w:rFonts w:ascii="Times New Roman" w:cs="Times New Roman" w:eastAsia="Times New Roman" w:hAnsi="Times New Roman"/>
          <w:sz w:val="20"/>
          <w:szCs w:val="20"/>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w:t>
      </w:r>
    </w:p>
    <w:p>
      <w:pPr>
        <w:spacing w:after="0" w:line="3" w:lineRule="exact"/>
        <w:rPr>
          <w:sz w:val="20"/>
          <w:szCs w:val="20"/>
          <w:color w:val="auto"/>
        </w:rPr>
      </w:pPr>
    </w:p>
    <w:p>
      <w:pPr>
        <w:ind w:left="310" w:hanging="310"/>
        <w:spacing w:after="0"/>
        <w:tabs>
          <w:tab w:leader="none" w:pos="31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 of the 2026 Term Loan (the “2026 Term Loan”) in the aggregate amount of $50.0 million,</w:t>
      </w:r>
    </w:p>
    <w:p>
      <w:pPr>
        <w:spacing w:after="0" w:line="11" w:lineRule="exact"/>
        <w:rPr>
          <w:rFonts w:ascii="Times New Roman" w:cs="Times New Roman" w:eastAsia="Times New Roman" w:hAnsi="Times New Roman"/>
          <w:sz w:val="20"/>
          <w:szCs w:val="20"/>
          <w:color w:val="auto"/>
        </w:rPr>
      </w:pPr>
    </w:p>
    <w:p>
      <w:pPr>
        <w:ind w:left="10" w:hanging="10"/>
        <w:spacing w:after="0" w:line="258" w:lineRule="auto"/>
        <w:tabs>
          <w:tab w:leader="none" w:pos="35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three months ended June 30, 2021, the Company exercised the 2026 Term Loan accordion option for $15.0 million, increasing total lender commitments to $65.0 million.</w:t>
      </w:r>
    </w:p>
    <w:p>
      <w:pPr>
        <w:spacing w:after="0" w:line="125" w:lineRule="exact"/>
        <w:rPr>
          <w:sz w:val="20"/>
          <w:szCs w:val="20"/>
          <w:color w:val="auto"/>
        </w:rPr>
      </w:pPr>
    </w:p>
    <w:p>
      <w:pPr>
        <w:ind w:left="10" w:firstLine="399"/>
        <w:spacing w:after="0" w:line="263" w:lineRule="auto"/>
        <w:rPr>
          <w:sz w:val="20"/>
          <w:szCs w:val="20"/>
          <w:color w:val="auto"/>
        </w:rPr>
      </w:pPr>
      <w:r>
        <w:rPr>
          <w:rFonts w:ascii="Times New Roman" w:cs="Times New Roman" w:eastAsia="Times New Roman" w:hAnsi="Times New Roman"/>
          <w:sz w:val="20"/>
          <w:szCs w:val="20"/>
          <w:color w:val="auto"/>
        </w:rPr>
        <w:t>On November 5, 2021, the Company entered into the seventh amendment to the 2017 Amended Credit Facility (the “November 2021 Revolver Amendment”). The November 2021 Revolver Amendment included, among other things, (i) addition of the 2027 Term Loan in the aggregate amount of $100.0 million (the “2027 Term Loan”) and (ii) joinder of KeyBank National Association, Raymond James Bank, and Synovus</w:t>
      </w:r>
    </w:p>
    <w:p>
      <w:pPr>
        <w:spacing w:after="0" w:line="27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F-36</w:t>
      </w:r>
    </w:p>
    <w:p>
      <w:pPr>
        <w:sectPr>
          <w:pgSz w:w="11880" w:h="15480" w:orient="portrait"/>
          <w:cols w:equalWidth="0" w:num="1">
            <w:col w:w="9110"/>
          </w:cols>
          <w:pgMar w:left="1390" w:top="1025" w:right="1380" w:bottom="69" w:gutter="0" w:footer="0" w:header="0"/>
        </w:sectPr>
      </w:pPr>
    </w:p>
    <w:bookmarkStart w:id="112" w:name="page113"/>
    <w:bookmarkEnd w:id="112"/>
    <w:p>
      <w:pPr>
        <w:jc w:val="both"/>
        <w:ind w:left="10" w:right="240"/>
        <w:spacing w:after="0" w:line="260" w:lineRule="auto"/>
        <w:rPr>
          <w:sz w:val="20"/>
          <w:szCs w:val="20"/>
          <w:color w:val="auto"/>
        </w:rPr>
      </w:pPr>
      <w:r>
        <w:rPr>
          <w:rFonts w:ascii="Times New Roman" w:cs="Times New Roman" w:eastAsia="Times New Roman" w:hAnsi="Times New Roman"/>
          <w:sz w:val="20"/>
          <w:szCs w:val="20"/>
          <w:color w:val="auto"/>
        </w:rPr>
        <w:t>Bank as 2027 Term Loan lenders. The November 2021 Revolver Amendment also includes an accordion option that allows the Company to request additional term loan lender commitments up to a total of $400.0 million in the aggregate.</w:t>
      </w:r>
    </w:p>
    <w:p>
      <w:pPr>
        <w:spacing w:after="0" w:line="113" w:lineRule="exact"/>
        <w:rPr>
          <w:sz w:val="20"/>
          <w:szCs w:val="20"/>
          <w:color w:val="auto"/>
        </w:rPr>
      </w:pPr>
    </w:p>
    <w:p>
      <w:pPr>
        <w:ind w:left="10" w:firstLine="399"/>
        <w:spacing w:after="0" w:line="244" w:lineRule="auto"/>
        <w:rPr>
          <w:sz w:val="20"/>
          <w:szCs w:val="20"/>
          <w:color w:val="auto"/>
        </w:rPr>
      </w:pPr>
      <w:r>
        <w:rPr>
          <w:rFonts w:ascii="Times New Roman" w:cs="Times New Roman" w:eastAsia="Times New Roman" w:hAnsi="Times New Roman"/>
          <w:sz w:val="20"/>
          <w:szCs w:val="20"/>
          <w:color w:val="auto"/>
        </w:rPr>
        <w:t>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w:t>
      </w:r>
    </w:p>
    <w:p>
      <w:pPr>
        <w:spacing w:after="0" w:line="1" w:lineRule="exact"/>
        <w:rPr>
          <w:sz w:val="20"/>
          <w:szCs w:val="20"/>
          <w:color w:val="auto"/>
        </w:rPr>
      </w:pPr>
    </w:p>
    <w:p>
      <w:pPr>
        <w:ind w:left="10" w:hanging="10"/>
        <w:spacing w:after="0" w:line="262" w:lineRule="auto"/>
        <w:tabs>
          <w:tab w:leader="none" w:pos="34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spacing w:after="0" w:line="113" w:lineRule="exact"/>
        <w:rPr>
          <w:sz w:val="20"/>
          <w:szCs w:val="20"/>
          <w:color w:val="auto"/>
        </w:rPr>
      </w:pPr>
    </w:p>
    <w:p>
      <w:pPr>
        <w:ind w:left="10" w:right="160" w:firstLine="399"/>
        <w:spacing w:after="0" w:line="262" w:lineRule="auto"/>
        <w:rPr>
          <w:sz w:val="20"/>
          <w:szCs w:val="20"/>
          <w:color w:val="auto"/>
        </w:rPr>
      </w:pPr>
      <w:r>
        <w:rPr>
          <w:rFonts w:ascii="Times New Roman" w:cs="Times New Roman" w:eastAsia="Times New Roman" w:hAnsi="Times New Roman"/>
          <w:sz w:val="20"/>
          <w:szCs w:val="20"/>
          <w:color w:val="auto"/>
        </w:rPr>
        <w:t>On December 20, 2023, the Company entered into the ninth amendment to the 2017 Amended Credit Facility (the “Ninth Amendment”), which revises certain non-monetary limitations as described in more detail in the Ninth Amendment.</w:t>
      </w:r>
    </w:p>
    <w:p>
      <w:pPr>
        <w:spacing w:after="0" w:line="113" w:lineRule="exact"/>
        <w:rPr>
          <w:sz w:val="20"/>
          <w:szCs w:val="20"/>
          <w:color w:val="auto"/>
        </w:rPr>
      </w:pPr>
    </w:p>
    <w:p>
      <w:pPr>
        <w:jc w:val="both"/>
        <w:ind w:left="10" w:right="40" w:firstLine="399"/>
        <w:spacing w:after="0" w:line="262" w:lineRule="auto"/>
        <w:rPr>
          <w:sz w:val="20"/>
          <w:szCs w:val="20"/>
          <w:color w:val="auto"/>
        </w:rPr>
      </w:pPr>
      <w:r>
        <w:rPr>
          <w:rFonts w:ascii="Times New Roman" w:cs="Times New Roman" w:eastAsia="Times New Roman" w:hAnsi="Times New Roman"/>
          <w:sz w:val="20"/>
          <w:szCs w:val="20"/>
          <w:color w:val="auto"/>
        </w:rPr>
        <w:t>At December 31, 2025, the current commitment level under the Credit Facility was $300.0 million, and the undrawn commitments available was $149.0 million. As of December 31, 2025, the Credit Facility had a $151.0 million balance outstanding.</w:t>
      </w:r>
    </w:p>
    <w:p>
      <w:pPr>
        <w:spacing w:after="0" w:line="113" w:lineRule="exact"/>
        <w:rPr>
          <w:sz w:val="20"/>
          <w:szCs w:val="20"/>
          <w:color w:val="auto"/>
        </w:rPr>
      </w:pPr>
    </w:p>
    <w:p>
      <w:pPr>
        <w:ind w:left="10" w:firstLine="399"/>
        <w:spacing w:after="0" w:line="245" w:lineRule="auto"/>
        <w:rPr>
          <w:sz w:val="20"/>
          <w:szCs w:val="20"/>
          <w:color w:val="auto"/>
        </w:rPr>
      </w:pPr>
      <w:r>
        <w:rPr>
          <w:rFonts w:ascii="Times New Roman" w:cs="Times New Roman" w:eastAsia="Times New Roman" w:hAnsi="Times New Roman"/>
          <w:sz w:val="20"/>
          <w:szCs w:val="20"/>
          <w:color w:val="auto"/>
        </w:rPr>
        <w:t>The Credit Facility is subject to customary restrictive covenants including, but not limited to, limitations on the Company’s ability to: (a) incur indebtedness; (b) make certain investments; (c) incur certain liens;</w:t>
      </w:r>
    </w:p>
    <w:p>
      <w:pPr>
        <w:spacing w:after="0" w:line="1" w:lineRule="exact"/>
        <w:rPr>
          <w:sz w:val="20"/>
          <w:szCs w:val="20"/>
          <w:color w:val="auto"/>
        </w:rPr>
      </w:pPr>
    </w:p>
    <w:p>
      <w:pPr>
        <w:ind w:left="10" w:hanging="10"/>
        <w:spacing w:after="0" w:line="251" w:lineRule="auto"/>
        <w:tabs>
          <w:tab w:leader="none" w:pos="30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24" w:lineRule="exact"/>
        <w:rPr>
          <w:sz w:val="20"/>
          <w:szCs w:val="20"/>
          <w:color w:val="auto"/>
        </w:rPr>
      </w:pPr>
    </w:p>
    <w:p>
      <w:pPr>
        <w:ind w:left="390"/>
        <w:spacing w:after="0"/>
        <w:tabs>
          <w:tab w:leader="none" w:pos="1989" w:val="left"/>
        </w:tabs>
        <w:rPr>
          <w:sz w:val="20"/>
          <w:szCs w:val="20"/>
          <w:color w:val="auto"/>
        </w:rPr>
      </w:pPr>
      <w:r>
        <w:rPr>
          <w:rFonts w:ascii="Times New Roman" w:cs="Times New Roman" w:eastAsia="Times New Roman" w:hAnsi="Times New Roman"/>
          <w:sz w:val="20"/>
          <w:szCs w:val="20"/>
          <w:i w:val="1"/>
          <w:iCs w:val="1"/>
          <w:color w:val="auto"/>
        </w:rPr>
        <w:t>2029 Term Loan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On September 30, 2024, the Company and certain subsidiaries entered into a credit</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agreement, as amended by the first amendment to credit agreement and joinder, dated as of December 20,</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2024 (as so amended, the “Initial KeyBank Credit Agreement”) with KeyBank National Association, as</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administrative agent, and certain other lenders, for a term loan (the “2029 Term Loan”) in an initial</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aggregate principal amount of $100.0 million with a maturity date of September 30, 2029. In connection</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with the Company’s execution of the Second Amendment (hereinafter defined) on September 25, 2025, the</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2029 Term Loan was upsized by an additional $25.0 million, resulting in a total principal amount of</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$125.0 million outstanding under the 2029 Term Loan as of September 30, 2025. The 2029 Term Loan</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bears interest at SOFR plus a spread based on the Company’s leverage ratio.</w:t>
      </w:r>
    </w:p>
    <w:p>
      <w:pPr>
        <w:spacing w:after="0" w:line="165" w:lineRule="exact"/>
        <w:rPr>
          <w:sz w:val="20"/>
          <w:szCs w:val="20"/>
          <w:color w:val="auto"/>
        </w:rPr>
      </w:pPr>
    </w:p>
    <w:p>
      <w:pPr>
        <w:ind w:left="10" w:right="60" w:firstLine="399"/>
        <w:spacing w:after="0" w:line="251" w:lineRule="auto"/>
        <w:rPr>
          <w:sz w:val="20"/>
          <w:szCs w:val="20"/>
          <w:color w:val="auto"/>
        </w:rPr>
      </w:pPr>
      <w:r>
        <w:rPr>
          <w:rFonts w:ascii="Times New Roman" w:cs="Times New Roman" w:eastAsia="Times New Roman" w:hAnsi="Times New Roman"/>
          <w:sz w:val="20"/>
          <w:szCs w:val="20"/>
          <w:i w:val="1"/>
          <w:iCs w:val="1"/>
          <w:color w:val="auto"/>
        </w:rPr>
        <w:t>2030 Term Loan</w:t>
      </w:r>
      <w:r>
        <w:rPr>
          <w:rFonts w:ascii="Times New Roman" w:cs="Times New Roman" w:eastAsia="Times New Roman" w:hAnsi="Times New Roman"/>
          <w:sz w:val="20"/>
          <w:szCs w:val="20"/>
          <w:color w:val="auto"/>
        </w:rPr>
        <w:t>. On September 25, 2025, the Company and certain subsidiaries of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entered into a Second Amendment to the Initial KeyBank Credit Agreement (the “Second Amendment”, and the Initial KeyBank Credit Agreement as amended by the Second Amendment, the “KeyBank Credit Agreement”). In addition to the upsize of the 2029 Term Loan described above, the Second Amendment added a new $125.0 million term loan maturing in September 2030 (the “2030 Term Loan”) to the KeyBank Credit Agreement. The 2030 Term Loan bears interest at SOFR plus a spread based on the Company’s leverage ratio.</w:t>
      </w:r>
    </w:p>
    <w:p>
      <w:pPr>
        <w:spacing w:after="0" w:line="365" w:lineRule="exact"/>
        <w:rPr>
          <w:sz w:val="20"/>
          <w:szCs w:val="20"/>
          <w:color w:val="auto"/>
        </w:rPr>
      </w:pPr>
    </w:p>
    <w:p>
      <w:pPr>
        <w:ind w:left="10" w:right="20" w:firstLine="399"/>
        <w:spacing w:after="0" w:line="262" w:lineRule="auto"/>
        <w:rPr>
          <w:sz w:val="20"/>
          <w:szCs w:val="20"/>
          <w:color w:val="auto"/>
        </w:rPr>
      </w:pPr>
      <w:r>
        <w:rPr>
          <w:rFonts w:ascii="Times New Roman" w:cs="Times New Roman" w:eastAsia="Times New Roman" w:hAnsi="Times New Roman"/>
          <w:sz w:val="20"/>
          <w:szCs w:val="20"/>
          <w:i w:val="1"/>
          <w:iCs w:val="1"/>
          <w:color w:val="auto"/>
        </w:rPr>
        <w:t>Mortgage Notes Payable</w:t>
      </w:r>
      <w:r>
        <w:rPr>
          <w:rFonts w:ascii="Times New Roman" w:cs="Times New Roman" w:eastAsia="Times New Roman" w:hAnsi="Times New Roman"/>
          <w:sz w:val="20"/>
          <w:szCs w:val="20"/>
          <w:color w:val="auto"/>
        </w:rPr>
        <w:t>. On March 3, 2022, in connection with the acquisition of Price Plaza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Shopping Center, the Company assumed an existing $17.8 million secured fixed-rate mortgage note payable, which bears interest at a fixed rate of 4.06% and matures in August 2026.</w:t>
      </w:r>
    </w:p>
    <w:p>
      <w:pPr>
        <w:spacing w:after="0" w:line="113" w:lineRule="exact"/>
        <w:rPr>
          <w:sz w:val="20"/>
          <w:szCs w:val="20"/>
          <w:color w:val="auto"/>
        </w:rPr>
      </w:pPr>
    </w:p>
    <w:p>
      <w:pPr>
        <w:ind w:left="10" w:right="180" w:firstLine="399"/>
        <w:spacing w:after="0" w:line="279" w:lineRule="auto"/>
        <w:rPr>
          <w:sz w:val="20"/>
          <w:szCs w:val="20"/>
          <w:color w:val="auto"/>
        </w:rPr>
      </w:pPr>
      <w:r>
        <w:rPr>
          <w:rFonts w:ascii="Times New Roman" w:cs="Times New Roman" w:eastAsia="Times New Roman" w:hAnsi="Times New Roman"/>
          <w:sz w:val="20"/>
          <w:szCs w:val="20"/>
          <w:i w:val="1"/>
          <w:iCs w:val="1"/>
          <w:color w:val="auto"/>
        </w:rPr>
        <w:t>Convertible Debt</w:t>
      </w:r>
      <w:r>
        <w:rPr>
          <w:rFonts w:ascii="Times New Roman" w:cs="Times New Roman" w:eastAsia="Times New Roman" w:hAnsi="Times New Roman"/>
          <w:sz w:val="20"/>
          <w:szCs w:val="20"/>
          <w:color w:val="auto"/>
        </w:rPr>
        <w:t>. The Company initially issued $75.0 million aggregate principal amount of 3.875%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Convertible Notes (the “2025 Notes”). Following $24.0 million of repurchases during the years ended</w:t>
      </w:r>
    </w:p>
    <w:p>
      <w:pPr>
        <w:spacing w:after="0" w:line="25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F-37</w:t>
      </w:r>
    </w:p>
    <w:p>
      <w:pPr>
        <w:sectPr>
          <w:pgSz w:w="11880" w:h="15480" w:orient="portrait"/>
          <w:cols w:equalWidth="0" w:num="1">
            <w:col w:w="9110"/>
          </w:cols>
          <w:pgMar w:left="1390" w:top="1025" w:right="1380" w:bottom="71" w:gutter="0" w:footer="0" w:header="0"/>
        </w:sectPr>
      </w:pPr>
    </w:p>
    <w:bookmarkStart w:id="113" w:name="page114"/>
    <w:bookmarkEnd w:id="113"/>
    <w:p>
      <w:pPr>
        <w:ind w:right="700"/>
        <w:spacing w:after="0" w:line="294" w:lineRule="auto"/>
        <w:rPr>
          <w:sz w:val="20"/>
          <w:szCs w:val="20"/>
          <w:color w:val="auto"/>
        </w:rPr>
      </w:pPr>
      <w:r>
        <w:rPr>
          <w:rFonts w:ascii="Times New Roman" w:cs="Times New Roman" w:eastAsia="Times New Roman" w:hAnsi="Times New Roman"/>
          <w:sz w:val="20"/>
          <w:szCs w:val="20"/>
          <w:color w:val="auto"/>
        </w:rPr>
        <w:t>December 31, 2020 and 2021, $51.0 million aggregate principal amount of the 2025 Notes remained outstanding as of March 31, 2025.</w:t>
      </w:r>
    </w:p>
    <w:p>
      <w:pPr>
        <w:spacing w:after="0" w:line="109" w:lineRule="exact"/>
        <w:rPr>
          <w:sz w:val="20"/>
          <w:szCs w:val="20"/>
          <w:color w:val="auto"/>
        </w:rPr>
      </w:pPr>
    </w:p>
    <w:p>
      <w:pPr>
        <w:ind w:right="220" w:firstLine="399"/>
        <w:spacing w:after="0" w:line="260" w:lineRule="auto"/>
        <w:rPr>
          <w:sz w:val="20"/>
          <w:szCs w:val="20"/>
          <w:color w:val="auto"/>
        </w:rPr>
      </w:pPr>
      <w:r>
        <w:rPr>
          <w:rFonts w:ascii="Times New Roman" w:cs="Times New Roman" w:eastAsia="Times New Roman" w:hAnsi="Times New Roman"/>
          <w:sz w:val="20"/>
          <w:szCs w:val="20"/>
          <w:color w:val="auto"/>
        </w:rPr>
        <w:t>The 2025 Notes represented senior unsecured obligations of the Company and paid interest semi-annually in arrears on each April 15th and October 15th, commencing on April 15, 2020, at a rate of</w:t>
      </w:r>
    </w:p>
    <w:p>
      <w:pPr>
        <w:spacing w:after="0" w:line="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3.875% per annum. After the first quarter 2025 dividend, the conversion rate was equal to 73.8112 shares of common stock for each $1,000 principal amount of 2025 Notes, which represented an adjusted conversion price of $13.55 per share of common stock.</w:t>
      </w:r>
    </w:p>
    <w:p>
      <w:pPr>
        <w:spacing w:after="0" w:line="125" w:lineRule="exact"/>
        <w:rPr>
          <w:sz w:val="20"/>
          <w:szCs w:val="20"/>
          <w:color w:val="auto"/>
        </w:rPr>
      </w:pPr>
    </w:p>
    <w:p>
      <w:pPr>
        <w:ind w:firstLine="399"/>
        <w:spacing w:after="0" w:line="266" w:lineRule="auto"/>
        <w:rPr>
          <w:sz w:val="20"/>
          <w:szCs w:val="20"/>
          <w:color w:val="auto"/>
        </w:rPr>
      </w:pPr>
      <w:r>
        <w:rPr>
          <w:rFonts w:ascii="Times New Roman" w:cs="Times New Roman" w:eastAsia="Times New Roman" w:hAnsi="Times New Roman"/>
          <w:sz w:val="20"/>
          <w:szCs w:val="20"/>
          <w:color w:val="auto"/>
        </w:rPr>
        <w:t>On January 15, 2025, the 2025 Notes became freely convertible at the option of each holder at any time until the close of business on the business day immediately preceding the stated maturity date. On April 3, 2025, the Company completed privately negotiated transactions with holders of $35.2 million in an aggregate principal amount of the 2025 Notes in which the holders exchanged their notes with the Company for an aggregate of 1,089,555 shares of the Company’s common stock, valued at $21.0 million, and aggregate cash payments of approximately $29.0 million, including approximately $0.6 million representing accrued interest. The 2025 Notes received by the Company were retired.</w:t>
      </w:r>
    </w:p>
    <w:p>
      <w:pPr>
        <w:spacing w:after="0" w:line="135" w:lineRule="exact"/>
        <w:rPr>
          <w:sz w:val="20"/>
          <w:szCs w:val="20"/>
          <w:color w:val="auto"/>
        </w:rPr>
      </w:pPr>
    </w:p>
    <w:p>
      <w:pPr>
        <w:ind w:firstLine="399"/>
        <w:spacing w:after="0" w:line="277" w:lineRule="auto"/>
        <w:rPr>
          <w:sz w:val="20"/>
          <w:szCs w:val="20"/>
          <w:color w:val="auto"/>
        </w:rPr>
      </w:pPr>
      <w:r>
        <w:rPr>
          <w:rFonts w:ascii="Times New Roman" w:cs="Times New Roman" w:eastAsia="Times New Roman" w:hAnsi="Times New Roman"/>
          <w:sz w:val="20"/>
          <w:szCs w:val="20"/>
          <w:color w:val="auto"/>
        </w:rPr>
        <w:t>At maturity on April 15, 2025, the Company completed the payoff of the remaining 2025 Notes in an aggregate principal amount of $15.8 million for total cash payments of approximately $22.0 million, including approximately $0.3 million representing accrued interest.</w:t>
      </w:r>
    </w:p>
    <w:p>
      <w:pPr>
        <w:spacing w:after="0" w:line="125" w:lineRule="exact"/>
        <w:rPr>
          <w:sz w:val="20"/>
          <w:szCs w:val="20"/>
          <w:color w:val="auto"/>
        </w:rPr>
      </w:pPr>
    </w:p>
    <w:p>
      <w:pPr>
        <w:ind w:right="260" w:firstLine="399"/>
        <w:spacing w:after="0" w:line="277" w:lineRule="auto"/>
        <w:rPr>
          <w:sz w:val="20"/>
          <w:szCs w:val="20"/>
          <w:color w:val="auto"/>
        </w:rPr>
      </w:pPr>
      <w:r>
        <w:rPr>
          <w:rFonts w:ascii="Times New Roman" w:cs="Times New Roman" w:eastAsia="Times New Roman" w:hAnsi="Times New Roman"/>
          <w:sz w:val="20"/>
          <w:szCs w:val="20"/>
          <w:color w:val="auto"/>
        </w:rPr>
        <w:t>In the aggregate, the settlement of the $51.0 million aggregate principal amount of the 2025 Notes resulted in a $20.4 million loss on extinguishment of debt which is comprised of a $20.1 million premium and $0.3 million of associated costs incurred related to the settlement.</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Long-term debt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176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Due Within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w w:val="95"/>
              </w:rPr>
              <w:t>Due Within</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7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0" w:type="dxa"/>
            <w:vAlign w:val="bottom"/>
          </w:tcPr>
          <w:p>
            <w:pPr>
              <w:spacing w:after="0"/>
              <w:rPr>
                <w:sz w:val="1"/>
                <w:szCs w:val="1"/>
                <w:color w:val="auto"/>
              </w:rPr>
            </w:pPr>
          </w:p>
        </w:tc>
      </w:tr>
      <w:tr>
        <w:trPr>
          <w:trHeight w:val="28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Credit Facility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$151,000</w:t>
            </w:r>
          </w:p>
        </w:tc>
        <w:tc>
          <w:tcPr>
            <w:tcW w:w="24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87,000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2026 Term Loan  . . . . . . . . . . . . . . . . . . . . . . . . . . . . . .</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65,000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2027 Term Loan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100,000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2028 Term Loan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100,000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2029 Term Loan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100,000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2030 Term Loan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3.875% Convertible Senior Notes, net of Discount . . . . . . .</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50,989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50,989</w:t>
            </w:r>
          </w:p>
        </w:tc>
        <w:tc>
          <w:tcPr>
            <w:tcW w:w="0" w:type="dxa"/>
            <w:vAlign w:val="bottom"/>
          </w:tcPr>
          <w:p>
            <w:pPr>
              <w:spacing w:after="0"/>
              <w:rPr>
                <w:sz w:val="1"/>
                <w:szCs w:val="1"/>
                <w:color w:val="auto"/>
              </w:rPr>
            </w:pPr>
          </w:p>
        </w:tc>
      </w:tr>
      <w:tr>
        <w:trPr>
          <w:trHeight w:val="27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Mortgage Note Payable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17,800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17,800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Financing Costs, net of Accumulated Amortization . . . . . .</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(2,455)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(1,796)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Long-Term Debt . . . . . . . . . . . . . . . . . . . . . . . . . .</w:t>
            </w: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320" w:type="dxa"/>
            <w:vAlign w:val="bottom"/>
            <w:vMerge w:val="continue"/>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616,345</w:t>
            </w:r>
          </w:p>
        </w:tc>
        <w:tc>
          <w:tcPr>
            <w:tcW w:w="240" w:type="dxa"/>
            <w:vAlign w:val="bottom"/>
          </w:tcPr>
          <w:p>
            <w:pPr>
              <w:spacing w:after="0"/>
              <w:rPr>
                <w:sz w:val="23"/>
                <w:szCs w:val="23"/>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17,800</w:t>
            </w:r>
          </w:p>
        </w:tc>
        <w:tc>
          <w:tcPr>
            <w:tcW w:w="2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518,993</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50,989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340" w:firstLine="399"/>
        <w:spacing w:after="0" w:line="294" w:lineRule="auto"/>
        <w:rPr>
          <w:sz w:val="20"/>
          <w:szCs w:val="20"/>
          <w:color w:val="auto"/>
        </w:rPr>
      </w:pPr>
      <w:r>
        <w:rPr>
          <w:rFonts w:ascii="Times New Roman" w:cs="Times New Roman" w:eastAsia="Times New Roman" w:hAnsi="Times New Roman"/>
          <w:sz w:val="20"/>
          <w:szCs w:val="20"/>
          <w:color w:val="auto"/>
        </w:rPr>
        <w:t>Payments applicable to reduction of principal amounts as of December 31, 2025 will be required as follows (in thousands):</w:t>
      </w:r>
    </w:p>
    <w:p>
      <w:pPr>
        <w:spacing w:after="0" w:line="81"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92"/>
              </w:rPr>
              <w:t>Amount</w:t>
            </w:r>
          </w:p>
        </w:tc>
      </w:tr>
      <w:tr>
        <w:trPr>
          <w:trHeight w:val="30"/>
        </w:trPr>
        <w:tc>
          <w:tcPr>
            <w:tcW w:w="7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3"/>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17,800</w:t>
            </w:r>
          </w:p>
        </w:tc>
      </w:tr>
      <w:tr>
        <w:trPr>
          <w:trHeight w:val="299"/>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251,000</w:t>
            </w:r>
          </w:p>
        </w:tc>
      </w:tr>
      <w:tr>
        <w:trPr>
          <w:trHeight w:val="299"/>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100,000</w:t>
            </w:r>
          </w:p>
        </w:tc>
      </w:tr>
      <w:tr>
        <w:trPr>
          <w:trHeight w:val="299"/>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125,000</w:t>
            </w:r>
          </w:p>
        </w:tc>
      </w:tr>
      <w:tr>
        <w:trPr>
          <w:trHeight w:val="299"/>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125,000</w:t>
            </w:r>
          </w:p>
        </w:tc>
      </w:tr>
      <w:tr>
        <w:trPr>
          <w:trHeight w:val="302"/>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2031 and Thereafter  . . . . . . . . . . . . . . . . . . . . . . . . . . . . . . . . . . . . . . . . . . . . . .</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9"/>
        </w:trPr>
        <w:tc>
          <w:tcPr>
            <w:tcW w:w="7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Long-Term Debt – Face Value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618,800</w:t>
            </w:r>
          </w:p>
        </w:tc>
      </w:tr>
      <w:tr>
        <w:trPr>
          <w:trHeight w:val="20"/>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00"/>
          </w:cols>
          <w:pgMar w:left="1400" w:top="1025" w:right="1380" w:bottom="70" w:gutter="0" w:footer="0" w:header="0"/>
        </w:sect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F-38</w:t>
      </w:r>
    </w:p>
    <w:p>
      <w:pPr>
        <w:sectPr>
          <w:pgSz w:w="11880" w:h="15480" w:orient="portrait"/>
          <w:cols w:equalWidth="0" w:num="1">
            <w:col w:w="9100"/>
          </w:cols>
          <w:pgMar w:left="1400" w:top="1025" w:right="1380" w:bottom="70" w:gutter="0" w:footer="0" w:header="0"/>
          <w:type w:val="continuous"/>
        </w:sectPr>
      </w:pPr>
    </w:p>
    <w:bookmarkStart w:id="114" w:name="page115"/>
    <w:bookmarkEnd w:id="114"/>
    <w:p>
      <w:pPr>
        <w:ind w:left="390"/>
        <w:spacing w:after="0"/>
        <w:rPr>
          <w:sz w:val="20"/>
          <w:szCs w:val="20"/>
          <w:color w:val="auto"/>
        </w:rPr>
      </w:pPr>
      <w:r>
        <w:rPr>
          <w:rFonts w:ascii="Times New Roman" w:cs="Times New Roman" w:eastAsia="Times New Roman" w:hAnsi="Times New Roman"/>
          <w:sz w:val="20"/>
          <w:szCs w:val="20"/>
          <w:color w:val="auto"/>
        </w:rPr>
        <w:t>The carrying value of long-term debt as of December 31, 2025 consisted of the following (in thousands):</w:t>
      </w:r>
    </w:p>
    <w:p>
      <w:pPr>
        <w:spacing w:after="0" w:line="165" w:lineRule="exact"/>
        <w:rPr>
          <w:sz w:val="20"/>
          <w:szCs w:val="20"/>
          <w:color w:val="auto"/>
        </w:rPr>
      </w:pPr>
    </w:p>
    <w:tbl>
      <w:tblPr>
        <w:tblLayout w:type="fixed"/>
        <w:tblInd w:w="39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0"/>
        </w:trPr>
        <w:tc>
          <w:tcPr>
            <w:tcW w:w="75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3"/>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Current Face Amount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$618,800</w:t>
            </w:r>
          </w:p>
        </w:tc>
        <w:tc>
          <w:tcPr>
            <w:tcW w:w="60" w:type="dxa"/>
            <w:vAlign w:val="bottom"/>
          </w:tcPr>
          <w:p>
            <w:pPr>
              <w:spacing w:after="0"/>
              <w:rPr>
                <w:sz w:val="24"/>
                <w:szCs w:val="24"/>
                <w:color w:val="auto"/>
              </w:rPr>
            </w:pPr>
          </w:p>
        </w:tc>
      </w:tr>
      <w:tr>
        <w:trPr>
          <w:trHeight w:val="302"/>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Financing Costs, net of Accumulated Amortization  . . . . . . . . . . . . . . .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(2,455)</w:t>
            </w:r>
          </w:p>
        </w:tc>
      </w:tr>
      <w:tr>
        <w:trPr>
          <w:trHeight w:val="289"/>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Total Long-Term Debt . . . . . . . . . . . . . . . . . . . . . . . . . . . . . . . . . . . . . . . . . . . . .</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$616,345</w:t>
            </w:r>
          </w:p>
        </w:tc>
        <w:tc>
          <w:tcPr>
            <w:tcW w:w="60" w:type="dxa"/>
            <w:vAlign w:val="bottom"/>
          </w:tcPr>
          <w:p>
            <w:pPr>
              <w:spacing w:after="0"/>
              <w:rPr>
                <w:sz w:val="24"/>
                <w:szCs w:val="24"/>
                <w:color w:val="auto"/>
              </w:rPr>
            </w:pPr>
          </w:p>
        </w:tc>
      </w:tr>
      <w:tr>
        <w:trPr>
          <w:trHeight w:val="20"/>
        </w:trPr>
        <w:tc>
          <w:tcPr>
            <w:tcW w:w="7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0" w:lineRule="exact"/>
        <w:rPr>
          <w:sz w:val="20"/>
          <w:szCs w:val="20"/>
          <w:color w:val="auto"/>
        </w:rPr>
      </w:pPr>
    </w:p>
    <w:p>
      <w:pPr>
        <w:ind w:left="10" w:firstLine="399"/>
        <w:spacing w:after="0" w:line="258" w:lineRule="auto"/>
        <w:rPr>
          <w:sz w:val="20"/>
          <w:szCs w:val="20"/>
          <w:color w:val="auto"/>
        </w:rPr>
      </w:pPr>
      <w:r>
        <w:rPr>
          <w:rFonts w:ascii="Times New Roman" w:cs="Times New Roman" w:eastAsia="Times New Roman" w:hAnsi="Times New Roman"/>
          <w:sz w:val="20"/>
          <w:szCs w:val="20"/>
          <w:color w:val="auto"/>
        </w:rPr>
        <w:t>In addition to the $2.5 million of financing costs, net of accumulated amortization included in the table above, as of December 31, 2025, the Company also had financing costs, net of accumulated amortization related to the Credit Facility of $0.7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121"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The following table reflects a summary of interest expense incurred and paid during the years ended</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2025, 2024 and 2023 (in thousands):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2"/>
              </w:rPr>
              <w:t>Year 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8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jc w:val="center"/>
              <w:ind w:left="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Expense  . . . . . . . . . . . . . . . . . . . . . . . . . . . . . . . . . . .</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$25,603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$21,315</w:t>
            </w:r>
          </w:p>
        </w:tc>
        <w:tc>
          <w:tcPr>
            <w:tcW w:w="1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$21,230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Deferred Financing Costs . . . . . . . . . . . . . . . . .</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1,280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1,047</w:t>
            </w:r>
          </w:p>
        </w:tc>
        <w:tc>
          <w:tcPr>
            <w:tcW w:w="1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Discount on Convertible Notes . . . . . . . . . . . . .</w:t>
            </w:r>
          </w:p>
        </w:tc>
        <w:tc>
          <w:tcPr>
            <w:tcW w:w="280" w:type="dxa"/>
            <w:vAlign w:val="bottom"/>
            <w:gridSpan w:val="3"/>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Interest Expense . . . . . . . . . . . . . . . . . . . . . . . . . . . . . . .</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$26,928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22,521</w:t>
            </w:r>
          </w:p>
        </w:tc>
        <w:tc>
          <w:tcPr>
            <w:tcW w:w="1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22,359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Interest Paid</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w:t>
            </w:r>
          </w:p>
        </w:tc>
        <w:tc>
          <w:tcPr>
            <w:tcW w:w="2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760" w:type="dxa"/>
            <w:vAlign w:val="bottom"/>
            <w:gridSpan w:val="2"/>
            <w:vMerge w:val="continue"/>
          </w:tcPr>
          <w:p>
            <w:pPr>
              <w:ind w:left="2240"/>
              <w:spacing w:after="0" w:line="206" w:lineRule="exact"/>
              <w:rPr>
                <w:sz w:val="20"/>
                <w:szCs w:val="20"/>
                <w:color w:val="auto"/>
              </w:rPr>
            </w:pPr>
            <w:r>
              <w:rPr>
                <w:rFonts w:ascii="Times New Roman" w:cs="Times New Roman" w:eastAsia="Times New Roman" w:hAnsi="Times New Roman"/>
                <w:sz w:val="20"/>
                <w:szCs w:val="20"/>
                <w:color w:val="auto"/>
              </w:rPr>
              <w:t>. . . . . . . . . . . . . . . . . . . . . . . . . . . . .</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$26,303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21,206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21,636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140" w:type="dxa"/>
            <w:vAlign w:val="bottom"/>
            <w:tcBorders>
              <w:bottom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90" w:hanging="390"/>
        <w:spacing w:after="0"/>
        <w:tabs>
          <w:tab w:leader="none" w:pos="39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capitalized interest of $0.3 million during the years ended December 31, 2025, 2024 and 2023, respectively.</w:t>
      </w:r>
    </w:p>
    <w:p>
      <w:pPr>
        <w:spacing w:after="0" w:line="17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The Company was in compliance with all of its debt covenants as of December 31, 2025 and 2024.</w:t>
      </w:r>
    </w:p>
    <w:p>
      <w:pPr>
        <w:spacing w:after="0" w:line="2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17. INTEREST RATE SWAPS</w:t>
      </w:r>
    </w:p>
    <w:p>
      <w:pPr>
        <w:spacing w:after="0" w:line="171" w:lineRule="exact"/>
        <w:rPr>
          <w:sz w:val="20"/>
          <w:szCs w:val="20"/>
          <w:color w:val="auto"/>
        </w:rPr>
      </w:pPr>
    </w:p>
    <w:p>
      <w:pPr>
        <w:ind w:left="10" w:right="80" w:firstLine="399"/>
        <w:spacing w:after="0" w:line="255" w:lineRule="auto"/>
        <w:rPr>
          <w:sz w:val="20"/>
          <w:szCs w:val="20"/>
          <w:color w:val="auto"/>
        </w:rPr>
      </w:pPr>
      <w:r>
        <w:rPr>
          <w:rFonts w:ascii="Times New Roman" w:cs="Times New Roman" w:eastAsia="Times New Roman" w:hAnsi="Times New Roman"/>
          <w:sz w:val="20"/>
          <w:szCs w:val="20"/>
          <w:color w:val="auto"/>
        </w:rPr>
        <w:t>The Company has entered into interest rate swap agreements to hedge against changes in future cash flows resulting from fluctuating interest rates related to the below noted borrowings. The interest rate agreements were 100% effective during the years ended December 31, 2025, 2024, and 2023.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1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80"/>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Hedged Item</w:t>
            </w:r>
            <w:r>
              <w:rPr>
                <w:rFonts w:ascii="Times New Roman" w:cs="Times New Roman" w:eastAsia="Times New Roman" w:hAnsi="Times New Roman"/>
                <w:sz w:val="19"/>
                <w:szCs w:val="19"/>
                <w:b w:val="1"/>
                <w:bCs w:val="1"/>
                <w:color w:val="auto"/>
                <w:vertAlign w:val="superscript"/>
              </w:rPr>
              <w:t>(1)</w:t>
            </w:r>
          </w:p>
        </w:tc>
        <w:tc>
          <w:tcPr>
            <w:tcW w:w="160" w:type="dxa"/>
            <w:vAlign w:val="bottom"/>
            <w:vMerge w:val="restart"/>
          </w:tcPr>
          <w:p>
            <w:pPr>
              <w:spacing w:after="0"/>
              <w:rPr>
                <w:sz w:val="15"/>
                <w:szCs w:val="15"/>
                <w:color w:val="auto"/>
              </w:rPr>
            </w:pPr>
          </w:p>
        </w:tc>
        <w:tc>
          <w:tcPr>
            <w:tcW w:w="9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5"/>
              </w:rPr>
              <w:t>Effective</w:t>
            </w:r>
          </w:p>
        </w:tc>
        <w:tc>
          <w:tcPr>
            <w:tcW w:w="8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1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28"/>
        </w:trPr>
        <w:tc>
          <w:tcPr>
            <w:tcW w:w="2040" w:type="dxa"/>
            <w:vAlign w:val="bottom"/>
            <w:tcBorders>
              <w:bottom w:val="single" w:sz="8" w:color="auto"/>
            </w:tcBorders>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60" w:type="dxa"/>
            <w:vAlign w:val="bottom"/>
          </w:tcPr>
          <w:p>
            <w:pPr>
              <w:spacing w:after="0"/>
              <w:rPr>
                <w:sz w:val="19"/>
                <w:szCs w:val="19"/>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60" w:type="dxa"/>
            <w:vAlign w:val="bottom"/>
          </w:tcPr>
          <w:p>
            <w:pPr>
              <w:spacing w:after="0"/>
              <w:rPr>
                <w:sz w:val="19"/>
                <w:szCs w:val="19"/>
                <w:color w:val="auto"/>
              </w:rPr>
            </w:pPr>
          </w:p>
        </w:tc>
        <w:tc>
          <w:tcPr>
            <w:tcW w:w="29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2027</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 . . . .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3/29/2024</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1/31/2027  1.35% + 0.10% + 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100,000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w w:val="97"/>
              </w:rPr>
              <w:t>2,154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2027</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1/29/2027</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1/30/2032  3.75% + 0.10% + 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2028</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 . . . .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9/30/2022</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1/31/2028  3.78% + 0.10% + 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2028</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 . . . .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9/30/2022</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1/31/2028  3.78% + 0.10% + 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2028</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1/31/2028</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1/31/2033  3.81% + 0.10% + 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2029</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3/29/2024</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3/10/2026  1.44% + 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2029</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 . . . .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1/31/2023</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1/31/2030  3.27% + 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149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2029</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 . . . .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1/31/2023</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1/31/2030  3.26% + 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33,000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2029</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 . . . .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1/31/2023</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1/31/2030  3.36% + 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17,000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2029</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3/29/2024</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3/10/2026  1.48% + 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10"/>
          </w:cols>
          <w:pgMar w:left="1390" w:top="1025" w:right="1380" w:bottom="70" w:gutter="0" w:footer="0" w:header="0"/>
        </w:sectPr>
      </w:pPr>
    </w:p>
    <w:p>
      <w:pPr>
        <w:spacing w:after="0" w:line="18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F-39</w:t>
      </w:r>
    </w:p>
    <w:p>
      <w:pPr>
        <w:sectPr>
          <w:pgSz w:w="11880" w:h="15480" w:orient="portrait"/>
          <w:cols w:equalWidth="0" w:num="1">
            <w:col w:w="9110"/>
          </w:cols>
          <w:pgMar w:left="1390" w:top="1025" w:right="1380" w:bottom="70" w:gutter="0" w:footer="0" w:header="0"/>
          <w:type w:val="continuous"/>
        </w:sectPr>
      </w:pPr>
    </w:p>
    <w:bookmarkStart w:id="115" w:name="page116"/>
    <w:bookmarkEnd w:id="115"/>
    <w:tbl>
      <w:tblPr>
        <w:tblLayout w:type="fixed"/>
        <w:tblInd w:w="2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80"/>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Hedged Item</w:t>
            </w:r>
            <w:r>
              <w:rPr>
                <w:rFonts w:ascii="Times New Roman" w:cs="Times New Roman" w:eastAsia="Times New Roman" w:hAnsi="Times New Roman"/>
                <w:sz w:val="19"/>
                <w:szCs w:val="19"/>
                <w:b w:val="1"/>
                <w:bCs w:val="1"/>
                <w:color w:val="auto"/>
                <w:vertAlign w:val="superscript"/>
              </w:rPr>
              <w:t>(1)</w:t>
            </w:r>
          </w:p>
        </w:tc>
        <w:tc>
          <w:tcPr>
            <w:tcW w:w="160" w:type="dxa"/>
            <w:vAlign w:val="bottom"/>
            <w:vMerge w:val="restart"/>
          </w:tcPr>
          <w:p>
            <w:pPr>
              <w:spacing w:after="0"/>
              <w:rPr>
                <w:sz w:val="15"/>
                <w:szCs w:val="15"/>
                <w:color w:val="auto"/>
              </w:rPr>
            </w:pPr>
          </w:p>
        </w:tc>
        <w:tc>
          <w:tcPr>
            <w:tcW w:w="98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Effective</w:t>
            </w:r>
          </w:p>
        </w:tc>
        <w:tc>
          <w:tcPr>
            <w:tcW w:w="8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1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28"/>
        </w:trPr>
        <w:tc>
          <w:tcPr>
            <w:tcW w:w="2040" w:type="dxa"/>
            <w:vAlign w:val="bottom"/>
            <w:tcBorders>
              <w:bottom w:val="single" w:sz="8" w:color="auto"/>
            </w:tcBorders>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Date</w:t>
            </w:r>
          </w:p>
        </w:tc>
        <w:tc>
          <w:tcPr>
            <w:tcW w:w="160" w:type="dxa"/>
            <w:vAlign w:val="bottom"/>
          </w:tcPr>
          <w:p>
            <w:pPr>
              <w:spacing w:after="0"/>
              <w:rPr>
                <w:sz w:val="19"/>
                <w:szCs w:val="19"/>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60" w:type="dxa"/>
            <w:vAlign w:val="bottom"/>
          </w:tcPr>
          <w:p>
            <w:pPr>
              <w:spacing w:after="0"/>
              <w:rPr>
                <w:sz w:val="19"/>
                <w:szCs w:val="19"/>
                <w:color w:val="auto"/>
              </w:rPr>
            </w:pPr>
          </w:p>
        </w:tc>
        <w:tc>
          <w:tcPr>
            <w:tcW w:w="29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2029</w:t>
            </w:r>
          </w:p>
        </w:tc>
        <w:tc>
          <w:tcPr>
            <w:tcW w:w="1780" w:type="dxa"/>
            <w:vAlign w:val="bottom"/>
            <w:gridSpan w:val="2"/>
          </w:tcPr>
          <w:p>
            <w:pPr>
              <w:ind w:left="20"/>
              <w:spacing w:after="0" w:line="287" w:lineRule="exact"/>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20"/>
                <w:szCs w:val="20"/>
                <w:color w:val="auto"/>
              </w:rPr>
              <w:t xml:space="preserve">  .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3/10/2026</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3/10/2031  3.83% + 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2029</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3/10/2026</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1/30/2030  3.26% + 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2030</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3/29/2024</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3/10/2026  1.43% + 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2030</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 . .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4/30/2025</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4/30/2030  3.41% + 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2030</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 . .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4/30/2025</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4/30/2030  3.23% + 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265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2030</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3/29/2024</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3/10/2026  1.48% + 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2030</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20"/>
                <w:szCs w:val="20"/>
                <w:color w:val="auto"/>
              </w:rPr>
              <w:t xml:space="preserve">  .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3/10/2026</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3/10/2031  3.78% + 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2030</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Term Loan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3/10/2026</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4/30/2030  3.27% + 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Credit Facility . . . . . .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2/1/2024</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1/31/2028  3.85% + 0.10% + 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2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Credit Facility</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9/30/2022</w:t>
            </w: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3/10/2026  0.70% + 0.10% + 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15,000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92075</wp:posOffset>
                </wp:positionV>
                <wp:extent cx="13684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7.25pt" to="108.25pt,7.25pt" o:allowincell="f" strokecolor="#000000" strokeweight="0.499pt"/>
            </w:pict>
          </mc:Fallback>
        </mc:AlternateContent>
      </w:r>
    </w:p>
    <w:p>
      <w:pPr>
        <w:spacing w:after="0" w:line="237" w:lineRule="exact"/>
        <w:rPr>
          <w:sz w:val="20"/>
          <w:szCs w:val="20"/>
          <w:color w:val="auto"/>
        </w:rPr>
      </w:pPr>
    </w:p>
    <w:p>
      <w:pPr>
        <w:ind w:left="400" w:hanging="390"/>
        <w:spacing w:after="0"/>
        <w:tabs>
          <w:tab w:leader="none" w:pos="4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September 30, 2022 the Company converted its existing interest rate swaps from 1-month LIBOR to SOFR.</w:t>
      </w:r>
    </w:p>
    <w:p>
      <w:pPr>
        <w:spacing w:after="0" w:line="83" w:lineRule="exact"/>
        <w:rPr>
          <w:rFonts w:ascii="Times New Roman" w:cs="Times New Roman" w:eastAsia="Times New Roman" w:hAnsi="Times New Roman"/>
          <w:sz w:val="16"/>
          <w:szCs w:val="16"/>
          <w:color w:val="auto"/>
        </w:rPr>
      </w:pPr>
    </w:p>
    <w:p>
      <w:pPr>
        <w:ind w:left="400" w:right="200" w:hanging="390"/>
        <w:spacing w:after="0" w:line="279" w:lineRule="auto"/>
        <w:tabs>
          <w:tab w:leader="none" w:pos="4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entered into forward swaps to further fix interest rates through periods that the Company reasonably expects to extend its current term loans.</w:t>
      </w:r>
    </w:p>
    <w:p>
      <w:pPr>
        <w:spacing w:after="0" w:line="27" w:lineRule="exact"/>
        <w:rPr>
          <w:rFonts w:ascii="Times New Roman" w:cs="Times New Roman" w:eastAsia="Times New Roman" w:hAnsi="Times New Roman"/>
          <w:sz w:val="16"/>
          <w:szCs w:val="16"/>
          <w:color w:val="auto"/>
        </w:rPr>
      </w:pPr>
    </w:p>
    <w:p>
      <w:pPr>
        <w:ind w:left="400" w:right="340" w:hanging="390"/>
        <w:spacing w:after="0" w:line="279" w:lineRule="auto"/>
        <w:tabs>
          <w:tab w:leader="none" w:pos="4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September 30, 2025, the Company redesignated certain interest rate swaps from its 2026 Term Loan to its 2029 and 2030 Term Loans.</w:t>
      </w:r>
    </w:p>
    <w:p>
      <w:pPr>
        <w:spacing w:after="0" w:line="27" w:lineRule="exact"/>
        <w:rPr>
          <w:rFonts w:ascii="Times New Roman" w:cs="Times New Roman" w:eastAsia="Times New Roman" w:hAnsi="Times New Roman"/>
          <w:sz w:val="16"/>
          <w:szCs w:val="16"/>
          <w:color w:val="auto"/>
        </w:rPr>
      </w:pPr>
    </w:p>
    <w:p>
      <w:pPr>
        <w:ind w:left="400" w:right="380" w:hanging="390"/>
        <w:spacing w:after="0" w:line="279" w:lineRule="auto"/>
        <w:tabs>
          <w:tab w:leader="none" w:pos="4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September 30, 2025, the Company redesignated certain interest rate swaps from its Credit Facility to its 2030 Term Loan.</w:t>
      </w:r>
    </w:p>
    <w:p>
      <w:pPr>
        <w:spacing w:after="0" w:line="110" w:lineRule="exact"/>
        <w:rPr>
          <w:sz w:val="20"/>
          <w:szCs w:val="20"/>
          <w:color w:val="auto"/>
        </w:rPr>
      </w:pPr>
    </w:p>
    <w:p>
      <w:pPr>
        <w:ind w:left="20" w:firstLine="399"/>
        <w:spacing w:after="0" w:line="244" w:lineRule="auto"/>
        <w:rPr>
          <w:sz w:val="20"/>
          <w:szCs w:val="20"/>
          <w:color w:val="auto"/>
        </w:rPr>
      </w:pPr>
      <w:r>
        <w:rPr>
          <w:rFonts w:ascii="Times New Roman" w:cs="Times New Roman" w:eastAsia="Times New Roman" w:hAnsi="Times New Roman"/>
          <w:sz w:val="20"/>
          <w:szCs w:val="20"/>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December 31, 2025 and 2024, there were no events of default related to the Company’s interest rate swap agreements.</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18. ACCRUED AND OTHER LIABILITIES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Accrued and other liabilities consisted of the following (in thousands):</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0"/>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6"/>
        </w:trPr>
        <w:tc>
          <w:tcPr>
            <w:tcW w:w="6140" w:type="dxa"/>
            <w:vAlign w:val="bottom"/>
          </w:tcPr>
          <w:p>
            <w:pPr>
              <w:spacing w:after="0"/>
              <w:rPr>
                <w:sz w:val="17"/>
                <w:szCs w:val="17"/>
                <w:color w:val="auto"/>
              </w:rPr>
            </w:pPr>
          </w:p>
        </w:tc>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r>
      <w:tr>
        <w:trPr>
          <w:trHeight w:val="30"/>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8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Accrued Property Taxes . . . . . . . . . . . . . . . . . . . . . . . . . . . . . . . .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1,236</w:t>
            </w:r>
          </w:p>
        </w:tc>
        <w:tc>
          <w:tcPr>
            <w:tcW w:w="12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w:t>
            </w:r>
          </w:p>
        </w:tc>
        <w:tc>
          <w:tcPr>
            <w:tcW w:w="140" w:type="dxa"/>
            <w:vAlign w:val="bottom"/>
          </w:tcPr>
          <w:p>
            <w:pPr>
              <w:spacing w:after="0"/>
              <w:rPr>
                <w:sz w:val="24"/>
                <w:szCs w:val="24"/>
                <w:color w:val="auto"/>
              </w:rPr>
            </w:pP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Reserve for Tenant Improvements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1,424</w:t>
            </w:r>
          </w:p>
        </w:tc>
        <w:tc>
          <w:tcPr>
            <w:tcW w:w="140" w:type="dxa"/>
            <w:vAlign w:val="bottom"/>
          </w:tcPr>
          <w:p>
            <w:pPr>
              <w:spacing w:after="0"/>
              <w:rPr>
                <w:sz w:val="24"/>
                <w:szCs w:val="24"/>
                <w:color w:val="auto"/>
              </w:rPr>
            </w:pP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Tenant Security Deposits . . . . .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2,833</w:t>
            </w:r>
          </w:p>
        </w:tc>
        <w:tc>
          <w:tcPr>
            <w:tcW w:w="140" w:type="dxa"/>
            <w:vAlign w:val="bottom"/>
          </w:tcPr>
          <w:p>
            <w:pPr>
              <w:spacing w:after="0"/>
              <w:rPr>
                <w:sz w:val="24"/>
                <w:szCs w:val="24"/>
                <w:color w:val="auto"/>
              </w:rPr>
            </w:pP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Accrued Construction Costs . . .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3,988</w:t>
            </w:r>
          </w:p>
        </w:tc>
        <w:tc>
          <w:tcPr>
            <w:tcW w:w="140" w:type="dxa"/>
            <w:vAlign w:val="bottom"/>
          </w:tcPr>
          <w:p>
            <w:pPr>
              <w:spacing w:after="0"/>
              <w:rPr>
                <w:sz w:val="24"/>
                <w:szCs w:val="24"/>
                <w:color w:val="auto"/>
              </w:rPr>
            </w:pP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 . . . . . . . . . . .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w:t>
            </w:r>
          </w:p>
        </w:tc>
        <w:tc>
          <w:tcPr>
            <w:tcW w:w="140" w:type="dxa"/>
            <w:vAlign w:val="bottom"/>
          </w:tcPr>
          <w:p>
            <w:pPr>
              <w:spacing w:after="0"/>
              <w:rPr>
                <w:sz w:val="24"/>
                <w:szCs w:val="24"/>
                <w:color w:val="auto"/>
              </w:rPr>
            </w:pP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Environmental Reserve  . . . . . .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40" w:type="dxa"/>
            <w:vAlign w:val="bottom"/>
          </w:tcPr>
          <w:p>
            <w:pPr>
              <w:spacing w:after="0"/>
              <w:rPr>
                <w:sz w:val="24"/>
                <w:szCs w:val="24"/>
                <w:color w:val="auto"/>
              </w:rPr>
            </w:pP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Cash Flow Hedge – Interest Rate Swaps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 Liability . . .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140" w:type="dxa"/>
            <w:vAlign w:val="bottom"/>
          </w:tcPr>
          <w:p>
            <w:pPr>
              <w:spacing w:after="0"/>
              <w:rPr>
                <w:sz w:val="24"/>
                <w:szCs w:val="24"/>
                <w:color w:val="auto"/>
              </w:rPr>
            </w:pPr>
          </w:p>
        </w:tc>
      </w:tr>
      <w:tr>
        <w:trPr>
          <w:trHeight w:val="27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and Other Reserves from Commercial Loans and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Investments . . . . . . . . . . . . . . . . . . . . . . . . . . . . . . . . . . . . . . .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w:t>
            </w:r>
          </w:p>
        </w:tc>
        <w:tc>
          <w:tcPr>
            <w:tcW w:w="140" w:type="dxa"/>
            <w:vAlign w:val="bottom"/>
          </w:tcPr>
          <w:p>
            <w:pPr>
              <w:spacing w:after="0"/>
              <w:rPr>
                <w:sz w:val="22"/>
                <w:szCs w:val="22"/>
                <w:color w:val="auto"/>
              </w:rPr>
            </w:pPr>
          </w:p>
        </w:tc>
      </w:tr>
      <w:tr>
        <w:trPr>
          <w:trHeight w:val="30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6,652</w:t>
            </w:r>
          </w:p>
        </w:tc>
        <w:tc>
          <w:tcPr>
            <w:tcW w:w="140" w:type="dxa"/>
            <w:vAlign w:val="bottom"/>
          </w:tcPr>
          <w:p>
            <w:pPr>
              <w:spacing w:after="0"/>
              <w:rPr>
                <w:sz w:val="24"/>
                <w:szCs w:val="24"/>
                <w:color w:val="auto"/>
              </w:rPr>
            </w:pPr>
          </w:p>
        </w:tc>
      </w:tr>
      <w:tr>
        <w:trPr>
          <w:trHeight w:val="28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Accrued and Other Liabilities . . . . . . . . . . . . . . . . . . . . . . . .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28,185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21,268</w:t>
            </w:r>
          </w:p>
        </w:tc>
        <w:tc>
          <w:tcPr>
            <w:tcW w:w="140" w:type="dxa"/>
            <w:vAlign w:val="bottom"/>
          </w:tcPr>
          <w:p>
            <w:pPr>
              <w:spacing w:after="0"/>
              <w:rPr>
                <w:sz w:val="24"/>
                <w:szCs w:val="24"/>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20" w:firstLine="399"/>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Reserve for Tenant Improvements. </w:t>
      </w:r>
      <w:r>
        <w:rPr>
          <w:rFonts w:ascii="Times New Roman" w:cs="Times New Roman" w:eastAsia="Times New Roman" w:hAnsi="Times New Roman"/>
          <w:sz w:val="20"/>
          <w:szCs w:val="20"/>
          <w:color w:val="auto"/>
        </w:rPr>
        <w:t>In connection with recent acquisitions, the Company received,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aggregate $1.9 million from the sellers of the properties for tenant improvement allowances, leasing</w:t>
      </w: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F-40</w:t>
      </w:r>
    </w:p>
    <w:p>
      <w:pPr>
        <w:sectPr>
          <w:pgSz w:w="11880" w:h="15480" w:orient="portrait"/>
          <w:cols w:equalWidth="0" w:num="1">
            <w:col w:w="9120"/>
          </w:cols>
          <w:pgMar w:left="1380" w:top="1017" w:right="1380" w:bottom="70" w:gutter="0" w:footer="0" w:header="0"/>
        </w:sectPr>
      </w:pPr>
    </w:p>
    <w:bookmarkStart w:id="116" w:name="page117"/>
    <w:bookmarkEnd w:id="116"/>
    <w:p>
      <w:pPr>
        <w:ind w:right="80"/>
        <w:spacing w:after="0" w:line="267" w:lineRule="auto"/>
        <w:rPr>
          <w:sz w:val="20"/>
          <w:szCs w:val="20"/>
          <w:color w:val="auto"/>
        </w:rPr>
      </w:pPr>
      <w:r>
        <w:rPr>
          <w:rFonts w:ascii="Times New Roman" w:cs="Times New Roman" w:eastAsia="Times New Roman" w:hAnsi="Times New Roman"/>
          <w:sz w:val="20"/>
          <w:szCs w:val="20"/>
          <w:color w:val="auto"/>
        </w:rPr>
        <w:t>commissions and other capital improvements. These amounts are included in accrued and other liabilities on the consolidated balance sheets. Through December 31, 2025, payments totaling $0.8 million were made leaving a remaining reserve for tenant improvements of $1.1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DEFERRED REVENUE</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Deferred revenue consisted of the following (in thousands):</w:t>
      </w:r>
    </w:p>
    <w:p>
      <w:pPr>
        <w:spacing w:after="0" w:line="165"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0"/>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6"/>
        </w:trPr>
        <w:tc>
          <w:tcPr>
            <w:tcW w:w="6140" w:type="dxa"/>
            <w:vAlign w:val="bottom"/>
          </w:tcPr>
          <w:p>
            <w:pPr>
              <w:spacing w:after="0"/>
              <w:rPr>
                <w:sz w:val="17"/>
                <w:szCs w:val="17"/>
                <w:color w:val="auto"/>
              </w:rPr>
            </w:pPr>
          </w:p>
        </w:tc>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gridSpan w:val="5"/>
          </w:tcPr>
          <w:p>
            <w:pPr>
              <w:jc w:val="center"/>
              <w:ind w:left="3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3"/>
        </w:trPr>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r>
      <w:tr>
        <w:trPr>
          <w:trHeight w:val="30"/>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8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Prepaid Rent  . . . . . . . . . . . . . . . . . . . . . . . . . . . . . . . . . . . . . . .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3,698</w:t>
            </w: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Interest Reserve from Commercial Loans and Investments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6,067</w:t>
            </w:r>
          </w:p>
        </w:tc>
      </w:tr>
      <w:tr>
        <w:trPr>
          <w:trHeight w:val="30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Tenant Contributions  . . . . . . .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418</w:t>
            </w:r>
          </w:p>
        </w:tc>
      </w:tr>
      <w:tr>
        <w:trPr>
          <w:trHeight w:val="20"/>
        </w:trPr>
        <w:tc>
          <w:tcPr>
            <w:tcW w:w="6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Revenue . . . . . . . . . . . . . . . . . . . . . . . . . . . . . . . . .</w:t>
            </w:r>
          </w:p>
        </w:tc>
        <w:tc>
          <w:tcPr>
            <w:tcW w:w="24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18,802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10,183</w:t>
            </w: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ind w:right="80" w:firstLine="399"/>
        <w:spacing w:after="0" w:line="256" w:lineRule="auto"/>
        <w:rPr>
          <w:sz w:val="20"/>
          <w:szCs w:val="20"/>
          <w:color w:val="auto"/>
        </w:rPr>
      </w:pPr>
      <w:r>
        <w:rPr>
          <w:rFonts w:ascii="Times New Roman" w:cs="Times New Roman" w:eastAsia="Times New Roman" w:hAnsi="Times New Roman"/>
          <w:sz w:val="20"/>
          <w:szCs w:val="20"/>
          <w:i w:val="1"/>
          <w:iCs w:val="1"/>
          <w:color w:val="auto"/>
        </w:rPr>
        <w:t>Interest Reserve from Commercial Loans and Investments</w:t>
      </w:r>
      <w:r>
        <w:rPr>
          <w:rFonts w:ascii="Times New Roman" w:cs="Times New Roman" w:eastAsia="Times New Roman" w:hAnsi="Times New Roman"/>
          <w:sz w:val="20"/>
          <w:szCs w:val="20"/>
          <w:color w:val="auto"/>
        </w:rPr>
        <w:t>. In connection with five of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commercial loan investments, the borrower has deposited interest and/or real estate tax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STOCK-BASED COMPENSATION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STOCK-BASED COMPENSATION</w:t>
      </w:r>
    </w:p>
    <w:p>
      <w:pPr>
        <w:spacing w:after="0" w:line="171" w:lineRule="exact"/>
        <w:rPr>
          <w:sz w:val="20"/>
          <w:szCs w:val="20"/>
          <w:color w:val="auto"/>
        </w:rPr>
      </w:pPr>
    </w:p>
    <w:p>
      <w:pPr>
        <w:ind w:right="720" w:firstLine="399"/>
        <w:spacing w:after="0" w:line="284" w:lineRule="auto"/>
        <w:rPr>
          <w:sz w:val="20"/>
          <w:szCs w:val="20"/>
          <w:color w:val="auto"/>
        </w:rPr>
      </w:pPr>
      <w:r>
        <w:rPr>
          <w:rFonts w:ascii="Times New Roman" w:cs="Times New Roman" w:eastAsia="Times New Roman" w:hAnsi="Times New Roman"/>
          <w:sz w:val="20"/>
          <w:szCs w:val="20"/>
          <w:color w:val="auto"/>
        </w:rPr>
        <w:t>A summary of share activity for all equity classified stock compensation during the year ended December 31, 2025, is presented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Vested/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w:t>
            </w:r>
          </w:p>
        </w:tc>
      </w:tr>
      <w:tr>
        <w:trPr>
          <w:trHeight w:val="180"/>
        </w:trPr>
        <w:tc>
          <w:tcPr>
            <w:tcW w:w="3440" w:type="dxa"/>
            <w:vAlign w:val="bottom"/>
          </w:tcPr>
          <w:p>
            <w:pPr>
              <w:spacing w:after="0"/>
              <w:rPr>
                <w:sz w:val="15"/>
                <w:szCs w:val="15"/>
                <w:color w:val="auto"/>
              </w:rPr>
            </w:pPr>
          </w:p>
        </w:tc>
        <w:tc>
          <w:tcPr>
            <w:tcW w:w="1180" w:type="dxa"/>
            <w:vAlign w:val="bottom"/>
            <w:gridSpan w:val="5"/>
          </w:tcPr>
          <w:p>
            <w:pPr>
              <w:jc w:val="center"/>
              <w:ind w:left="25"/>
              <w:spacing w:after="0" w:line="180" w:lineRule="exact"/>
              <w:rPr>
                <w:sz w:val="20"/>
                <w:szCs w:val="20"/>
                <w:color w:val="auto"/>
              </w:rPr>
            </w:pPr>
            <w:r>
              <w:rPr>
                <w:rFonts w:ascii="Times New Roman" w:cs="Times New Roman" w:eastAsia="Times New Roman" w:hAnsi="Times New Roman"/>
                <w:sz w:val="16"/>
                <w:szCs w:val="16"/>
                <w:b w:val="1"/>
                <w:bCs w:val="1"/>
                <w:color w:val="auto"/>
                <w:w w:val="96"/>
              </w:rPr>
              <w:t>Outstanding</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3"/>
              </w:rPr>
              <w:t>Granted</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Exercised</w:t>
            </w:r>
          </w:p>
        </w:tc>
        <w:tc>
          <w:tcPr>
            <w:tcW w:w="760" w:type="dxa"/>
            <w:vAlign w:val="bottom"/>
            <w:gridSpan w:val="4"/>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Expired</w:t>
            </w:r>
          </w:p>
        </w:tc>
        <w:tc>
          <w:tcPr>
            <w:tcW w:w="840" w:type="dxa"/>
            <w:vAlign w:val="bottom"/>
            <w:gridSpan w:val="4"/>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Forfeited</w:t>
            </w:r>
          </w:p>
        </w:tc>
        <w:tc>
          <w:tcPr>
            <w:tcW w:w="9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Outstanding</w:t>
            </w: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240" w:type="dxa"/>
            <w:vAlign w:val="bottom"/>
          </w:tcPr>
          <w:p>
            <w:pPr>
              <w:spacing w:after="0"/>
              <w:rPr>
                <w:sz w:val="17"/>
                <w:szCs w:val="17"/>
                <w:color w:val="auto"/>
              </w:rPr>
            </w:pPr>
          </w:p>
        </w:tc>
        <w:tc>
          <w:tcPr>
            <w:tcW w:w="9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at 1/1/2025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7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8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at 12/31/2025</w:t>
            </w:r>
          </w:p>
        </w:tc>
      </w:tr>
      <w:tr>
        <w:trPr>
          <w:trHeight w:val="30"/>
        </w:trPr>
        <w:tc>
          <w:tcPr>
            <w:tcW w:w="3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60"/>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Equity Classified – Performance Share</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39"/>
        </w:trPr>
        <w:tc>
          <w:tcPr>
            <w:tcW w:w="34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Awards – Peer Group Market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63"/>
        </w:trPr>
        <w:tc>
          <w:tcPr>
            <w:tcW w:w="34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Condition Vesting . . . . . . . . . . . . . .</w:t>
            </w:r>
          </w:p>
        </w:tc>
        <w:tc>
          <w:tcPr>
            <w:tcW w:w="960" w:type="dxa"/>
            <w:vAlign w:val="bottom"/>
            <w:gridSpan w:val="3"/>
          </w:tcPr>
          <w:p>
            <w:pPr>
              <w:jc w:val="center"/>
              <w:ind w:left="225"/>
              <w:spacing w:after="0"/>
              <w:rPr>
                <w:sz w:val="20"/>
                <w:szCs w:val="20"/>
                <w:color w:val="auto"/>
              </w:rPr>
            </w:pPr>
            <w:r>
              <w:rPr>
                <w:rFonts w:ascii="Times New Roman" w:cs="Times New Roman" w:eastAsia="Times New Roman" w:hAnsi="Times New Roman"/>
                <w:sz w:val="20"/>
                <w:szCs w:val="20"/>
                <w:color w:val="auto"/>
                <w:w w:val="98"/>
              </w:rPr>
              <w:t>208,003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8"/>
              </w:rPr>
              <w:t>110,270</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(55,386)</w:t>
            </w:r>
          </w:p>
        </w:tc>
        <w:tc>
          <w:tcPr>
            <w:tcW w:w="160" w:type="dxa"/>
            <w:vAlign w:val="bottom"/>
          </w:tcPr>
          <w:p>
            <w:pPr>
              <w:spacing w:after="0"/>
              <w:rPr>
                <w:sz w:val="22"/>
                <w:szCs w:val="22"/>
                <w:color w:val="auto"/>
              </w:rPr>
            </w:pPr>
          </w:p>
        </w:tc>
        <w:tc>
          <w:tcPr>
            <w:tcW w:w="60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9"/>
              </w:rPr>
              <w:t>—</w:t>
            </w:r>
          </w:p>
        </w:tc>
        <w:tc>
          <w:tcPr>
            <w:tcW w:w="120" w:type="dxa"/>
            <w:vAlign w:val="bottom"/>
          </w:tcPr>
          <w:p>
            <w:pPr>
              <w:spacing w:after="0"/>
              <w:rPr>
                <w:sz w:val="22"/>
                <w:szCs w:val="22"/>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262,887</w:t>
            </w:r>
          </w:p>
        </w:tc>
      </w:tr>
      <w:tr>
        <w:trPr>
          <w:trHeight w:val="276"/>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Equity Classified – Three Year Vest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6"/>
        </w:trPr>
        <w:tc>
          <w:tcPr>
            <w:tcW w:w="34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Shares  . . . . . . . . . . . . . .</w:t>
            </w:r>
          </w:p>
        </w:tc>
        <w:tc>
          <w:tcPr>
            <w:tcW w:w="960" w:type="dxa"/>
            <w:vAlign w:val="bottom"/>
            <w:gridSpan w:val="3"/>
          </w:tcPr>
          <w:p>
            <w:pPr>
              <w:jc w:val="center"/>
              <w:ind w:left="225"/>
              <w:spacing w:after="0"/>
              <w:rPr>
                <w:sz w:val="20"/>
                <w:szCs w:val="20"/>
                <w:color w:val="auto"/>
              </w:rPr>
            </w:pPr>
            <w:r>
              <w:rPr>
                <w:rFonts w:ascii="Times New Roman" w:cs="Times New Roman" w:eastAsia="Times New Roman" w:hAnsi="Times New Roman"/>
                <w:sz w:val="20"/>
                <w:szCs w:val="20"/>
                <w:color w:val="auto"/>
                <w:w w:val="98"/>
              </w:rPr>
              <w:t>197,794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8"/>
              </w:rPr>
              <w:t>117,739</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(112,009)</w:t>
            </w:r>
          </w:p>
        </w:tc>
        <w:tc>
          <w:tcPr>
            <w:tcW w:w="160" w:type="dxa"/>
            <w:vAlign w:val="bottom"/>
          </w:tcPr>
          <w:p>
            <w:pPr>
              <w:spacing w:after="0"/>
              <w:rPr>
                <w:sz w:val="23"/>
                <w:szCs w:val="23"/>
                <w:color w:val="auto"/>
              </w:rPr>
            </w:pPr>
          </w:p>
        </w:tc>
        <w:tc>
          <w:tcPr>
            <w:tcW w:w="60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(272)</w:t>
            </w:r>
          </w:p>
        </w:tc>
        <w:tc>
          <w:tcPr>
            <w:tcW w:w="240" w:type="dxa"/>
            <w:vAlign w:val="bottom"/>
          </w:tcPr>
          <w:p>
            <w:pPr>
              <w:spacing w:after="0"/>
              <w:rPr>
                <w:sz w:val="23"/>
                <w:szCs w:val="23"/>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203,252</w:t>
            </w:r>
          </w:p>
        </w:tc>
      </w:tr>
      <w:tr>
        <w:trPr>
          <w:trHeight w:val="20"/>
        </w:trPr>
        <w:tc>
          <w:tcPr>
            <w:tcW w:w="3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9"/>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Total Shares . . . . . . . . . . . . . . . . . . . .</w:t>
            </w:r>
          </w:p>
        </w:tc>
        <w:tc>
          <w:tcPr>
            <w:tcW w:w="960" w:type="dxa"/>
            <w:vAlign w:val="bottom"/>
            <w:gridSpan w:val="3"/>
          </w:tcPr>
          <w:p>
            <w:pPr>
              <w:jc w:val="center"/>
              <w:ind w:left="225"/>
              <w:spacing w:after="0"/>
              <w:rPr>
                <w:sz w:val="20"/>
                <w:szCs w:val="20"/>
                <w:color w:val="auto"/>
              </w:rPr>
            </w:pPr>
            <w:r>
              <w:rPr>
                <w:rFonts w:ascii="Times New Roman" w:cs="Times New Roman" w:eastAsia="Times New Roman" w:hAnsi="Times New Roman"/>
                <w:sz w:val="20"/>
                <w:szCs w:val="20"/>
                <w:color w:val="auto"/>
                <w:w w:val="98"/>
              </w:rPr>
              <w:t>405,797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8"/>
              </w:rPr>
              <w:t>228,009</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(167,395)</w:t>
            </w:r>
          </w:p>
        </w:tc>
        <w:tc>
          <w:tcPr>
            <w:tcW w:w="160" w:type="dxa"/>
            <w:vAlign w:val="bottom"/>
          </w:tcPr>
          <w:p>
            <w:pPr>
              <w:spacing w:after="0"/>
              <w:rPr>
                <w:sz w:val="24"/>
                <w:szCs w:val="24"/>
                <w:color w:val="auto"/>
              </w:rPr>
            </w:pPr>
          </w:p>
        </w:tc>
        <w:tc>
          <w:tcPr>
            <w:tcW w:w="60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(272)</w:t>
            </w:r>
          </w:p>
        </w:tc>
        <w:tc>
          <w:tcPr>
            <w:tcW w:w="24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466,139</w:t>
            </w:r>
          </w:p>
        </w:tc>
      </w:tr>
      <w:tr>
        <w:trPr>
          <w:trHeight w:val="20"/>
        </w:trPr>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ind w:right="800" w:firstLine="399"/>
        <w:spacing w:after="0" w:line="284" w:lineRule="auto"/>
        <w:rPr>
          <w:sz w:val="20"/>
          <w:szCs w:val="20"/>
          <w:color w:val="auto"/>
        </w:rPr>
      </w:pPr>
      <w:r>
        <w:rPr>
          <w:rFonts w:ascii="Times New Roman" w:cs="Times New Roman" w:eastAsia="Times New Roman" w:hAnsi="Times New Roman"/>
          <w:sz w:val="20"/>
          <w:szCs w:val="20"/>
          <w:color w:val="auto"/>
        </w:rPr>
        <w:t>Amounts recognized in the financial statements for stock-based compensation are as follows (in thousands):</w:t>
      </w:r>
    </w:p>
    <w:p>
      <w:pPr>
        <w:spacing w:after="0" w:line="9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4414520</wp:posOffset>
                </wp:positionH>
                <wp:positionV relativeFrom="paragraph">
                  <wp:posOffset>33655</wp:posOffset>
                </wp:positionV>
                <wp:extent cx="135763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763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pt,2.65pt" to="454.5pt,2.65pt" o:allowincell="f" strokecolor="#000000" strokeweight="0.4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tcPr>
          <w:p>
            <w:pPr>
              <w:spacing w:after="0"/>
              <w:rPr>
                <w:sz w:val="17"/>
                <w:szCs w:val="17"/>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
        </w:trPr>
        <w:tc>
          <w:tcPr>
            <w:tcW w:w="69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6"/>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Total Cost of Share-Based Plans Charged Against Income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$4,158</w:t>
            </w:r>
          </w:p>
        </w:tc>
        <w:tc>
          <w:tcPr>
            <w:tcW w:w="2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$3,637</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$3,673</w:t>
            </w:r>
          </w:p>
        </w:tc>
      </w:tr>
      <w:tr>
        <w:trPr>
          <w:trHeight w:val="20"/>
        </w:trPr>
        <w:tc>
          <w:tcPr>
            <w:tcW w:w="6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F-41</w:t>
      </w:r>
    </w:p>
    <w:p>
      <w:pPr>
        <w:sectPr>
          <w:pgSz w:w="11880" w:h="15480" w:orient="portrait"/>
          <w:cols w:equalWidth="0" w:num="1">
            <w:col w:w="9100"/>
          </w:cols>
          <w:pgMar w:left="1400" w:top="1025" w:right="1380" w:bottom="7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t>EQUITY-CLASSIFIED STOCK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Share Awards — Peer Group Market Condition Vesting</w:t>
      </w:r>
    </w:p>
    <w:p>
      <w:pPr>
        <w:spacing w:after="0" w:line="168" w:lineRule="exact"/>
        <w:rPr>
          <w:sz w:val="20"/>
          <w:szCs w:val="20"/>
          <w:color w:val="auto"/>
        </w:rPr>
      </w:pPr>
    </w:p>
    <w:p>
      <w:pPr>
        <w:ind w:right="80" w:firstLine="399"/>
        <w:spacing w:after="0" w:line="251" w:lineRule="auto"/>
        <w:rPr>
          <w:sz w:val="20"/>
          <w:szCs w:val="20"/>
          <w:color w:val="auto"/>
        </w:rPr>
      </w:pPr>
      <w:r>
        <w:rPr>
          <w:rFonts w:ascii="Times New Roman" w:cs="Times New Roman" w:eastAsia="Times New Roman" w:hAnsi="Times New Roman"/>
          <w:sz w:val="20"/>
          <w:szCs w:val="20"/>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110,270 performance shares during the year ended December 31, 2025.</w:t>
      </w:r>
    </w:p>
    <w:p>
      <w:pPr>
        <w:spacing w:after="0" w:line="349"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20"/>
          <w:szCs w:val="20"/>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three-year service period is met.</w:t>
      </w:r>
    </w:p>
    <w:p>
      <w:pPr>
        <w:spacing w:after="0" w:line="109" w:lineRule="exact"/>
        <w:rPr>
          <w:sz w:val="20"/>
          <w:szCs w:val="20"/>
          <w:color w:val="auto"/>
        </w:rPr>
      </w:pPr>
    </w:p>
    <w:p>
      <w:pPr>
        <w:ind w:right="140" w:firstLine="399"/>
        <w:spacing w:after="0" w:line="262" w:lineRule="auto"/>
        <w:rPr>
          <w:sz w:val="20"/>
          <w:szCs w:val="20"/>
          <w:color w:val="auto"/>
        </w:rPr>
      </w:pPr>
      <w:r>
        <w:rPr>
          <w:rFonts w:ascii="Times New Roman" w:cs="Times New Roman" w:eastAsia="Times New Roman" w:hAnsi="Times New Roman"/>
          <w:sz w:val="20"/>
          <w:szCs w:val="20"/>
          <w:color w:val="auto"/>
        </w:rPr>
        <w:t>As of December 31, 2025, there was $1.9 million of unrecognized compensation cost, adjusted for estimated forfeitures, related to the outstanding performance share awards, which will be recognized over a remaining weighted average period of 1.8 years.</w:t>
      </w:r>
    </w:p>
    <w:p>
      <w:pPr>
        <w:spacing w:after="0" w:line="97" w:lineRule="exact"/>
        <w:rPr>
          <w:sz w:val="20"/>
          <w:szCs w:val="20"/>
          <w:color w:val="auto"/>
        </w:rPr>
      </w:pPr>
    </w:p>
    <w:p>
      <w:pPr>
        <w:ind w:right="60" w:firstLine="399"/>
        <w:spacing w:after="0" w:line="279" w:lineRule="auto"/>
        <w:rPr>
          <w:sz w:val="20"/>
          <w:szCs w:val="20"/>
          <w:color w:val="auto"/>
        </w:rPr>
      </w:pPr>
      <w:r>
        <w:rPr>
          <w:rFonts w:ascii="Times New Roman" w:cs="Times New Roman" w:eastAsia="Times New Roman" w:hAnsi="Times New Roman"/>
          <w:sz w:val="20"/>
          <w:szCs w:val="20"/>
          <w:color w:val="auto"/>
        </w:rPr>
        <w:t>A summary of the activity for these awards during the years ended December 31, 2025, 2024, and 2023 is presented below:</w:t>
      </w:r>
    </w:p>
    <w:p>
      <w:pPr>
        <w:spacing w:after="0" w:line="9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Wtd. Avg. Fair</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Performance Shares With Market Conditions</w:t>
            </w:r>
          </w:p>
        </w:tc>
        <w:tc>
          <w:tcPr>
            <w:tcW w:w="2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Value Per Share</w:t>
            </w:r>
          </w:p>
        </w:tc>
      </w:tr>
      <w:tr>
        <w:trPr>
          <w:trHeight w:val="30"/>
        </w:trPr>
        <w:tc>
          <w:tcPr>
            <w:tcW w:w="6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83"/>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January 1, 2023 . . . . .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230,247</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$16.85</w:t>
            </w:r>
          </w:p>
        </w:tc>
      </w:tr>
      <w:tr>
        <w:trPr>
          <w:trHeight w:val="299"/>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88,754</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$18.10</w:t>
            </w:r>
          </w:p>
        </w:tc>
      </w:tr>
      <w:tr>
        <w:trPr>
          <w:trHeight w:val="299"/>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(72,141)</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$14.17</w:t>
            </w:r>
          </w:p>
        </w:tc>
      </w:tr>
      <w:tr>
        <w:trPr>
          <w:trHeight w:val="299"/>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Expired . . . . . . . . . . . . . . . . . . . . . . . . . . . . . . . . . . . . . . . . . . . .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w:t>
            </w:r>
          </w:p>
        </w:tc>
        <w:tc>
          <w:tcPr>
            <w:tcW w:w="2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(9,485)</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$18.10</w:t>
            </w:r>
          </w:p>
        </w:tc>
      </w:tr>
      <w:tr>
        <w:trPr>
          <w:trHeight w:val="20"/>
        </w:trPr>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6"/>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December 31, 2023 . . .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237,375</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$18.08</w:t>
            </w:r>
          </w:p>
        </w:tc>
      </w:tr>
      <w:tr>
        <w:trPr>
          <w:trHeight w:val="299"/>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100,391</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$15.28</w:t>
            </w:r>
          </w:p>
        </w:tc>
      </w:tr>
      <w:tr>
        <w:trPr>
          <w:trHeight w:val="299"/>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(85,938)</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$15.99</w:t>
            </w:r>
          </w:p>
        </w:tc>
      </w:tr>
      <w:tr>
        <w:trPr>
          <w:trHeight w:val="299"/>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Expired . . . . . . . . . . . . . . . . . . . . . . . . . . . . . . . . . . . . . . . . . . . .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w:t>
            </w:r>
          </w:p>
        </w:tc>
        <w:tc>
          <w:tcPr>
            <w:tcW w:w="2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(43,825)</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$17.67</w:t>
            </w:r>
          </w:p>
        </w:tc>
      </w:tr>
      <w:tr>
        <w:trPr>
          <w:trHeight w:val="20"/>
        </w:trPr>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6"/>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December 31, 2024 . . .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208,003</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$17.68</w:t>
            </w:r>
          </w:p>
        </w:tc>
      </w:tr>
      <w:tr>
        <w:trPr>
          <w:trHeight w:val="299"/>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110,270</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$20.68</w:t>
            </w:r>
          </w:p>
        </w:tc>
      </w:tr>
      <w:tr>
        <w:trPr>
          <w:trHeight w:val="299"/>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(55,386)</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$20.76</w:t>
            </w:r>
          </w:p>
        </w:tc>
      </w:tr>
      <w:tr>
        <w:trPr>
          <w:trHeight w:val="299"/>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Expired . . . . . . . . . . . . . . . . . . . . . . . . . . . . . . . . . . . . . . . . . . . .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9"/>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December 31, 2025 . . .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262,887</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$18.29</w:t>
            </w:r>
          </w:p>
        </w:tc>
      </w:tr>
      <w:tr>
        <w:trPr>
          <w:trHeight w:val="20"/>
        </w:trPr>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Three Year Vest Restricted Shares</w:t>
      </w:r>
    </w:p>
    <w:p>
      <w:pPr>
        <w:spacing w:after="0" w:line="168"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Restricted shares have been granted to certain employees under the 2010 Plan. Certain of the restricted shares vest on each of the first, second, and third anniversaries of January 28 of the applicable year provided the grantee is an employee of the Company on those dates. In addition, any unvested portion of the restricted shares will vest upon a change in control. Certain other restricted share awards, granted on July 1, 2022, vested entirely on the third anniversary of the grant date, or July 1, 2025. The Company granted a total of 117,739 shares of restricted Company common stock during the year ended December 31, 2025.</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F-42</w:t>
      </w:r>
    </w:p>
    <w:p>
      <w:pPr>
        <w:sectPr>
          <w:pgSz w:w="11880" w:h="15480" w:orient="portrait"/>
          <w:cols w:equalWidth="0" w:num="1">
            <w:col w:w="9100"/>
          </w:cols>
          <w:pgMar w:left="1400" w:top="1023" w:right="1380" w:bottom="70" w:gutter="0" w:footer="0" w:header="0"/>
        </w:sectPr>
      </w:pPr>
    </w:p>
    <w:bookmarkStart w:id="118" w:name="page119"/>
    <w:bookmarkEnd w:id="118"/>
    <w:p>
      <w:pPr>
        <w:ind w:right="200" w:firstLine="399"/>
        <w:spacing w:after="0" w:line="257"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Company’s determination of the fair value of the three-year vest restricted stock awards was calculated by multiplying the number of shares issued by the Company’s stock price at the grant date. Compensation cost is recognized on a straight-line basis over the applicable vesting period.</w:t>
      </w:r>
    </w:p>
    <w:p>
      <w:pPr>
        <w:spacing w:after="0" w:line="105" w:lineRule="exact"/>
        <w:rPr>
          <w:sz w:val="20"/>
          <w:szCs w:val="20"/>
          <w:color w:val="auto"/>
        </w:rPr>
      </w:pPr>
    </w:p>
    <w:p>
      <w:pPr>
        <w:jc w:val="both"/>
        <w:ind w:right="320" w:firstLine="399"/>
        <w:spacing w:after="0" w:line="262" w:lineRule="auto"/>
        <w:rPr>
          <w:sz w:val="20"/>
          <w:szCs w:val="20"/>
          <w:color w:val="auto"/>
        </w:rPr>
      </w:pPr>
      <w:r>
        <w:rPr>
          <w:rFonts w:ascii="Times New Roman" w:cs="Times New Roman" w:eastAsia="Times New Roman" w:hAnsi="Times New Roman"/>
          <w:sz w:val="20"/>
          <w:szCs w:val="20"/>
          <w:color w:val="auto"/>
        </w:rPr>
        <w:t>As of December 31, 2025, there was $2.2 million of unrecognized compensation cost, adjusted for estimated forfeitures, related to the three-year vest non-vested restricted shares, which will be recognized over a remaining weighted average period of 1.8 years.</w:t>
      </w:r>
    </w:p>
    <w:p>
      <w:pPr>
        <w:spacing w:after="0" w:line="101" w:lineRule="exact"/>
        <w:rPr>
          <w:sz w:val="20"/>
          <w:szCs w:val="20"/>
          <w:color w:val="auto"/>
        </w:rPr>
      </w:pPr>
    </w:p>
    <w:p>
      <w:pPr>
        <w:ind w:right="20" w:firstLine="399"/>
        <w:spacing w:after="0" w:line="279" w:lineRule="auto"/>
        <w:rPr>
          <w:sz w:val="20"/>
          <w:szCs w:val="20"/>
          <w:color w:val="auto"/>
        </w:rPr>
      </w:pPr>
      <w:r>
        <w:rPr>
          <w:rFonts w:ascii="Times New Roman" w:cs="Times New Roman" w:eastAsia="Times New Roman" w:hAnsi="Times New Roman"/>
          <w:sz w:val="20"/>
          <w:szCs w:val="20"/>
          <w:color w:val="auto"/>
        </w:rPr>
        <w:t>A summary of the activity for these awards during the years ended December 31, 2025, 2024, and 2023 is presented below:</w:t>
      </w:r>
    </w:p>
    <w:p>
      <w:pPr>
        <w:spacing w:after="0" w:line="9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Wtd. Avg. Fair</w:t>
            </w:r>
          </w:p>
        </w:tc>
      </w:tr>
      <w:tr>
        <w:trPr>
          <w:trHeight w:val="203"/>
        </w:trPr>
        <w:tc>
          <w:tcPr>
            <w:tcW w:w="6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Non-Vested Restricted Shares</w:t>
            </w:r>
          </w:p>
        </w:tc>
        <w:tc>
          <w:tcPr>
            <w:tcW w:w="24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Value Per Share</w:t>
            </w:r>
          </w:p>
        </w:tc>
      </w:tr>
      <w:tr>
        <w:trPr>
          <w:trHeight w:val="30"/>
        </w:trPr>
        <w:tc>
          <w:tcPr>
            <w:tcW w:w="6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83"/>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January 1, 2023  . . . . . . . . . . . . . . . . . . . . . . . . . .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212,079</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$17.97</w:t>
            </w:r>
          </w:p>
        </w:tc>
      </w:tr>
      <w:tr>
        <w:trPr>
          <w:trHeight w:val="29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96,453</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$19.12</w:t>
            </w:r>
          </w:p>
        </w:tc>
      </w:tr>
      <w:tr>
        <w:trPr>
          <w:trHeight w:val="29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(74,229)</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$16.00</w:t>
            </w:r>
          </w:p>
        </w:tc>
      </w:tr>
      <w:tr>
        <w:trPr>
          <w:trHeight w:val="299"/>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Expired  . . . . . . . . . . . . . . . . . . . . . . . . . . . . . . . . . . . . . . . . . . .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w:t>
            </w: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(17,946)</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$19.08</w:t>
            </w:r>
          </w:p>
        </w:tc>
      </w:tr>
      <w:tr>
        <w:trPr>
          <w:trHeight w:val="286"/>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December 31, 2023 . . . . . . . . . . . . . . . . . . . . . . . . . .</w:t>
            </w:r>
          </w:p>
        </w:tc>
        <w:tc>
          <w:tcPr>
            <w:tcW w:w="24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216,357</w:t>
            </w:r>
          </w:p>
        </w:tc>
        <w:tc>
          <w:tcPr>
            <w:tcW w:w="16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$19.07</w:t>
            </w:r>
          </w:p>
        </w:tc>
        <w:tc>
          <w:tcPr>
            <w:tcW w:w="260" w:type="dxa"/>
            <w:vAlign w:val="bottom"/>
          </w:tcPr>
          <w:p>
            <w:pPr>
              <w:spacing w:after="0"/>
              <w:rPr>
                <w:sz w:val="24"/>
                <w:szCs w:val="24"/>
                <w:color w:val="auto"/>
              </w:rPr>
            </w:pPr>
          </w:p>
        </w:tc>
      </w:tr>
      <w:tr>
        <w:trPr>
          <w:trHeight w:val="29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108,391</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$16.31</w:t>
            </w:r>
          </w:p>
        </w:tc>
      </w:tr>
      <w:tr>
        <w:trPr>
          <w:trHeight w:val="29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(75,434)</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$17.80</w:t>
            </w:r>
          </w:p>
        </w:tc>
      </w:tr>
      <w:tr>
        <w:trPr>
          <w:trHeight w:val="299"/>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Expired  . . . . . . . . . . . . . . . . . . . . . . . . . . . . . . . . . . . . . . . . . . .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w:t>
            </w: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(51,520)</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$18.76</w:t>
            </w:r>
          </w:p>
        </w:tc>
      </w:tr>
      <w:tr>
        <w:trPr>
          <w:trHeight w:val="286"/>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December 31, 2024 . . . . . . . . . . . . . . . . . . . . . . . . . .</w:t>
            </w:r>
          </w:p>
        </w:tc>
        <w:tc>
          <w:tcPr>
            <w:tcW w:w="24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197,794</w:t>
            </w:r>
          </w:p>
        </w:tc>
        <w:tc>
          <w:tcPr>
            <w:tcW w:w="16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$18.12</w:t>
            </w:r>
          </w:p>
        </w:tc>
        <w:tc>
          <w:tcPr>
            <w:tcW w:w="260" w:type="dxa"/>
            <w:vAlign w:val="bottom"/>
          </w:tcPr>
          <w:p>
            <w:pPr>
              <w:spacing w:after="0"/>
              <w:rPr>
                <w:sz w:val="24"/>
                <w:szCs w:val="24"/>
                <w:color w:val="auto"/>
              </w:rPr>
            </w:pPr>
          </w:p>
        </w:tc>
      </w:tr>
      <w:tr>
        <w:trPr>
          <w:trHeight w:val="29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117,739</w:t>
            </w:r>
          </w:p>
        </w:tc>
        <w:tc>
          <w:tcPr>
            <w:tcW w:w="160" w:type="dxa"/>
            <w:vAlign w:val="bottom"/>
          </w:tcPr>
          <w:p>
            <w:pPr>
              <w:spacing w:after="0"/>
              <w:rPr>
                <w:sz w:val="24"/>
                <w:szCs w:val="24"/>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$20.39</w:t>
            </w:r>
          </w:p>
        </w:tc>
      </w:tr>
      <w:tr>
        <w:trPr>
          <w:trHeight w:val="29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(112,009)</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$18.86</w:t>
            </w:r>
          </w:p>
        </w:tc>
      </w:tr>
      <w:tr>
        <w:trPr>
          <w:trHeight w:val="299"/>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Expired  . . . . . . . . . . . . . . . . . . . . . . . . . . . . . . . . . . . . . . . . . . .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w:t>
            </w: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$17.06</w:t>
            </w:r>
          </w:p>
        </w:tc>
        <w:tc>
          <w:tcPr>
            <w:tcW w:w="260" w:type="dxa"/>
            <w:vAlign w:val="bottom"/>
          </w:tcPr>
          <w:p>
            <w:pPr>
              <w:spacing w:after="0"/>
              <w:rPr>
                <w:sz w:val="24"/>
                <w:szCs w:val="24"/>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December 31, 2025 . . . . . . . . . . . . . . . . . . . . . . . . . .</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203,252</w:t>
            </w:r>
          </w:p>
        </w:tc>
        <w:tc>
          <w:tcPr>
            <w:tcW w:w="16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$19.02</w:t>
            </w:r>
          </w:p>
        </w:tc>
        <w:tc>
          <w:tcPr>
            <w:tcW w:w="260" w:type="dxa"/>
            <w:vAlign w:val="bottom"/>
          </w:tcPr>
          <w:p>
            <w:pPr>
              <w:spacing w:after="0"/>
              <w:rPr>
                <w:sz w:val="24"/>
                <w:szCs w:val="24"/>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NON-EMPLOYEE DIRECTOR STOCK COMPENSATION</w:t>
      </w:r>
    </w:p>
    <w:p>
      <w:pPr>
        <w:spacing w:after="0" w:line="171"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last day of the quarter, rounded down to the nearest whole number of shares.</w:t>
      </w:r>
    </w:p>
    <w:p>
      <w:pPr>
        <w:spacing w:after="0" w:line="110" w:lineRule="exact"/>
        <w:rPr>
          <w:sz w:val="20"/>
          <w:szCs w:val="20"/>
          <w:color w:val="auto"/>
        </w:rPr>
      </w:pPr>
    </w:p>
    <w:p>
      <w:pPr>
        <w:ind w:right="20" w:firstLine="399"/>
        <w:spacing w:after="0" w:line="250" w:lineRule="auto"/>
        <w:rPr>
          <w:sz w:val="20"/>
          <w:szCs w:val="20"/>
          <w:color w:val="auto"/>
        </w:rPr>
      </w:pPr>
      <w:r>
        <w:rPr>
          <w:rFonts w:ascii="Times New Roman" w:cs="Times New Roman" w:eastAsia="Times New Roman" w:hAnsi="Times New Roman"/>
          <w:sz w:val="20"/>
          <w:szCs w:val="20"/>
          <w:color w:val="auto"/>
        </w:rPr>
        <w:t>Each non-employee director serving as of the beginning of each calendar year shall receive an annual award of the Company’s common stock. The value of such award totaled $62,500 for the years ended December 31, 2025 and 2024, and $35,000 for the year ended December 31, 2023 (the “Annual Award”). The number of shares awarded is calculated based on the trailing 20-day average price of the Company’s common stock as of the date two business days prior to the date of the award, rounded down to the nearest whole number of shares. Commencing in 2021, non-employee directors no longer receive meeting fees, but receive additional retainers for service on Board committees, as set forth in the Company’s Non-Employee Director Compensation Policy available on the Company’s website (www.ctoreit.com).</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During the years ended December 31, 2025, 2024, and 2023, the expense recognized for the value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common stock received by non-employee directors totaled $0.7 million, or 33,466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$0.7 million or 38,068 shares, and $0.4 million or 25,147 shares, respectively. The expense recognized during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years ended December 31, 2025, 2024, and 2023 includes the Annual Award received during the first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quarter of each year.</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F-43</w:t>
      </w:r>
    </w:p>
    <w:p>
      <w:pPr>
        <w:sectPr>
          <w:pgSz w:w="11880" w:h="15480" w:orient="portrait"/>
          <w:cols w:equalWidth="0" w:num="1">
            <w:col w:w="9060"/>
          </w:cols>
          <w:pgMar w:left="1400" w:top="1025" w:right="1420" w:bottom="7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NOTE 21. INCOME TAXES</w:t>
      </w:r>
    </w:p>
    <w:p>
      <w:pPr>
        <w:spacing w:after="0" w:line="171" w:lineRule="exact"/>
        <w:rPr>
          <w:sz w:val="20"/>
          <w:szCs w:val="20"/>
          <w:color w:val="auto"/>
        </w:rPr>
      </w:pPr>
    </w:p>
    <w:p>
      <w:pPr>
        <w:ind w:firstLine="399"/>
        <w:spacing w:after="0" w:line="253" w:lineRule="auto"/>
        <w:rPr>
          <w:sz w:val="20"/>
          <w:szCs w:val="20"/>
          <w:color w:val="auto"/>
        </w:rPr>
      </w:pPr>
      <w:r>
        <w:rPr>
          <w:rFonts w:ascii="Times New Roman" w:cs="Times New Roman" w:eastAsia="Times New Roman" w:hAnsi="Times New Roman"/>
          <w:sz w:val="20"/>
          <w:szCs w:val="20"/>
          <w:color w:val="auto"/>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are subject to applicable U.S. federal, state and local corporate income tax on their taxable income. For the taxable year ended December 31, 2023, the Company held a total of two TRSs, each subject to taxation and the separate filing of its corporate income tax returns. Effective on January 1, 2024 and through December 31, 2025, the Company owns one TRS, which is subject to federal and applicable state income taxation. The TRS is required to file a separate corporate income tax return. Income taxes related to the Company’s TRS do not materially impact the consolidated financial statements of the Company.</w:t>
      </w:r>
    </w:p>
    <w:p>
      <w:pPr>
        <w:spacing w:after="0" w:line="382" w:lineRule="exact"/>
        <w:rPr>
          <w:sz w:val="20"/>
          <w:szCs w:val="20"/>
          <w:color w:val="auto"/>
        </w:rPr>
      </w:pPr>
    </w:p>
    <w:p>
      <w:pPr>
        <w:ind w:firstLine="399"/>
        <w:spacing w:after="0" w:line="255" w:lineRule="auto"/>
        <w:rPr>
          <w:sz w:val="20"/>
          <w:szCs w:val="20"/>
          <w:color w:val="auto"/>
        </w:rPr>
      </w:pPr>
      <w:r>
        <w:rPr>
          <w:rFonts w:ascii="Times New Roman" w:cs="Times New Roman" w:eastAsia="Times New Roman" w:hAnsi="Times New Roman"/>
          <w:sz w:val="20"/>
          <w:szCs w:val="20"/>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was subject to corporate income taxes related to assets held by it that it sold during the 5-year period following the date of conversion to the extent such sold assets had a built-in gain as of January 1, 2020. The Company disposed of certain, primarily single-tenant REIT assets after the REIT conversion within the 5-year period. All such sales were completed using 1031 Exchanges or other deferred tax structures to mitigate the built-in gain tax liability of conversion.</w:t>
      </w:r>
    </w:p>
    <w:p>
      <w:pPr>
        <w:spacing w:after="0" w:line="3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Total income tax benefit (expense) is summarized as follows (in thousands):</w:t>
      </w:r>
    </w:p>
    <w:p>
      <w:pPr>
        <w:spacing w:after="0" w:line="165"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4369435</wp:posOffset>
                </wp:positionH>
                <wp:positionV relativeFrom="paragraph">
                  <wp:posOffset>33655</wp:posOffset>
                </wp:positionV>
                <wp:extent cx="114871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87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05pt,2.65pt" to="434.5pt,2.65pt" o:allowincell="f" strokecolor="#000000" strokeweight="0.499pt"/>
            </w:pict>
          </mc:Fallback>
        </mc:AlternateContent>
      </w:r>
    </w:p>
    <w:p>
      <w:pPr>
        <w:spacing w:after="0" w:line="65"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r>
      <w:tr>
        <w:trPr>
          <w:trHeight w:val="30"/>
        </w:trPr>
        <w:tc>
          <w:tcPr>
            <w:tcW w:w="65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 . . . . . . . . . . . . . . . . . . . . . . . . . . . . . . .</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7"/>
              </w:rPr>
              <w:t>$(446)</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$339</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$(604)</w:t>
            </w: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provisions for income tax benefit (expense) are summarized as follows (in thousands):</w:t>
      </w:r>
    </w:p>
    <w:p>
      <w:pPr>
        <w:spacing w:after="0" w:line="165" w:lineRule="exact"/>
        <w:rPr>
          <w:sz w:val="20"/>
          <w:szCs w:val="20"/>
          <w:color w:val="auto"/>
        </w:rPr>
      </w:pPr>
    </w:p>
    <w:tbl>
      <w:tblPr>
        <w:tblLayout w:type="fixed"/>
        <w:tblInd w:w="380" w:type="dxa"/>
        <w:tblCellMar>
          <w:top w:w="0" w:type="dxa"/>
          <w:left w:w="0" w:type="dxa"/>
          <w:bottom w:w="0" w:type="dxa"/>
          <w:right w:w="0" w:type="dxa"/>
        </w:tblCellMar>
      </w:tblPr>
      <w:tr>
        <w:trPr>
          <w:trHeight w:val="208"/>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12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Federal  . . . . . . . . . . . . . . . . . . . . . . . . . . . . . . . . . . . . . . . . . . . .</w:t>
            </w: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$(288)</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7"/>
              </w:rPr>
              <w:t>$(119)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49"/>
        </w:trPr>
        <w:tc>
          <w:tcPr>
            <w:tcW w:w="6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State . . . . . . . . . . . . . . . . . . . . . . . . . . . . . . . . . . . . . . . . . . . . .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320" w:type="dxa"/>
            <w:vAlign w:val="bottom"/>
            <w:vMerge w:val="restart"/>
          </w:tcPr>
          <w:p>
            <w:pPr>
              <w:jc w:val="right"/>
              <w:ind w:right="3140"/>
              <w:spacing w:after="0"/>
              <w:rPr>
                <w:sz w:val="20"/>
                <w:szCs w:val="20"/>
                <w:color w:val="auto"/>
              </w:rPr>
            </w:pPr>
            <w:r>
              <w:rPr>
                <w:rFonts w:ascii="Times New Roman" w:cs="Times New Roman" w:eastAsia="Times New Roman" w:hAnsi="Times New Roman"/>
                <w:sz w:val="20"/>
                <w:szCs w:val="20"/>
                <w:color w:val="auto"/>
              </w:rPr>
              <w:t>Total Current . . . . . . . . . . . . . .</w:t>
            </w:r>
          </w:p>
        </w:tc>
        <w:tc>
          <w:tcPr>
            <w:tcW w:w="18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20" w:type="dxa"/>
            <w:vAlign w:val="bottom"/>
            <w:vMerge w:val="continue"/>
          </w:tcPr>
          <w:p>
            <w:pPr>
              <w:jc w:val="right"/>
              <w:ind w:right="20"/>
              <w:spacing w:after="0" w:line="189" w:lineRule="exact"/>
              <w:rPr>
                <w:sz w:val="20"/>
                <w:szCs w:val="20"/>
                <w:color w:val="auto"/>
              </w:rPr>
            </w:pPr>
            <w:r>
              <w:rPr>
                <w:rFonts w:ascii="Times New Roman" w:cs="Times New Roman" w:eastAsia="Times New Roman" w:hAnsi="Times New Roman"/>
                <w:sz w:val="20"/>
                <w:szCs w:val="20"/>
                <w:color w:val="auto"/>
              </w:rPr>
              <w:t>. . . . . . . . . . . . . . . . . . . . . . . . . .</w:t>
            </w:r>
          </w:p>
        </w:tc>
        <w:tc>
          <w:tcPr>
            <w:tcW w:w="180" w:type="dxa"/>
            <w:vAlign w:val="bottom"/>
            <w:gridSpan w:val="2"/>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(288)</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(119)</w:t>
            </w: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6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Federal  . . . . . . . . . . . . . . . . . . . . . . . . . . . . . . . . . . . . . . . . . . . .</w:t>
            </w: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(85)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405</w:t>
            </w:r>
          </w:p>
        </w:tc>
        <w:tc>
          <w:tcPr>
            <w:tcW w:w="1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(427)</w:t>
            </w:r>
          </w:p>
        </w:tc>
        <w:tc>
          <w:tcPr>
            <w:tcW w:w="0" w:type="dxa"/>
            <w:vAlign w:val="bottom"/>
          </w:tcPr>
          <w:p>
            <w:pPr>
              <w:spacing w:after="0"/>
              <w:rPr>
                <w:sz w:val="1"/>
                <w:szCs w:val="1"/>
                <w:color w:val="auto"/>
              </w:rPr>
            </w:pPr>
          </w:p>
        </w:tc>
      </w:tr>
      <w:tr>
        <w:trPr>
          <w:trHeight w:val="249"/>
        </w:trPr>
        <w:tc>
          <w:tcPr>
            <w:tcW w:w="6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State . . . . . . . . . . . . . . . . . . . . . . . . . . . . . . . . . . . . . . . . . . . . . .</w:t>
            </w:r>
          </w:p>
        </w:tc>
        <w:tc>
          <w:tcPr>
            <w:tcW w:w="180" w:type="dxa"/>
            <w:vAlign w:val="bottom"/>
            <w:gridSpan w:val="2"/>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0"/>
        </w:trPr>
        <w:tc>
          <w:tcPr>
            <w:tcW w:w="6320" w:type="dxa"/>
            <w:vAlign w:val="bottom"/>
            <w:vMerge w:val="restart"/>
          </w:tcPr>
          <w:p>
            <w:pPr>
              <w:jc w:val="right"/>
              <w:ind w:right="3140"/>
              <w:spacing w:after="0"/>
              <w:rPr>
                <w:sz w:val="20"/>
                <w:szCs w:val="20"/>
                <w:color w:val="auto"/>
              </w:rPr>
            </w:pPr>
            <w:r>
              <w:rPr>
                <w:rFonts w:ascii="Times New Roman" w:cs="Times New Roman" w:eastAsia="Times New Roman" w:hAnsi="Times New Roman"/>
                <w:sz w:val="20"/>
                <w:szCs w:val="20"/>
                <w:color w:val="auto"/>
              </w:rPr>
              <w:t>Total Deferred  . . . . . . . . . . . . .</w:t>
            </w:r>
          </w:p>
        </w:tc>
        <w:tc>
          <w:tcPr>
            <w:tcW w:w="18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20" w:type="dxa"/>
            <w:vAlign w:val="bottom"/>
            <w:vMerge w:val="continue"/>
          </w:tcPr>
          <w:p>
            <w:pPr>
              <w:jc w:val="right"/>
              <w:ind w:right="20"/>
              <w:spacing w:after="0" w:line="189" w:lineRule="exact"/>
              <w:rPr>
                <w:sz w:val="20"/>
                <w:szCs w:val="20"/>
                <w:color w:val="auto"/>
              </w:rPr>
            </w:pPr>
            <w:r>
              <w:rPr>
                <w:rFonts w:ascii="Times New Roman" w:cs="Times New Roman" w:eastAsia="Times New Roman" w:hAnsi="Times New Roman"/>
                <w:sz w:val="20"/>
                <w:szCs w:val="20"/>
                <w:color w:val="auto"/>
              </w:rPr>
              <w:t>. . . . . . . . . . . . . . . . . . . . . . . . . .</w:t>
            </w:r>
          </w:p>
        </w:tc>
        <w:tc>
          <w:tcPr>
            <w:tcW w:w="180" w:type="dxa"/>
            <w:vAlign w:val="bottom"/>
            <w:gridSpan w:val="2"/>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(158)</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458</w:t>
            </w: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(521)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Income Tax Benefit (Expense):</w:t>
            </w:r>
          </w:p>
        </w:tc>
        <w:tc>
          <w:tcPr>
            <w:tcW w:w="1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20" w:type="dxa"/>
            <w:vAlign w:val="bottom"/>
            <w:vMerge w:val="continue"/>
          </w:tcPr>
          <w:p>
            <w:pPr>
              <w:jc w:val="right"/>
              <w:ind w:right="20"/>
              <w:spacing w:after="0" w:line="189" w:lineRule="exact"/>
              <w:rPr>
                <w:sz w:val="20"/>
                <w:szCs w:val="20"/>
                <w:color w:val="auto"/>
              </w:rPr>
            </w:pPr>
            <w:r>
              <w:rPr>
                <w:rFonts w:ascii="Times New Roman" w:cs="Times New Roman" w:eastAsia="Times New Roman" w:hAnsi="Times New Roman"/>
                <w:sz w:val="20"/>
                <w:szCs w:val="20"/>
                <w:color w:val="auto"/>
              </w:rPr>
              <w:t>. . . . . . . . . . . . . . . . . . . . . . . . . .</w:t>
            </w: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(446)</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$ 339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(604)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00"/>
          </w:cols>
          <w:pgMar w:left="1400" w:top="1023" w:right="1380" w:bottom="70" w:gutter="0" w:footer="0" w:header="0"/>
        </w:sect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F-44</w:t>
      </w:r>
    </w:p>
    <w:p>
      <w:pPr>
        <w:sectPr>
          <w:pgSz w:w="11880" w:h="15480" w:orient="portrait"/>
          <w:cols w:equalWidth="0" w:num="1">
            <w:col w:w="9100"/>
          </w:cols>
          <w:pgMar w:left="1400" w:top="1023" w:right="1380" w:bottom="70" w:gutter="0" w:footer="0" w:header="0"/>
          <w:type w:val="continuous"/>
        </w:sectPr>
      </w:pPr>
    </w:p>
    <w:bookmarkStart w:id="120" w:name="page121"/>
    <w:bookmarkEnd w:id="120"/>
    <w:p>
      <w:pPr>
        <w:ind w:right="40" w:firstLine="399"/>
        <w:spacing w:after="0" w:line="256" w:lineRule="auto"/>
        <w:rPr>
          <w:sz w:val="20"/>
          <w:szCs w:val="20"/>
          <w:color w:val="auto"/>
        </w:rPr>
      </w:pPr>
      <w:r>
        <w:rPr>
          <w:rFonts w:ascii="Times New Roman" w:cs="Times New Roman" w:eastAsia="Times New Roman" w:hAnsi="Times New Roman"/>
          <w:sz w:val="20"/>
          <w:szCs w:val="20"/>
          <w:color w:val="auto"/>
        </w:rPr>
        <w:t>Deferred tax assets and liabilities are recognized for the future tax consequences attributable to the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25" w:lineRule="exact"/>
        <w:rPr>
          <w:sz w:val="20"/>
          <w:szCs w:val="20"/>
          <w:color w:val="auto"/>
        </w:rPr>
      </w:pPr>
    </w:p>
    <w:p>
      <w:pPr>
        <w:ind w:right="120" w:firstLine="399"/>
        <w:spacing w:after="0" w:line="284" w:lineRule="auto"/>
        <w:rPr>
          <w:sz w:val="20"/>
          <w:szCs w:val="20"/>
          <w:color w:val="auto"/>
        </w:rPr>
      </w:pPr>
      <w:r>
        <w:rPr>
          <w:rFonts w:ascii="Times New Roman" w:cs="Times New Roman" w:eastAsia="Times New Roman" w:hAnsi="Times New Roman"/>
          <w:sz w:val="20"/>
          <w:szCs w:val="20"/>
          <w:color w:val="auto"/>
        </w:rPr>
        <w:t>The sources of these differences and the related deferred income tax assets (liabilities) are summarized as follows (in thousands):</w:t>
      </w:r>
    </w:p>
    <w:p>
      <w:pPr>
        <w:spacing w:after="0" w:line="90"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72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Year Ended December 31,</w:t>
            </w: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6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Income Tax Assets</w:t>
            </w: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6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Capital Loss Carryforward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$ 1,493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$ 1,506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Operating Loss Carryforward . . . . . . . . . . . . . . . . . . . . . . . . . . .</w:t>
            </w:r>
          </w:p>
        </w:tc>
        <w:tc>
          <w:tcPr>
            <w:tcW w:w="60" w:type="dxa"/>
            <w:vAlign w:val="bottom"/>
          </w:tcPr>
          <w:p>
            <w:pPr>
              <w:spacing w:after="0"/>
              <w:rPr>
                <w:sz w:val="24"/>
                <w:szCs w:val="24"/>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2,388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Gross Deferred Income Tax Assets . . . . . . . . . . . . . . . . . . . . . . . . . . . .</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3,881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4,005</w:t>
            </w:r>
          </w:p>
        </w:tc>
        <w:tc>
          <w:tcPr>
            <w:tcW w:w="0" w:type="dxa"/>
            <w:vAlign w:val="bottom"/>
          </w:tcPr>
          <w:p>
            <w:pPr>
              <w:spacing w:after="0"/>
              <w:rPr>
                <w:sz w:val="1"/>
                <w:szCs w:val="1"/>
                <w:color w:val="auto"/>
              </w:rPr>
            </w:pPr>
          </w:p>
        </w:tc>
      </w:tr>
      <w:tr>
        <w:trPr>
          <w:trHeight w:val="302"/>
        </w:trPr>
        <w:tc>
          <w:tcPr>
            <w:tcW w:w="6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Less – Valuation Allowance  . . . . . . . . . . . . . . . . . . . . . . . . . . . . . . .</w:t>
            </w:r>
          </w:p>
        </w:tc>
        <w:tc>
          <w:tcPr>
            <w:tcW w:w="60" w:type="dxa"/>
            <w:vAlign w:val="bottom"/>
          </w:tcPr>
          <w:p>
            <w:pPr>
              <w:spacing w:after="0"/>
              <w:rPr>
                <w:sz w:val="24"/>
                <w:szCs w:val="24"/>
                <w:color w:val="auto"/>
              </w:rPr>
            </w:pP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(1,493)</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(1,506)</w:t>
            </w:r>
          </w:p>
        </w:tc>
        <w:tc>
          <w:tcPr>
            <w:tcW w:w="0" w:type="dxa"/>
            <w:vAlign w:val="bottom"/>
          </w:tcPr>
          <w:p>
            <w:pPr>
              <w:spacing w:after="0"/>
              <w:rPr>
                <w:sz w:val="1"/>
                <w:szCs w:val="1"/>
                <w:color w:val="auto"/>
              </w:rPr>
            </w:pPr>
          </w:p>
        </w:tc>
      </w:tr>
      <w:tr>
        <w:trPr>
          <w:trHeight w:val="286"/>
        </w:trPr>
        <w:tc>
          <w:tcPr>
            <w:tcW w:w="6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Deferred Income Tax Assets . . . . . . . . . . . . . . . . . . . . . . . . . . . . . .</w:t>
            </w:r>
          </w:p>
        </w:tc>
        <w:tc>
          <w:tcPr>
            <w:tcW w:w="60" w:type="dxa"/>
            <w:vAlign w:val="bottom"/>
          </w:tcPr>
          <w:p>
            <w:pPr>
              <w:spacing w:after="0"/>
              <w:rPr>
                <w:sz w:val="24"/>
                <w:szCs w:val="24"/>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2,388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 Liabilities</w:t>
            </w:r>
          </w:p>
        </w:tc>
        <w:tc>
          <w:tcPr>
            <w:tcW w:w="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Unrealized Gain on Investment Securities . . . . . . . . . . . . . . . . . . . . . .</w:t>
            </w:r>
          </w:p>
        </w:tc>
        <w:tc>
          <w:tcPr>
            <w:tcW w:w="60" w:type="dxa"/>
            <w:vAlign w:val="bottom"/>
          </w:tcPr>
          <w:p>
            <w:pPr>
              <w:spacing w:after="0"/>
              <w:rPr>
                <w:sz w:val="24"/>
                <w:szCs w:val="24"/>
                <w:color w:val="auto"/>
              </w:rPr>
            </w:pP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(79)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Deferred Income Tax Liabilities . . . . . . . . . . . . . . . . . . . . . . . . . .</w:t>
            </w:r>
          </w:p>
        </w:tc>
        <w:tc>
          <w:tcPr>
            <w:tcW w:w="60" w:type="dxa"/>
            <w:vAlign w:val="bottom"/>
          </w:tcPr>
          <w:p>
            <w:pPr>
              <w:spacing w:after="0"/>
              <w:rPr>
                <w:sz w:val="24"/>
                <w:szCs w:val="24"/>
                <w:color w:val="auto"/>
              </w:rPr>
            </w:pP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(79)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Deferred Income Tax Liabilities  . . . . . . . . . . . . . . . . . . . . . . . . .</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$ 2,309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$ 2,467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20"/>
          <w:szCs w:val="20"/>
          <w:color w:val="auto"/>
        </w:rPr>
        <w:t>In assessing the realizability of deferred income tax assets, management considers whether it is more likely than not that some portion or all of the deferred income tax assets will not be realized. The ultimate realization of deferred income tax assets is dependent upon the realization of future taxable income during the periods in which those temporary differences become deductible. We consider past history, the scheduled reversal of taxable temporary differences, projected future taxable income, and tax planning strategies in making this assessment. As of December 31, 2025 and 2024, the Company had $2.4 million and $2.5 million in deferred tax assets related to net operating loss (“NOL”) carryforwards, respectively. The Tax Cuts and Jobs Act allows for indefinite carryforwards for all NOLs generated in taxable years beginning after December 31, 2017. Accordingly, as of December 31, 2025 and 2024, no valuation allowance was considered necessary related to the Company’s NOL carryforwards. The Company had a capital loss carryforwards totaling $5.9 million for each of the years ended December 31, 2025 and 2024. Although the Company utilized less than $0.1 million, $0.4 million, and $0.6 million of the capital loss carryforwards during the years ended December 31, 2025, 2024, and 2023, respectively, the Company does not currently anticipate being able to fully utilize the remaining capital loss carryforwards prior to their expiration on December 31, 2026 and, accordingly, has allowed for the $1.5 million deferred tax asset in full for each of the years ending December 31, 2025 and 2024.</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F-45</w:t>
      </w:r>
    </w:p>
    <w:p>
      <w:pPr>
        <w:sectPr>
          <w:pgSz w:w="11880" w:h="15480" w:orient="portrait"/>
          <w:cols w:equalWidth="0" w:num="1">
            <w:col w:w="9100"/>
          </w:cols>
          <w:pgMar w:left="1400" w:top="1025" w:right="1380" w:bottom="70" w:gutter="0" w:footer="0" w:header="0"/>
          <w:type w:val="continuous"/>
        </w:sectPr>
      </w:pPr>
    </w:p>
    <w:bookmarkStart w:id="121" w:name="page122"/>
    <w:bookmarkEnd w:id="121"/>
    <w:p>
      <w:pPr>
        <w:ind w:left="10" w:right="140" w:firstLine="399"/>
        <w:spacing w:after="0" w:line="284" w:lineRule="auto"/>
        <w:rPr>
          <w:sz w:val="20"/>
          <w:szCs w:val="20"/>
          <w:color w:val="auto"/>
        </w:rPr>
      </w:pPr>
      <w:r>
        <w:rPr>
          <w:rFonts w:ascii="Times New Roman" w:cs="Times New Roman" w:eastAsia="Times New Roman" w:hAnsi="Times New Roman"/>
          <w:sz w:val="20"/>
          <w:szCs w:val="20"/>
          <w:color w:val="auto"/>
        </w:rPr>
        <w:t>Following is a reconciliation of the income tax computed at the federal statutory rate of 21% for 2025, 2024, and 2023, individually, for continuing operations (in thousands):</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Income Tax Benefit (Expense) Computed at Federal</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50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Statutory Rate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4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0.2%</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$ 384</w:t>
            </w:r>
          </w:p>
        </w:tc>
        <w:tc>
          <w:tcPr>
            <w:tcW w:w="24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16.7%</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7"/>
              </w:rPr>
              <w:t>$(353)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4"/>
              </w:rPr>
              <w:t>(5.8)%</w:t>
            </w:r>
          </w:p>
        </w:tc>
        <w:tc>
          <w:tcPr>
            <w:tcW w:w="0" w:type="dxa"/>
            <w:vAlign w:val="bottom"/>
          </w:tcPr>
          <w:p>
            <w:pPr>
              <w:spacing w:after="0"/>
              <w:rPr>
                <w:sz w:val="1"/>
                <w:szCs w:val="1"/>
                <w:color w:val="auto"/>
              </w:rPr>
            </w:pPr>
          </w:p>
        </w:tc>
      </w:tr>
      <w:tr>
        <w:trPr>
          <w:trHeight w:val="299"/>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 (Decrease) Resulting from:</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Income Tax, Net of Federal Income Tax Benefit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4.4%</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4"/>
              </w:rPr>
              <w:t>(1.5)%</w:t>
            </w:r>
          </w:p>
        </w:tc>
        <w:tc>
          <w:tcPr>
            <w:tcW w:w="0" w:type="dxa"/>
            <w:vAlign w:val="bottom"/>
          </w:tcPr>
          <w:p>
            <w:pPr>
              <w:spacing w:after="0"/>
              <w:rPr>
                <w:sz w:val="1"/>
                <w:szCs w:val="1"/>
                <w:color w:val="auto"/>
              </w:rPr>
            </w:pPr>
          </w:p>
        </w:tc>
      </w:tr>
      <w:tr>
        <w:trPr>
          <w:trHeight w:val="26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on Permanently Non-Deductible Items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(279)</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8"/>
              </w:rPr>
              <w:t>(2.6)%</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(6.6)%</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4"/>
              </w:rPr>
              <w:t>(2.6)%</w:t>
            </w:r>
          </w:p>
        </w:tc>
        <w:tc>
          <w:tcPr>
            <w:tcW w:w="0" w:type="dxa"/>
            <w:vAlign w:val="bottom"/>
          </w:tcPr>
          <w:p>
            <w:pPr>
              <w:spacing w:after="0"/>
              <w:rPr>
                <w:sz w:val="1"/>
                <w:szCs w:val="1"/>
                <w:color w:val="auto"/>
              </w:rPr>
            </w:pPr>
          </w:p>
        </w:tc>
      </w:tr>
      <w:tr>
        <w:trPr>
          <w:trHeight w:val="299"/>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Valuation Allowance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4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157</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6.8%</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113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336"/>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Franchise Tax Expense of REIT</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(183)</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8"/>
              </w:rPr>
              <w:t>(1.7)%</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0.0%</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66"/>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Reconciling Items  . . . . . . . . . . . . . . . . . . . . . .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(23)</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8"/>
              </w:rPr>
              <w:t>(0.2)%</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(6.5)%</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4"/>
              </w:rPr>
              <w:t>(1.9)%</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Benefit (Expense) for Income Taxes  . . . . . . . . . . . . . . .</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(446)</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8"/>
              </w:rPr>
              <w:t>(4.2)%</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$ 339</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14.7%</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7"/>
              </w:rPr>
              <w:t>$(604)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4"/>
              </w:rPr>
              <w:t>(9.8)%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140" w:type="dxa"/>
            <w:vAlign w:val="bottom"/>
            <w:tcBorders>
              <w:bottom w:val="single" w:sz="8" w:color="auto"/>
            </w:tcBorders>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90" w:hanging="390"/>
        <w:spacing w:after="0"/>
        <w:tabs>
          <w:tab w:leader="none" w:pos="39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state income taxes in the State of Florida.</w:t>
      </w:r>
    </w:p>
    <w:p>
      <w:pPr>
        <w:spacing w:after="0" w:line="95" w:lineRule="exact"/>
        <w:rPr>
          <w:rFonts w:ascii="Times New Roman" w:cs="Times New Roman" w:eastAsia="Times New Roman" w:hAnsi="Times New Roman"/>
          <w:sz w:val="16"/>
          <w:szCs w:val="16"/>
          <w:color w:val="auto"/>
        </w:rPr>
      </w:pPr>
    </w:p>
    <w:p>
      <w:pPr>
        <w:ind w:left="390" w:right="80" w:hanging="390"/>
        <w:spacing w:after="0" w:line="295" w:lineRule="auto"/>
        <w:tabs>
          <w:tab w:leader="none" w:pos="39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franchise tax expense of the REIT is included in Other Reconciling Items for the years ended December 31, 2024 and 2023, prior to the adoption of ASU 2023-09.</w:t>
      </w:r>
    </w:p>
    <w:p>
      <w:pPr>
        <w:spacing w:after="0" w:line="109" w:lineRule="exact"/>
        <w:rPr>
          <w:sz w:val="20"/>
          <w:szCs w:val="20"/>
          <w:color w:val="auto"/>
        </w:rPr>
      </w:pPr>
    </w:p>
    <w:p>
      <w:pPr>
        <w:ind w:left="10" w:right="280" w:firstLine="399"/>
        <w:spacing w:after="0" w:line="249" w:lineRule="auto"/>
        <w:rPr>
          <w:sz w:val="20"/>
          <w:szCs w:val="20"/>
          <w:color w:val="auto"/>
        </w:rPr>
      </w:pPr>
      <w:r>
        <w:rPr>
          <w:rFonts w:ascii="Times New Roman" w:cs="Times New Roman" w:eastAsia="Times New Roman" w:hAnsi="Times New Roman"/>
          <w:sz w:val="20"/>
          <w:szCs w:val="20"/>
          <w:color w:val="auto"/>
        </w:rPr>
        <w:t>The effective income tax rate assumes a blended rate for estimated state and local taxes on its income and property. The effective income tax rate for the years ended December 31, 2025, 2024, and 2023 was</w:t>
      </w:r>
    </w:p>
    <w:p>
      <w:pPr>
        <w:spacing w:after="0" w:line="2" w:lineRule="exact"/>
        <w:rPr>
          <w:sz w:val="20"/>
          <w:szCs w:val="20"/>
          <w:color w:val="auto"/>
        </w:rPr>
      </w:pPr>
    </w:p>
    <w:p>
      <w:pPr>
        <w:jc w:val="both"/>
        <w:ind w:left="10" w:right="60"/>
        <w:spacing w:after="0" w:line="261" w:lineRule="auto"/>
        <w:rPr>
          <w:sz w:val="20"/>
          <w:szCs w:val="20"/>
          <w:color w:val="auto"/>
        </w:rPr>
      </w:pPr>
      <w:r>
        <w:rPr>
          <w:rFonts w:ascii="Times New Roman" w:cs="Times New Roman" w:eastAsia="Times New Roman" w:hAnsi="Times New Roman"/>
          <w:sz w:val="20"/>
          <w:szCs w:val="20"/>
          <w:color w:val="auto"/>
        </w:rPr>
        <w:t>(4.2)%, 14.7%, and (9.8)%, respectively. The provision for income taxes reflects the Company’s estimate of the effective rate expected to be applicable for the full fiscal year, adjusted for any discrete events, which are reported in the period that they occur. There were no discrete events during the years ended December 31, 2025, 2024 or 2023.</w:t>
      </w:r>
    </w:p>
    <w:p>
      <w:pPr>
        <w:spacing w:after="0" w:line="117" w:lineRule="exact"/>
        <w:rPr>
          <w:sz w:val="20"/>
          <w:szCs w:val="20"/>
          <w:color w:val="auto"/>
        </w:rPr>
      </w:pPr>
    </w:p>
    <w:p>
      <w:pPr>
        <w:ind w:left="10" w:right="40" w:firstLine="399"/>
        <w:spacing w:after="0" w:line="254" w:lineRule="auto"/>
        <w:rPr>
          <w:sz w:val="20"/>
          <w:szCs w:val="20"/>
          <w:color w:val="auto"/>
        </w:rPr>
      </w:pPr>
      <w:r>
        <w:rPr>
          <w:rFonts w:ascii="Times New Roman" w:cs="Times New Roman" w:eastAsia="Times New Roman" w:hAnsi="Times New Roman"/>
          <w:sz w:val="20"/>
          <w:szCs w:val="20"/>
          <w:color w:val="auto"/>
        </w:rPr>
        <w:t>For prior taxable years through the year ended December 31, 2024, the Company has filed a consolidated income tax return in the United States Federal jurisdiction, and in all required states. The Internal Revenue Service (“IRS”) has audited the federal tax returns through the year 2013, with all proposed adjustments settled. The Florida Department of Revenue has audited the Florida tax returns through the year 2015, with all proposed adjustments settled. For the years ended December 31, 2025, 2024, and 2023, the Company recognized no uncertain tax positions or accrued interest and penalties for uncertain tax positions. If such positions do arise, it is the Company’s intent that any interest or penalty amount related to such positions will be recorded as a component of the income tax provision (benefit) in the applicable period.</w:t>
      </w:r>
    </w:p>
    <w:p>
      <w:pPr>
        <w:spacing w:after="0" w:line="128" w:lineRule="exact"/>
        <w:rPr>
          <w:sz w:val="20"/>
          <w:szCs w:val="20"/>
          <w:color w:val="auto"/>
        </w:rPr>
      </w:pPr>
    </w:p>
    <w:p>
      <w:pPr>
        <w:ind w:left="10" w:right="60" w:firstLine="399"/>
        <w:spacing w:after="0" w:line="267" w:lineRule="auto"/>
        <w:rPr>
          <w:sz w:val="20"/>
          <w:szCs w:val="20"/>
          <w:color w:val="auto"/>
        </w:rPr>
      </w:pPr>
      <w:r>
        <w:rPr>
          <w:rFonts w:ascii="Times New Roman" w:cs="Times New Roman" w:eastAsia="Times New Roman" w:hAnsi="Times New Roman"/>
          <w:sz w:val="20"/>
          <w:szCs w:val="20"/>
          <w:color w:val="auto"/>
        </w:rPr>
        <w:t>Income tax payments, net of refunds received, totaled $0.2 million during the year ended December 31, 2025. Income tax refunds received, net of payments made, totaled $0.1 million in each of the years ended December 31, 2024 and 2023.</w:t>
      </w:r>
    </w:p>
    <w:p>
      <w:pPr>
        <w:sectPr>
          <w:pgSz w:w="11880" w:h="15480" w:orient="portrait"/>
          <w:cols w:equalWidth="0" w:num="1">
            <w:col w:w="9150"/>
          </w:cols>
          <w:pgMar w:left="1390" w:top="1025" w:right="134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color w:val="auto"/>
        </w:rPr>
        <w:t>F-46</w:t>
      </w:r>
    </w:p>
    <w:p>
      <w:pPr>
        <w:sectPr>
          <w:pgSz w:w="11880" w:h="15480" w:orient="portrait"/>
          <w:cols w:equalWidth="0" w:num="1">
            <w:col w:w="9150"/>
          </w:cols>
          <w:pgMar w:left="1390" w:top="1025" w:right="1340" w:bottom="70" w:gutter="0" w:footer="0" w:header="0"/>
          <w:type w:val="continuous"/>
        </w:sectPr>
      </w:pPr>
    </w:p>
    <w:bookmarkStart w:id="122" w:name="page123"/>
    <w:bookmarkEnd w:id="122"/>
    <w:p>
      <w:pPr>
        <w:ind w:left="10"/>
        <w:spacing w:after="0"/>
        <w:rPr>
          <w:sz w:val="20"/>
          <w:szCs w:val="20"/>
          <w:color w:val="auto"/>
        </w:rPr>
      </w:pPr>
      <w:r>
        <w:rPr>
          <w:rFonts w:ascii="Times New Roman" w:cs="Times New Roman" w:eastAsia="Times New Roman" w:hAnsi="Times New Roman"/>
          <w:sz w:val="20"/>
          <w:szCs w:val="20"/>
          <w:b w:val="1"/>
          <w:bCs w:val="1"/>
          <w:color w:val="auto"/>
        </w:rPr>
        <w:t>NOTE 22. COMMITMENTS AND CONTINGENCIES</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MINIMUM FUTURE RENTAL PAYMENTS</w:t>
      </w:r>
    </w:p>
    <w:p>
      <w:pPr>
        <w:spacing w:after="0" w:line="171" w:lineRule="exact"/>
        <w:rPr>
          <w:sz w:val="20"/>
          <w:szCs w:val="20"/>
          <w:color w:val="auto"/>
        </w:rPr>
      </w:pPr>
    </w:p>
    <w:p>
      <w:pPr>
        <w:ind w:left="10" w:right="580" w:firstLine="399"/>
        <w:spacing w:after="0" w:line="267" w:lineRule="auto"/>
        <w:rPr>
          <w:sz w:val="20"/>
          <w:szCs w:val="20"/>
          <w:color w:val="auto"/>
        </w:rPr>
      </w:pPr>
      <w:r>
        <w:rPr>
          <w:rFonts w:ascii="Times New Roman" w:cs="Times New Roman" w:eastAsia="Times New Roman" w:hAnsi="Times New Roman"/>
          <w:sz w:val="20"/>
          <w:szCs w:val="20"/>
          <w:color w:val="auto"/>
        </w:rPr>
        <w:t>The Company leases, as lessee, certain equipment under operating leases. Minimum future rental payments under non-cancelable operating leases having remaining terms in excess of one year as of December 31, 2025, are summarized as follows (in thousands):</w:t>
      </w:r>
    </w:p>
    <w:p>
      <w:pPr>
        <w:spacing w:after="0" w:line="107" w:lineRule="exact"/>
        <w:rPr>
          <w:sz w:val="20"/>
          <w:szCs w:val="20"/>
          <w:color w:val="auto"/>
        </w:rPr>
      </w:pPr>
    </w:p>
    <w:tbl>
      <w:tblPr>
        <w:tblLayout w:type="fixed"/>
        <w:tblInd w:w="390" w:type="dxa"/>
        <w:tblCellMar>
          <w:top w:w="0" w:type="dxa"/>
          <w:left w:w="0" w:type="dxa"/>
          <w:bottom w:w="0" w:type="dxa"/>
          <w:right w:w="0" w:type="dxa"/>
        </w:tblCellMar>
      </w:tblPr>
      <w:tr>
        <w:trPr>
          <w:trHeight w:val="203"/>
        </w:trPr>
        <w:tc>
          <w:tcPr>
            <w:tcW w:w="7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Amounts</w:t>
            </w:r>
          </w:p>
        </w:tc>
      </w:tr>
      <w:tr>
        <w:trPr>
          <w:trHeight w:val="30"/>
        </w:trPr>
        <w:tc>
          <w:tcPr>
            <w:tcW w:w="7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4"/>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00" w:type="dxa"/>
            <w:vAlign w:val="bottom"/>
          </w:tcPr>
          <w:p>
            <w:pPr>
              <w:spacing w:after="0"/>
              <w:rPr>
                <w:sz w:val="24"/>
                <w:szCs w:val="24"/>
                <w:color w:val="auto"/>
              </w:rPr>
            </w:pPr>
          </w:p>
        </w:tc>
      </w:tr>
      <w:tr>
        <w:trPr>
          <w:trHeight w:val="299"/>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00" w:type="dxa"/>
            <w:vAlign w:val="bottom"/>
          </w:tcPr>
          <w:p>
            <w:pPr>
              <w:spacing w:after="0"/>
              <w:rPr>
                <w:sz w:val="24"/>
                <w:szCs w:val="24"/>
                <w:color w:val="auto"/>
              </w:rPr>
            </w:pPr>
          </w:p>
        </w:tc>
      </w:tr>
      <w:tr>
        <w:trPr>
          <w:trHeight w:val="299"/>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Pr>
          <w:p>
            <w:pPr>
              <w:spacing w:after="0"/>
              <w:rPr>
                <w:sz w:val="24"/>
                <w:szCs w:val="24"/>
                <w:color w:val="auto"/>
              </w:rPr>
            </w:pPr>
          </w:p>
        </w:tc>
      </w:tr>
      <w:tr>
        <w:trPr>
          <w:trHeight w:val="299"/>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4"/>
                <w:szCs w:val="24"/>
                <w:color w:val="auto"/>
              </w:rPr>
            </w:pPr>
          </w:p>
        </w:tc>
      </w:tr>
      <w:tr>
        <w:trPr>
          <w:trHeight w:val="299"/>
        </w:trPr>
        <w:tc>
          <w:tcPr>
            <w:tcW w:w="7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2030 . . . . . . . . . . . . . . . . . . . . . . . . . . . . . . . . . . . . . . . . . . . . . . . . . . . . . . . . . . .</w:t>
            </w: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7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2031 and Thereafter (Cumulative) . . . . . . . . . . . . . . . . . . . . . . . . . . . . . . . . . . . . . .</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r>
      <w:tr>
        <w:trPr>
          <w:trHeight w:val="286"/>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Total Lease Payments . . . . .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100" w:type="dxa"/>
            <w:vAlign w:val="bottom"/>
          </w:tcPr>
          <w:p>
            <w:pPr>
              <w:spacing w:after="0"/>
              <w:rPr>
                <w:sz w:val="24"/>
                <w:szCs w:val="24"/>
                <w:color w:val="auto"/>
              </w:rPr>
            </w:pPr>
          </w:p>
        </w:tc>
      </w:tr>
      <w:tr>
        <w:trPr>
          <w:trHeight w:val="302"/>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Imputed Interest . . . . . . . . . . . . . . . . . . . . . . . . . . . . . . . . . . . . . . . . . . . . . . . . . .</w:t>
            </w:r>
          </w:p>
        </w:tc>
        <w:tc>
          <w:tcPr>
            <w:tcW w:w="340" w:type="dxa"/>
            <w:vAlign w:val="bottom"/>
            <w:gridSpan w:val="2"/>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(56)</w:t>
            </w:r>
          </w:p>
        </w:tc>
      </w:tr>
      <w:tr>
        <w:trPr>
          <w:trHeight w:val="20"/>
        </w:trPr>
        <w:tc>
          <w:tcPr>
            <w:tcW w:w="7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9"/>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 Liability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100" w:type="dxa"/>
            <w:vAlign w:val="bottom"/>
          </w:tcPr>
          <w:p>
            <w:pPr>
              <w:spacing w:after="0"/>
              <w:rPr>
                <w:sz w:val="24"/>
                <w:szCs w:val="24"/>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10" w:right="740" w:firstLine="399"/>
        <w:spacing w:after="0" w:line="284" w:lineRule="auto"/>
        <w:rPr>
          <w:sz w:val="20"/>
          <w:szCs w:val="20"/>
          <w:color w:val="auto"/>
        </w:rPr>
      </w:pPr>
      <w:r>
        <w:rPr>
          <w:rFonts w:ascii="Times New Roman" w:cs="Times New Roman" w:eastAsia="Times New Roman" w:hAnsi="Times New Roman"/>
          <w:sz w:val="20"/>
          <w:szCs w:val="20"/>
          <w:color w:val="auto"/>
        </w:rPr>
        <w:t>Rental expense under all operating leases amounted to $0.1 million for each of the years ended December 31, 2025, 2024, and 2023.</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71" w:lineRule="exact"/>
        <w:rPr>
          <w:sz w:val="20"/>
          <w:szCs w:val="20"/>
          <w:color w:val="auto"/>
        </w:rPr>
      </w:pPr>
    </w:p>
    <w:p>
      <w:pPr>
        <w:ind w:left="10" w:right="80" w:firstLine="399"/>
        <w:spacing w:after="0" w:line="261" w:lineRule="auto"/>
        <w:rPr>
          <w:sz w:val="20"/>
          <w:szCs w:val="20"/>
          <w:color w:val="auto"/>
        </w:rPr>
      </w:pPr>
      <w:r>
        <w:rPr>
          <w:rFonts w:ascii="Times New Roman" w:cs="Times New Roman" w:eastAsia="Times New Roman" w:hAnsi="Times New Roman"/>
          <w:sz w:val="20"/>
          <w:szCs w:val="20"/>
          <w:color w:val="auto"/>
        </w:rPr>
        <w:t>From time to time, the Company may be a party to certain legal proceedings, incidental to the normal course of its business. While the outcome of legal proceedings cannot be predicted with certainty, the Company is not currently a party to any pending or threatened legal proceedings that we believe could have a material adverse effect on the Company’s business or financial condition.</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CONTRACTUAL COMMITMENTS — EXPENDITURES</w:t>
      </w:r>
    </w:p>
    <w:p>
      <w:pPr>
        <w:spacing w:after="0" w:line="171" w:lineRule="exact"/>
        <w:rPr>
          <w:sz w:val="20"/>
          <w:szCs w:val="20"/>
          <w:color w:val="auto"/>
        </w:rPr>
      </w:pPr>
    </w:p>
    <w:p>
      <w:pPr>
        <w:ind w:left="10" w:right="260" w:firstLine="399"/>
        <w:spacing w:after="0" w:line="267" w:lineRule="auto"/>
        <w:rPr>
          <w:sz w:val="20"/>
          <w:szCs w:val="20"/>
          <w:color w:val="auto"/>
        </w:rPr>
      </w:pPr>
      <w:r>
        <w:rPr>
          <w:rFonts w:ascii="Times New Roman" w:cs="Times New Roman" w:eastAsia="Times New Roman" w:hAnsi="Times New Roman"/>
          <w:sz w:val="20"/>
          <w:szCs w:val="20"/>
          <w:color w:val="auto"/>
        </w:rPr>
        <w:t>The Company has committed to fund the following capital improvements. The improvements, which are related to several properties, are estimated to be generally completed within twelve months. These commitments, as of December 31, 2025, are as follows (in thousands):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40" w:type="dxa"/>
            <w:vAlign w:val="bottom"/>
            <w:gridSpan w:val="4"/>
          </w:tcPr>
          <w:p>
            <w:pPr>
              <w:jc w:val="center"/>
              <w:ind w:left="34"/>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900" w:type="dxa"/>
            <w:vAlign w:val="bottom"/>
            <w:gridSpan w:val="3"/>
          </w:tcPr>
          <w:p>
            <w:pPr>
              <w:jc w:val="center"/>
              <w:ind w:left="1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660" w:type="dxa"/>
            <w:vAlign w:val="bottom"/>
            <w:gridSpan w:val="2"/>
            <w:vMerge w:val="restart"/>
          </w:tcPr>
          <w:p>
            <w:pPr>
              <w:jc w:val="right"/>
              <w:ind w:right="5480"/>
              <w:spacing w:after="0"/>
              <w:rPr>
                <w:sz w:val="20"/>
                <w:szCs w:val="20"/>
                <w:color w:val="auto"/>
              </w:rPr>
            </w:pPr>
            <w:r>
              <w:rPr>
                <w:rFonts w:ascii="Times New Roman" w:cs="Times New Roman" w:eastAsia="Times New Roman" w:hAnsi="Times New Roman"/>
                <w:sz w:val="20"/>
                <w:szCs w:val="20"/>
                <w:color w:val="auto"/>
              </w:rPr>
              <w:t>Total Commitment</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0"/>
        </w:trPr>
        <w:tc>
          <w:tcPr>
            <w:tcW w:w="7660" w:type="dxa"/>
            <w:vAlign w:val="bottom"/>
            <w:gridSpan w:val="2"/>
            <w:vMerge w:val="continue"/>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$23,105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Less Amount Funded . . . . . . . . . . . . . . . . . . . . . . . . . . . . . . . . . . . . . . . . . . . .</w:t>
            </w:r>
          </w:p>
        </w:tc>
        <w:tc>
          <w:tcPr>
            <w:tcW w:w="240" w:type="dxa"/>
            <w:vAlign w:val="bottom"/>
            <w:gridSpan w:val="2"/>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(2,612)</w:t>
            </w:r>
          </w:p>
        </w:tc>
        <w:tc>
          <w:tcPr>
            <w:tcW w:w="0" w:type="dxa"/>
            <w:vAlign w:val="bottom"/>
          </w:tcPr>
          <w:p>
            <w:pPr>
              <w:spacing w:after="0"/>
              <w:rPr>
                <w:sz w:val="1"/>
                <w:szCs w:val="1"/>
                <w:color w:val="auto"/>
              </w:rPr>
            </w:pPr>
          </w:p>
        </w:tc>
      </w:tr>
      <w:tr>
        <w:trPr>
          <w:trHeight w:val="289"/>
        </w:trPr>
        <w:tc>
          <w:tcPr>
            <w:tcW w:w="7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Remaining Commitment . . . . . . . . . . . . . . . . . . . . . . . . . . . . . . . . . . . . . . . . . .</w:t>
            </w:r>
          </w:p>
        </w:tc>
        <w:tc>
          <w:tcPr>
            <w:tcW w:w="240" w:type="dxa"/>
            <w:vAlign w:val="bottom"/>
            <w:gridSpan w:val="2"/>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$20,493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140" w:type="dxa"/>
            <w:vAlign w:val="bottom"/>
            <w:tcBorders>
              <w:bottom w:val="single" w:sz="8" w:color="auto"/>
            </w:tcBorders>
          </w:tcPr>
          <w:p>
            <w:pPr>
              <w:spacing w:after="0"/>
              <w:rPr>
                <w:sz w:val="17"/>
                <w:szCs w:val="17"/>
                <w:color w:val="auto"/>
              </w:rPr>
            </w:pPr>
          </w:p>
        </w:tc>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90" w:hanging="390"/>
        <w:spacing w:after="0"/>
        <w:tabs>
          <w:tab w:leader="none" w:pos="39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includes tenant improvements, leasing commissions, rebranding, facility expansion and other capital improvements.</w:t>
      </w:r>
    </w:p>
    <w:p>
      <w:pPr>
        <w:spacing w:after="0" w:line="177" w:lineRule="exact"/>
        <w:rPr>
          <w:sz w:val="20"/>
          <w:szCs w:val="20"/>
          <w:color w:val="auto"/>
        </w:rPr>
      </w:pPr>
    </w:p>
    <w:p>
      <w:pPr>
        <w:ind w:left="10" w:firstLine="399"/>
        <w:spacing w:after="0" w:line="267" w:lineRule="auto"/>
        <w:rPr>
          <w:sz w:val="20"/>
          <w:szCs w:val="20"/>
          <w:color w:val="auto"/>
        </w:rPr>
      </w:pPr>
      <w:r>
        <w:rPr>
          <w:rFonts w:ascii="Times New Roman" w:cs="Times New Roman" w:eastAsia="Times New Roman" w:hAnsi="Times New Roman"/>
          <w:sz w:val="20"/>
          <w:szCs w:val="20"/>
          <w:color w:val="auto"/>
        </w:rPr>
        <w:t>The Company has unfunded loan commitments under two construction loans as described in Note 4, “Commercial Loans and Investments.” The unfunded portion of these construction loans totaled $51.6 million as of December 31, 2025.</w:t>
      </w:r>
    </w:p>
    <w:p>
      <w:pPr>
        <w:spacing w:after="0" w:line="11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As of December 31, 2025, we have no other contractual requirements to make capital expenditures.</w:t>
      </w:r>
    </w:p>
    <w:p>
      <w:pPr>
        <w:sectPr>
          <w:pgSz w:w="11880" w:h="15480" w:orient="portrait"/>
          <w:cols w:equalWidth="0" w:num="1">
            <w:col w:w="9110"/>
          </w:cols>
          <w:pgMar w:left="139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F-47</w:t>
      </w:r>
    </w:p>
    <w:p>
      <w:pPr>
        <w:sectPr>
          <w:pgSz w:w="11880" w:h="15480" w:orient="portrait"/>
          <w:cols w:equalWidth="0" w:num="1">
            <w:col w:w="9110"/>
          </w:cols>
          <w:pgMar w:left="1390" w:top="1023" w:right="1380" w:bottom="7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auto"/>
        </w:rPr>
        <w:t>NOTE 23. BUSINESS SEGMENT DATA</w:t>
      </w:r>
    </w:p>
    <w:p>
      <w:pPr>
        <w:spacing w:after="0" w:line="171" w:lineRule="exact"/>
        <w:rPr>
          <w:sz w:val="20"/>
          <w:szCs w:val="20"/>
          <w:color w:val="auto"/>
        </w:rPr>
      </w:pPr>
    </w:p>
    <w:p>
      <w:pPr>
        <w:ind w:right="60" w:firstLine="399"/>
        <w:spacing w:after="0" w:line="271" w:lineRule="auto"/>
        <w:rPr>
          <w:sz w:val="20"/>
          <w:szCs w:val="20"/>
          <w:color w:val="auto"/>
        </w:rPr>
      </w:pPr>
      <w:r>
        <w:rPr>
          <w:rFonts w:ascii="Times New Roman" w:cs="Times New Roman" w:eastAsia="Times New Roman" w:hAnsi="Times New Roman"/>
          <w:sz w:val="20"/>
          <w:szCs w:val="20"/>
          <w:color w:val="auto"/>
        </w:rPr>
        <w:t>The Company operates in four primary business segments: income properties, management services, commercial loans and investments, and real estate operations. The management services segment consists of the revenue generated from managing PINE, the Portfolio Management Agreement and the Subsurface Management Agreement, as described further in Note 5, “Management Services Business”</w:t>
      </w:r>
    </w:p>
    <w:p>
      <w:pPr>
        <w:spacing w:after="0" w:line="132" w:lineRule="exact"/>
        <w:rPr>
          <w:sz w:val="20"/>
          <w:szCs w:val="20"/>
          <w:color w:val="auto"/>
        </w:rPr>
      </w:pPr>
    </w:p>
    <w:p>
      <w:pPr>
        <w:ind w:firstLine="399"/>
        <w:spacing w:after="0" w:line="263" w:lineRule="auto"/>
        <w:rPr>
          <w:sz w:val="20"/>
          <w:szCs w:val="20"/>
          <w:color w:val="auto"/>
        </w:rPr>
      </w:pPr>
      <w:r>
        <w:rPr>
          <w:rFonts w:ascii="Times New Roman" w:cs="Times New Roman" w:eastAsia="Times New Roman" w:hAnsi="Times New Roman"/>
          <w:sz w:val="20"/>
          <w:szCs w:val="20"/>
          <w:color w:val="auto"/>
        </w:rPr>
        <w:t>Our income property operations consist of income-producing properties, and our business plan is focused on investing in additional income-producing properties. Our income property operations accounted for 87.2% and 88.0% of our identifiable assets as of December 31, 2025 and 2024, respectively, and 88.4%, 88.8%, and 88.6%, of our consolidated revenues for the years ended December 31, 2025, 2024, and 2023, respectively. Our management fee income consists primarily of the management fees earned for the management of PINE during the three years ended December 31, 2025, 2024, and 2023, as well as from the Portfolio Management Agreement during the three years ended December 31, 2025, 2024, and 2023, and the Subsurface Management Agreement during the years ended December 31, 2025 and 2024. As of December 31, 2025, our commercial loan and investment portfolio consisted of four commercial loan investments and two preferred equity investments which are classified as commercial loan investments. Our real estate operations consists of revenues generated from the sale of and royalty income related to our interests in subsurface oil, gas, and mineral rights, and the sale of mitigation credits. The Company’s assets underlying its real estate operations were sold during the year ended December 31, 2024, therefore, no further revenues are expected from this segment.</w:t>
      </w:r>
    </w:p>
    <w:p>
      <w:pPr>
        <w:spacing w:after="0" w:line="389" w:lineRule="exact"/>
        <w:rPr>
          <w:sz w:val="20"/>
          <w:szCs w:val="20"/>
          <w:color w:val="auto"/>
        </w:rPr>
      </w:pPr>
    </w:p>
    <w:p>
      <w:pPr>
        <w:ind w:right="160" w:firstLine="399"/>
        <w:spacing w:after="0" w:line="277" w:lineRule="auto"/>
        <w:rPr>
          <w:sz w:val="20"/>
          <w:szCs w:val="20"/>
          <w:color w:val="auto"/>
        </w:rPr>
      </w:pPr>
      <w:r>
        <w:rPr>
          <w:rFonts w:ascii="Times New Roman" w:cs="Times New Roman" w:eastAsia="Times New Roman" w:hAnsi="Times New Roman"/>
          <w:sz w:val="20"/>
          <w:szCs w:val="20"/>
          <w:color w:val="auto"/>
        </w:rPr>
        <w:t>The Company evaluates segment performance based on operating income. The Company’s reportable segments are strategic business units that offer different products. They are managed separately because each segment requires different management techniques, knowledge, and skills.</w:t>
      </w:r>
    </w:p>
    <w:p>
      <w:pPr>
        <w:sectPr>
          <w:pgSz w:w="11880" w:h="15480" w:orient="portrait"/>
          <w:cols w:equalWidth="0" w:num="1">
            <w:col w:w="9100"/>
          </w:cols>
          <w:pgMar w:left="1400" w:top="1023" w:right="1380" w:bottom="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F-48</w:t>
      </w:r>
    </w:p>
    <w:p>
      <w:pPr>
        <w:sectPr>
          <w:pgSz w:w="11880" w:h="15480" w:orient="portrait"/>
          <w:cols w:equalWidth="0" w:num="1">
            <w:col w:w="9100"/>
          </w:cols>
          <w:pgMar w:left="1400" w:top="1023" w:right="1380" w:bottom="69" w:gutter="0" w:footer="0" w:header="0"/>
          <w:type w:val="continuous"/>
        </w:sectPr>
      </w:pPr>
    </w:p>
    <w:bookmarkStart w:id="124" w:name="page125"/>
    <w:bookmarkEnd w:id="124"/>
    <w:p>
      <w:pPr>
        <w:ind w:right="340" w:firstLine="399"/>
        <w:spacing w:after="0" w:line="284" w:lineRule="auto"/>
        <w:rPr>
          <w:sz w:val="20"/>
          <w:szCs w:val="20"/>
          <w:color w:val="auto"/>
        </w:rPr>
      </w:pPr>
      <w:r>
        <w:rPr>
          <w:rFonts w:ascii="Times New Roman" w:cs="Times New Roman" w:eastAsia="Times New Roman" w:hAnsi="Times New Roman"/>
          <w:sz w:val="20"/>
          <w:szCs w:val="20"/>
          <w:color w:val="auto"/>
        </w:rPr>
        <w:t>Information about the Company’s operations in different segments for the year ended December 31, 2025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112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Management</w:t>
            </w:r>
          </w:p>
        </w:tc>
        <w:tc>
          <w:tcPr>
            <w:tcW w:w="920" w:type="dxa"/>
            <w:vAlign w:val="bottom"/>
            <w:gridSpan w:val="5"/>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Loans and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5"/>
              </w:rPr>
              <w:t>Properties</w:t>
            </w: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9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5"/>
        </w:trPr>
        <w:tc>
          <w:tcPr>
            <w:tcW w:w="5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5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Properties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132,156</w:t>
            </w:r>
          </w:p>
        </w:tc>
        <w:tc>
          <w:tcPr>
            <w:tcW w:w="24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132,156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Management Fee Income  . . . . . . . . . . .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4,849</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06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auto"/>
              </w:rPr>
              <w:t>Interest Income From Commercial Loans and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Investments  . . . . . . . . . . . . . . . . . . . . . . . . . . . . .</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12,540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6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Total Revenues for Reportable Segments </w:t>
            </w:r>
            <w:r>
              <w:rPr>
                <w:rFonts w:ascii="Times New Roman" w:cs="Times New Roman" w:eastAsia="Times New Roman" w:hAnsi="Times New Roman"/>
                <w:sz w:val="20"/>
                <w:szCs w:val="20"/>
                <w:color w:val="auto"/>
              </w:rPr>
              <w:t>. . . . . . . . . .</w:t>
            </w: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132,156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4,849</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12,540</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149,545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Properties  . . . . . . . . . . . . . . . . . . . . . . . . . .</w:t>
            </w: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(37,923)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(37,923)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Revenues Less Direct Costs of Revenues  . . . . .</w:t>
            </w: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94,233</w:t>
            </w:r>
          </w:p>
        </w:tc>
        <w:tc>
          <w:tcPr>
            <w:tcW w:w="24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4,849</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12,540</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111,622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Provision for Impairment  . . . . . . . . . . .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310"/>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 Real Estate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(59,947)</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(59,947)</w:t>
            </w:r>
          </w:p>
        </w:tc>
        <w:tc>
          <w:tcPr>
            <w:tcW w:w="0" w:type="dxa"/>
            <w:vAlign w:val="bottom"/>
          </w:tcPr>
          <w:p>
            <w:pPr>
              <w:spacing w:after="0"/>
              <w:rPr>
                <w:sz w:val="1"/>
                <w:szCs w:val="1"/>
                <w:color w:val="auto"/>
              </w:rPr>
            </w:pPr>
          </w:p>
        </w:tc>
      </w:tr>
      <w:tr>
        <w:trPr>
          <w:trHeight w:val="275"/>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 Less Operating Expenses for Reportable</w:t>
            </w:r>
          </w:p>
        </w:tc>
        <w:tc>
          <w:tcPr>
            <w:tcW w:w="1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Segments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34,286</w:t>
            </w:r>
          </w:p>
        </w:tc>
        <w:tc>
          <w:tcPr>
            <w:tcW w:w="240" w:type="dxa"/>
            <w:vAlign w:val="bottom"/>
          </w:tcPr>
          <w:p>
            <w:pPr>
              <w:spacing w:after="0"/>
              <w:rPr>
                <w:sz w:val="22"/>
                <w:szCs w:val="22"/>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4,849</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12,472</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Gain on Disposition of Assets . . . . . . . .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xml:space="preserve">Net Income From Operations for Reportable Segments  </w:t>
            </w:r>
            <w:r>
              <w:rPr>
                <w:rFonts w:ascii="Times New Roman" w:cs="Times New Roman" w:eastAsia="Times New Roman" w:hAnsi="Times New Roman"/>
                <w:sz w:val="20"/>
                <w:szCs w:val="20"/>
                <w:color w:val="auto"/>
                <w:w w:val="98"/>
              </w:rPr>
              <w:t>. . .</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60" w:type="dxa"/>
            <w:vAlign w:val="bottom"/>
            <w:vMerge w:val="continue"/>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55,738</w:t>
            </w:r>
          </w:p>
        </w:tc>
        <w:tc>
          <w:tcPr>
            <w:tcW w:w="24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7"/>
              </w:rPr>
              <w:t>4,849</w:t>
            </w:r>
          </w:p>
        </w:tc>
        <w:tc>
          <w:tcPr>
            <w:tcW w:w="24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12,472</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0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Reconciliation to Consolidated Net Income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General and Administrative Expenses  . . . .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(18,527)</w:t>
            </w:r>
          </w:p>
        </w:tc>
        <w:tc>
          <w:tcPr>
            <w:tcW w:w="0" w:type="dxa"/>
            <w:vAlign w:val="bottom"/>
          </w:tcPr>
          <w:p>
            <w:pPr>
              <w:spacing w:after="0"/>
              <w:rPr>
                <w:sz w:val="1"/>
                <w:szCs w:val="1"/>
                <w:color w:val="auto"/>
              </w:rPr>
            </w:pPr>
          </w:p>
        </w:tc>
      </w:tr>
      <w:tr>
        <w:trPr>
          <w:trHeight w:val="309"/>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Investment and Other Income . . . . . . . . . .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Interest Expense  . . . . . . . . . . . . . . . . . . .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(26,928)</w:t>
            </w:r>
          </w:p>
        </w:tc>
        <w:tc>
          <w:tcPr>
            <w:tcW w:w="0" w:type="dxa"/>
            <w:vAlign w:val="bottom"/>
          </w:tcPr>
          <w:p>
            <w:pPr>
              <w:spacing w:after="0"/>
              <w:rPr>
                <w:sz w:val="1"/>
                <w:szCs w:val="1"/>
                <w:color w:val="auto"/>
              </w:rPr>
            </w:pPr>
          </w:p>
        </w:tc>
      </w:tr>
      <w:tr>
        <w:trPr>
          <w:trHeight w:val="309"/>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Loss on Extinguishment of Debt . . . . . . . .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(20,449)</w:t>
            </w:r>
          </w:p>
        </w:tc>
        <w:tc>
          <w:tcPr>
            <w:tcW w:w="0" w:type="dxa"/>
            <w:vAlign w:val="bottom"/>
          </w:tcPr>
          <w:p>
            <w:pPr>
              <w:spacing w:after="0"/>
              <w:rPr>
                <w:sz w:val="1"/>
                <w:szCs w:val="1"/>
                <w:color w:val="auto"/>
              </w:rPr>
            </w:pPr>
          </w:p>
        </w:tc>
      </w:tr>
      <w:tr>
        <w:trPr>
          <w:trHeight w:val="315"/>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Depreciation and Amortization – Other . . .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Income Before Income Tax Expense .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Tax Expense  . . . . . . . . . . . . . . . .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Income Attributable to the Company . . . . . . . . .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60"/>
          </w:cols>
          <w:pgMar w:left="1400" w:top="1025" w:right="132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F-49</w:t>
      </w:r>
    </w:p>
    <w:p>
      <w:pPr>
        <w:sectPr>
          <w:pgSz w:w="11880" w:h="15480" w:orient="portrait"/>
          <w:cols w:equalWidth="0" w:num="1">
            <w:col w:w="9160"/>
          </w:cols>
          <w:pgMar w:left="1400" w:top="1025" w:right="1320" w:bottom="70" w:gutter="0" w:footer="0" w:header="0"/>
          <w:type w:val="continuous"/>
        </w:sectPr>
      </w:pPr>
    </w:p>
    <w:bookmarkStart w:id="125" w:name="page126"/>
    <w:bookmarkEnd w:id="125"/>
    <w:p>
      <w:pPr>
        <w:ind w:right="340" w:firstLine="399"/>
        <w:spacing w:after="0" w:line="284" w:lineRule="auto"/>
        <w:rPr>
          <w:sz w:val="20"/>
          <w:szCs w:val="20"/>
          <w:color w:val="auto"/>
        </w:rPr>
      </w:pPr>
      <w:r>
        <w:rPr>
          <w:rFonts w:ascii="Times New Roman" w:cs="Times New Roman" w:eastAsia="Times New Roman" w:hAnsi="Times New Roman"/>
          <w:sz w:val="20"/>
          <w:szCs w:val="20"/>
          <w:color w:val="auto"/>
        </w:rPr>
        <w:t>Information about the Company’s operations in different segments for the year ended December 31, 2024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Commercial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Real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112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Management</w:t>
            </w:r>
          </w:p>
        </w:tc>
        <w:tc>
          <w:tcPr>
            <w:tcW w:w="1040" w:type="dxa"/>
            <w:vAlign w:val="bottom"/>
            <w:gridSpan w:val="5"/>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Loans and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Estate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Properties</w:t>
            </w:r>
          </w:p>
        </w:tc>
        <w:tc>
          <w:tcPr>
            <w:tcW w:w="160" w:type="dxa"/>
            <w:vAlign w:val="bottom"/>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0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1"/>
              </w:rPr>
              <w:t>Investments</w:t>
            </w: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Operations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0"/>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Properties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5"/>
              </w:rPr>
              <w:t>110,591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110,591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Management Fee Income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4,590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Income From Commercial Loans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and Investments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7,357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Real Estate Operations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b w:val="1"/>
                <w:bCs w:val="1"/>
                <w:color w:val="auto"/>
              </w:rPr>
              <w:t>Total Revenues for Reportable Segments</w:t>
            </w: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4100" w:type="dxa"/>
            <w:vAlign w:val="bottom"/>
            <w:vMerge w:val="continue"/>
          </w:tcPr>
          <w:p>
            <w:pPr>
              <w:jc w:val="right"/>
              <w:ind w:right="20"/>
              <w:spacing w:after="0"/>
              <w:rPr>
                <w:sz w:val="20"/>
                <w:szCs w:val="20"/>
                <w:color w:val="auto"/>
              </w:rPr>
            </w:pPr>
            <w:r>
              <w:rPr>
                <w:rFonts w:ascii="Times New Roman" w:cs="Times New Roman" w:eastAsia="Times New Roman" w:hAnsi="Times New Roman"/>
                <w:sz w:val="20"/>
                <w:szCs w:val="20"/>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110,591</w:t>
            </w:r>
          </w:p>
        </w:tc>
        <w:tc>
          <w:tcPr>
            <w:tcW w:w="24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4,590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7,357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124,519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Properties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(31,785)</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(31,785)</w:t>
            </w:r>
          </w:p>
        </w:tc>
        <w:tc>
          <w:tcPr>
            <w:tcW w:w="0" w:type="dxa"/>
            <w:vAlign w:val="bottom"/>
          </w:tcPr>
          <w:p>
            <w:pPr>
              <w:spacing w:after="0"/>
              <w:rPr>
                <w:sz w:val="1"/>
                <w:szCs w:val="1"/>
                <w:color w:val="auto"/>
              </w:rPr>
            </w:pPr>
          </w:p>
        </w:tc>
      </w:tr>
      <w:tr>
        <w:trPr>
          <w:trHeight w:val="325"/>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Real Estate Operations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w w:val="95"/>
              </w:rPr>
              <w:t>(1,437)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(1,437)</w:t>
            </w:r>
          </w:p>
        </w:tc>
        <w:tc>
          <w:tcPr>
            <w:tcW w:w="0" w:type="dxa"/>
            <w:vAlign w:val="bottom"/>
          </w:tcPr>
          <w:p>
            <w:pPr>
              <w:spacing w:after="0"/>
              <w:rPr>
                <w:sz w:val="1"/>
                <w:szCs w:val="1"/>
                <w:color w:val="auto"/>
              </w:rPr>
            </w:pPr>
          </w:p>
        </w:tc>
      </w:tr>
      <w:tr>
        <w:trPr>
          <w:trHeight w:val="280"/>
        </w:trPr>
        <w:tc>
          <w:tcPr>
            <w:tcW w:w="41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Total Revenues Less Direct Costs of</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Revenues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78,806</w:t>
            </w:r>
          </w:p>
        </w:tc>
        <w:tc>
          <w:tcPr>
            <w:tcW w:w="240" w:type="dxa"/>
            <w:vAlign w:val="bottom"/>
          </w:tcPr>
          <w:p>
            <w:pPr>
              <w:spacing w:after="0"/>
              <w:rPr>
                <w:sz w:val="22"/>
                <w:szCs w:val="22"/>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4,590</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7,357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91,297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Provision for Impairment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(676)</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0" w:type="dxa"/>
            <w:vAlign w:val="bottom"/>
          </w:tcPr>
          <w:p>
            <w:pPr>
              <w:spacing w:after="0"/>
              <w:rPr>
                <w:sz w:val="1"/>
                <w:szCs w:val="1"/>
                <w:color w:val="auto"/>
              </w:rPr>
            </w:pPr>
          </w:p>
        </w:tc>
      </w:tr>
      <w:tr>
        <w:trPr>
          <w:trHeight w:val="296"/>
        </w:trPr>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Depreciation and Amortization – Real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Estate . . . . . . . . . . . . . . . . . . . . . . . .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(64,981)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(64,981)</w:t>
            </w:r>
          </w:p>
        </w:tc>
        <w:tc>
          <w:tcPr>
            <w:tcW w:w="0" w:type="dxa"/>
            <w:vAlign w:val="bottom"/>
          </w:tcPr>
          <w:p>
            <w:pPr>
              <w:spacing w:after="0"/>
              <w:rPr>
                <w:sz w:val="1"/>
                <w:szCs w:val="1"/>
                <w:color w:val="auto"/>
              </w:rPr>
            </w:pPr>
          </w:p>
        </w:tc>
      </w:tr>
      <w:tr>
        <w:trPr>
          <w:trHeight w:val="28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 Less Operating Expenses for</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Reportable Segments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13,825</w:t>
            </w:r>
          </w:p>
        </w:tc>
        <w:tc>
          <w:tcPr>
            <w:tcW w:w="240" w:type="dxa"/>
            <w:vAlign w:val="bottom"/>
          </w:tcPr>
          <w:p>
            <w:pPr>
              <w:spacing w:after="0"/>
              <w:rPr>
                <w:sz w:val="22"/>
                <w:szCs w:val="22"/>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4,590</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6,681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Gain on Disposition of Assets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From Operations for Reportable</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Segments </w:t>
            </w:r>
            <w:r>
              <w:rPr>
                <w:rFonts w:ascii="Times New Roman" w:cs="Times New Roman" w:eastAsia="Times New Roman" w:hAnsi="Times New Roman"/>
                <w:sz w:val="20"/>
                <w:szCs w:val="20"/>
                <w:color w:val="auto"/>
              </w:rPr>
              <w:t>.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17,588</w:t>
            </w:r>
          </w:p>
        </w:tc>
        <w:tc>
          <w:tcPr>
            <w:tcW w:w="240" w:type="dxa"/>
            <w:vAlign w:val="bottom"/>
          </w:tcPr>
          <w:p>
            <w:pPr>
              <w:spacing w:after="0"/>
              <w:rPr>
                <w:sz w:val="23"/>
                <w:szCs w:val="23"/>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4,590</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6,681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33,948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41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Reconciliation to Consolidated Net Income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General and Administrative Expenses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(16,269)</w:t>
            </w:r>
          </w:p>
        </w:tc>
        <w:tc>
          <w:tcPr>
            <w:tcW w:w="0" w:type="dxa"/>
            <w:vAlign w:val="bottom"/>
          </w:tcPr>
          <w:p>
            <w:pPr>
              <w:spacing w:after="0"/>
              <w:rPr>
                <w:sz w:val="1"/>
                <w:szCs w:val="1"/>
                <w:color w:val="auto"/>
              </w:rPr>
            </w:pPr>
          </w:p>
        </w:tc>
      </w:tr>
      <w:tr>
        <w:trPr>
          <w:trHeight w:val="319"/>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Investment and Other Income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Interest Expense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(22,521)</w:t>
            </w:r>
          </w:p>
        </w:tc>
        <w:tc>
          <w:tcPr>
            <w:tcW w:w="0" w:type="dxa"/>
            <w:vAlign w:val="bottom"/>
          </w:tcPr>
          <w:p>
            <w:pPr>
              <w:spacing w:after="0"/>
              <w:rPr>
                <w:sz w:val="1"/>
                <w:szCs w:val="1"/>
                <w:color w:val="auto"/>
              </w:rPr>
            </w:pPr>
          </w:p>
        </w:tc>
      </w:tr>
      <w:tr>
        <w:trPr>
          <w:trHeight w:val="327"/>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Depreciation and Amortization – Other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Loss Before Income Tax Benefit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(2,304)</w:t>
            </w:r>
          </w:p>
        </w:tc>
        <w:tc>
          <w:tcPr>
            <w:tcW w:w="0" w:type="dxa"/>
            <w:vAlign w:val="bottom"/>
          </w:tcPr>
          <w:p>
            <w:pPr>
              <w:spacing w:after="0"/>
              <w:rPr>
                <w:sz w:val="1"/>
                <w:szCs w:val="1"/>
                <w:color w:val="auto"/>
              </w:rPr>
            </w:pPr>
          </w:p>
        </w:tc>
      </w:tr>
      <w:tr>
        <w:trPr>
          <w:trHeight w:val="327"/>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Tax Benefit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Loss Attributable to the Company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(1,965)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60"/>
          </w:cols>
          <w:pgMar w:left="1400" w:top="1025" w:right="132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F-50</w:t>
      </w:r>
    </w:p>
    <w:p>
      <w:pPr>
        <w:sectPr>
          <w:pgSz w:w="11880" w:h="15480" w:orient="portrait"/>
          <w:cols w:equalWidth="0" w:num="1">
            <w:col w:w="9160"/>
          </w:cols>
          <w:pgMar w:left="1400" w:top="1025" w:right="1320" w:bottom="70" w:gutter="0" w:footer="0" w:header="0"/>
          <w:type w:val="continuous"/>
        </w:sectPr>
      </w:pPr>
    </w:p>
    <w:bookmarkStart w:id="126" w:name="page127"/>
    <w:bookmarkEnd w:id="126"/>
    <w:p>
      <w:pPr>
        <w:ind w:right="340" w:firstLine="399"/>
        <w:spacing w:after="0" w:line="284" w:lineRule="auto"/>
        <w:rPr>
          <w:sz w:val="20"/>
          <w:szCs w:val="20"/>
          <w:color w:val="auto"/>
        </w:rPr>
      </w:pPr>
      <w:r>
        <w:rPr>
          <w:rFonts w:ascii="Times New Roman" w:cs="Times New Roman" w:eastAsia="Times New Roman" w:hAnsi="Times New Roman"/>
          <w:sz w:val="20"/>
          <w:szCs w:val="20"/>
          <w:color w:val="auto"/>
        </w:rPr>
        <w:t>Information about the Company’s operations in different segments for the year ended December 31, 2023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Commercial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Real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b w:val="1"/>
                <w:bCs w:val="1"/>
                <w:color w:val="auto"/>
              </w:rPr>
              <w:t>Income</w:t>
            </w:r>
          </w:p>
        </w:tc>
        <w:tc>
          <w:tcPr>
            <w:tcW w:w="1080" w:type="dxa"/>
            <w:vAlign w:val="bottom"/>
            <w:gridSpan w:val="6"/>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Management</w:t>
            </w:r>
          </w:p>
        </w:tc>
        <w:tc>
          <w:tcPr>
            <w:tcW w:w="120" w:type="dxa"/>
            <w:vAlign w:val="bottom"/>
          </w:tcPr>
          <w:p>
            <w:pPr>
              <w:spacing w:after="0"/>
              <w:rPr>
                <w:sz w:val="15"/>
                <w:szCs w:val="15"/>
                <w:color w:val="auto"/>
              </w:rPr>
            </w:pPr>
          </w:p>
        </w:tc>
        <w:tc>
          <w:tcPr>
            <w:tcW w:w="1040" w:type="dxa"/>
            <w:vAlign w:val="bottom"/>
            <w:gridSpan w:val="5"/>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Loans and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Estate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5"/>
              </w:rPr>
              <w:t>Properties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20" w:type="dxa"/>
            <w:vAlign w:val="bottom"/>
          </w:tcPr>
          <w:p>
            <w:pPr>
              <w:spacing w:after="0"/>
              <w:rPr>
                <w:sz w:val="17"/>
                <w:szCs w:val="17"/>
                <w:color w:val="auto"/>
              </w:rPr>
            </w:pPr>
          </w:p>
        </w:tc>
        <w:tc>
          <w:tcPr>
            <w:tcW w:w="10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1"/>
              </w:rPr>
              <w:t>Investments</w:t>
            </w: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Operations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0"/>
        </w:trPr>
        <w:tc>
          <w:tcPr>
            <w:tcW w:w="4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41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Properties . . . . . . . . . . . . . . . . . . .</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$ 96,663</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96,663</w:t>
            </w:r>
          </w:p>
        </w:tc>
        <w:tc>
          <w:tcPr>
            <w:tcW w:w="0" w:type="dxa"/>
            <w:vAlign w:val="bottom"/>
          </w:tcPr>
          <w:p>
            <w:pPr>
              <w:spacing w:after="0"/>
              <w:rPr>
                <w:sz w:val="1"/>
                <w:szCs w:val="1"/>
                <w:color w:val="auto"/>
              </w:rPr>
            </w:pPr>
          </w:p>
        </w:tc>
      </w:tr>
      <w:tr>
        <w:trPr>
          <w:trHeight w:val="299"/>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Management Fee Income . . . . . . . . . . . . . .</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4,388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Income From Commercial Loans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and Investments  . . . . . . . . . . . . . . . . . .</w:t>
            </w: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4,084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Real Estate Operations  . . . . . . . . . . . . . . .</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Total Revenues for Reportable Segments </w:t>
            </w:r>
            <w:r>
              <w:rPr>
                <w:rFonts w:ascii="Times New Roman" w:cs="Times New Roman" w:eastAsia="Times New Roman" w:hAnsi="Times New Roman"/>
                <w:sz w:val="20"/>
                <w:szCs w:val="20"/>
                <w:color w:val="auto"/>
              </w:rPr>
              <w:t>. .</w:t>
            </w: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$ 96,663</w:t>
            </w:r>
          </w:p>
        </w:tc>
        <w:tc>
          <w:tcPr>
            <w:tcW w:w="1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4,388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4,084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109,119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Properties . . . . . . . . . . . . . . . . . . .</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$(28,455)</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(28,455)</w:t>
            </w:r>
          </w:p>
        </w:tc>
        <w:tc>
          <w:tcPr>
            <w:tcW w:w="0" w:type="dxa"/>
            <w:vAlign w:val="bottom"/>
          </w:tcPr>
          <w:p>
            <w:pPr>
              <w:spacing w:after="0"/>
              <w:rPr>
                <w:sz w:val="1"/>
                <w:szCs w:val="1"/>
                <w:color w:val="auto"/>
              </w:rPr>
            </w:pPr>
          </w:p>
        </w:tc>
      </w:tr>
      <w:tr>
        <w:trPr>
          <w:trHeight w:val="299"/>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Real Estate Operations  . . . . . . . . . . . . . . .</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w w:val="95"/>
              </w:rPr>
              <w:t>(1,723)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(1,723)</w:t>
            </w:r>
          </w:p>
        </w:tc>
        <w:tc>
          <w:tcPr>
            <w:tcW w:w="0" w:type="dxa"/>
            <w:vAlign w:val="bottom"/>
          </w:tcPr>
          <w:p>
            <w:pPr>
              <w:spacing w:after="0"/>
              <w:rPr>
                <w:sz w:val="1"/>
                <w:szCs w:val="1"/>
                <w:color w:val="auto"/>
              </w:rPr>
            </w:pPr>
          </w:p>
        </w:tc>
      </w:tr>
      <w:tr>
        <w:trPr>
          <w:trHeight w:val="266"/>
        </w:trPr>
        <w:tc>
          <w:tcPr>
            <w:tcW w:w="412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auto"/>
              </w:rPr>
              <w:t>Total Revenues Less Direct Costs of</w:t>
            </w:r>
          </w:p>
        </w:tc>
        <w:tc>
          <w:tcPr>
            <w:tcW w:w="120" w:type="dxa"/>
            <w:vAlign w:val="bottom"/>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Revenues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$ 68,208</w:t>
            </w:r>
          </w:p>
        </w:tc>
        <w:tc>
          <w:tcPr>
            <w:tcW w:w="160" w:type="dxa"/>
            <w:vAlign w:val="bottom"/>
          </w:tcPr>
          <w:p>
            <w:pPr>
              <w:spacing w:after="0"/>
              <w:rPr>
                <w:sz w:val="22"/>
                <w:szCs w:val="22"/>
                <w:color w:val="auto"/>
              </w:rPr>
            </w:pP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4,388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4,084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78,941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Provision for Impairment  . . . . . . . . . . . . .</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(627)</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0" w:type="dxa"/>
            <w:vAlign w:val="bottom"/>
          </w:tcPr>
          <w:p>
            <w:pPr>
              <w:spacing w:after="0"/>
              <w:rPr>
                <w:sz w:val="1"/>
                <w:szCs w:val="1"/>
                <w:color w:val="auto"/>
              </w:rPr>
            </w:pPr>
          </w:p>
        </w:tc>
      </w:tr>
      <w:tr>
        <w:trPr>
          <w:trHeight w:val="276"/>
        </w:trPr>
        <w:tc>
          <w:tcPr>
            <w:tcW w:w="4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Depreciation and Amortization – Real</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Estate  . . . . . . . . . . . . . . . . . . . . . . . . .</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(44,107)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(44,107)</w:t>
            </w:r>
          </w:p>
        </w:tc>
        <w:tc>
          <w:tcPr>
            <w:tcW w:w="0" w:type="dxa"/>
            <w:vAlign w:val="bottom"/>
          </w:tcPr>
          <w:p>
            <w:pPr>
              <w:spacing w:after="0"/>
              <w:rPr>
                <w:sz w:val="1"/>
                <w:szCs w:val="1"/>
                <w:color w:val="auto"/>
              </w:rPr>
            </w:pPr>
          </w:p>
        </w:tc>
      </w:tr>
      <w:tr>
        <w:trPr>
          <w:trHeight w:val="266"/>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 Less Operating Expenses for</w:t>
            </w:r>
          </w:p>
        </w:tc>
        <w:tc>
          <w:tcPr>
            <w:tcW w:w="120" w:type="dxa"/>
            <w:vAlign w:val="bottom"/>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Reportable Segments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$ 23,172</w:t>
            </w:r>
          </w:p>
        </w:tc>
        <w:tc>
          <w:tcPr>
            <w:tcW w:w="160" w:type="dxa"/>
            <w:vAlign w:val="bottom"/>
          </w:tcPr>
          <w:p>
            <w:pPr>
              <w:spacing w:after="0"/>
              <w:rPr>
                <w:sz w:val="22"/>
                <w:szCs w:val="22"/>
                <w:color w:val="auto"/>
              </w:rPr>
            </w:pP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4,388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3,457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Gain on Disposition of Assets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7,543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From Operations for Reportable</w:t>
            </w:r>
          </w:p>
        </w:tc>
        <w:tc>
          <w:tcPr>
            <w:tcW w:w="1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Segments </w:t>
            </w:r>
            <w:r>
              <w:rPr>
                <w:rFonts w:ascii="Times New Roman" w:cs="Times New Roman" w:eastAsia="Times New Roman" w:hAnsi="Times New Roman"/>
                <w:sz w:val="20"/>
                <w:szCs w:val="20"/>
                <w:color w:val="auto"/>
              </w:rPr>
              <w:t>. . .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$ 30,715</w:t>
            </w:r>
          </w:p>
        </w:tc>
        <w:tc>
          <w:tcPr>
            <w:tcW w:w="160" w:type="dxa"/>
            <w:vAlign w:val="bottom"/>
          </w:tcPr>
          <w:p>
            <w:pPr>
              <w:spacing w:after="0"/>
              <w:rPr>
                <w:sz w:val="23"/>
                <w:szCs w:val="23"/>
                <w:color w:val="auto"/>
              </w:rPr>
            </w:pP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4,388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3,457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40,821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Reconciliation to Consolidated Net Income</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General and Administrative Expenses . . . . . . .</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(14,249)</w:t>
            </w:r>
          </w:p>
        </w:tc>
        <w:tc>
          <w:tcPr>
            <w:tcW w:w="0" w:type="dxa"/>
            <w:vAlign w:val="bottom"/>
          </w:tcPr>
          <w:p>
            <w:pPr>
              <w:spacing w:after="0"/>
              <w:rPr>
                <w:sz w:val="1"/>
                <w:szCs w:val="1"/>
                <w:color w:val="auto"/>
              </w:rPr>
            </w:pPr>
          </w:p>
        </w:tc>
      </w:tr>
      <w:tr>
        <w:trPr>
          <w:trHeight w:val="299"/>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Investment and Other Income . . . . . . . . . . . .</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Interest Expense  . . . . . . . . . . . . . . . . . . . . .</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(22,359)</w:t>
            </w:r>
          </w:p>
        </w:tc>
        <w:tc>
          <w:tcPr>
            <w:tcW w:w="0" w:type="dxa"/>
            <w:vAlign w:val="bottom"/>
          </w:tcPr>
          <w:p>
            <w:pPr>
              <w:spacing w:after="0"/>
              <w:rPr>
                <w:sz w:val="1"/>
                <w:szCs w:val="1"/>
                <w:color w:val="auto"/>
              </w:rPr>
            </w:pPr>
          </w:p>
        </w:tc>
      </w:tr>
      <w:tr>
        <w:trPr>
          <w:trHeight w:val="302"/>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Depreciation and Amortization – Other . . . . .</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Income Before Income Tax Expense . . .</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Tax Expense  . . . . . . . . . . . . . . . . . .</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Income Attributable to the Company . .</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60"/>
          </w:cols>
          <w:pgMar w:left="1400" w:top="1025" w:right="132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F-51</w:t>
      </w:r>
    </w:p>
    <w:p>
      <w:pPr>
        <w:sectPr>
          <w:pgSz w:w="11880" w:h="15480" w:orient="portrait"/>
          <w:cols w:equalWidth="0" w:num="1">
            <w:col w:w="9160"/>
          </w:cols>
          <w:pgMar w:left="1400" w:top="1025" w:right="1320" w:bottom="70" w:gutter="0" w:footer="0" w:header="0"/>
          <w:type w:val="continuous"/>
        </w:sectPr>
      </w:pPr>
    </w:p>
    <w:bookmarkStart w:id="127" w:name="page128"/>
    <w:bookmarkEnd w:id="127"/>
    <w:p>
      <w:pPr>
        <w:ind w:left="20" w:right="560" w:firstLine="399"/>
        <w:spacing w:after="0" w:line="284" w:lineRule="auto"/>
        <w:rPr>
          <w:sz w:val="20"/>
          <w:szCs w:val="20"/>
          <w:color w:val="auto"/>
        </w:rPr>
      </w:pPr>
      <w:r>
        <w:rPr>
          <w:rFonts w:ascii="Times New Roman" w:cs="Times New Roman" w:eastAsia="Times New Roman" w:hAnsi="Times New Roman"/>
          <w:sz w:val="20"/>
          <w:szCs w:val="20"/>
          <w:color w:val="auto"/>
        </w:rPr>
        <w:t>Capital expenditures of each segment as of December 31, 2025, 2024, and 2023 are as follows (in thousands):</w:t>
      </w:r>
    </w:p>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3"/>
              </w:rPr>
              <w:t>For the Year Ended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3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left="19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100" w:type="dxa"/>
            <w:vAlign w:val="bottom"/>
            <w:vMerge w:val="restart"/>
          </w:tcPr>
          <w:p>
            <w:pPr>
              <w:jc w:val="right"/>
              <w:ind w:right="3180"/>
              <w:spacing w:after="0"/>
              <w:rPr>
                <w:sz w:val="20"/>
                <w:szCs w:val="20"/>
                <w:color w:val="auto"/>
              </w:rPr>
            </w:pPr>
            <w:r>
              <w:rPr>
                <w:rFonts w:ascii="Times New Roman" w:cs="Times New Roman" w:eastAsia="Times New Roman" w:hAnsi="Times New Roman"/>
                <w:sz w:val="20"/>
                <w:szCs w:val="20"/>
                <w:b w:val="1"/>
                <w:bCs w:val="1"/>
                <w:color w:val="auto"/>
                <w:w w:val="94"/>
              </w:rPr>
              <w:t>Capital Expenditures:</w:t>
            </w: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51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1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Income Properties  . . . . .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$160,189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$241,859</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$102,688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1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Commercial Loans and Investments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14,339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63,930</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32,869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1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Corporate and Other  . . . . . . . . . . . . . . . . . . . . . . . . .</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1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 Capital Expenditures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$174,566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$305,828</w:t>
            </w:r>
          </w:p>
        </w:tc>
        <w:tc>
          <w:tcPr>
            <w:tcW w:w="220" w:type="dxa"/>
            <w:vAlign w:val="bottom"/>
          </w:tcPr>
          <w:p>
            <w:pPr>
              <w:spacing w:after="0"/>
              <w:rPr>
                <w:sz w:val="24"/>
                <w:szCs w:val="24"/>
                <w:color w:val="auto"/>
              </w:rPr>
            </w:pP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$135,818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Identifiable assets of each segment as of December 31, 2025 and 2024 are as follows (in thousands):</w:t>
      </w:r>
    </w:p>
    <w:p>
      <w:pPr>
        <w:spacing w:after="0" w:line="165"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30"/>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1020" w:type="dxa"/>
            <w:vAlign w:val="bottom"/>
            <w:gridSpan w:val="2"/>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Identifiable Assets:</w:t>
            </w: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1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Income Properties . . .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$1,102,631</w:t>
            </w:r>
          </w:p>
        </w:tc>
        <w:tc>
          <w:tcPr>
            <w:tcW w:w="120" w:type="dxa"/>
            <w:vAlign w:val="bottom"/>
          </w:tcPr>
          <w:p>
            <w:pPr>
              <w:spacing w:after="0"/>
              <w:rPr>
                <w:sz w:val="24"/>
                <w:szCs w:val="24"/>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$1,039,466</w:t>
            </w:r>
          </w:p>
        </w:tc>
        <w:tc>
          <w:tcPr>
            <w:tcW w:w="0" w:type="dxa"/>
            <w:vAlign w:val="bottom"/>
          </w:tcPr>
          <w:p>
            <w:pPr>
              <w:spacing w:after="0"/>
              <w:rPr>
                <w:sz w:val="1"/>
                <w:szCs w:val="1"/>
                <w:color w:val="auto"/>
              </w:rPr>
            </w:pP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Management Services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2,465</w:t>
            </w: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Commercial Loans and Investments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118,129</w:t>
            </w: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114,107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Real Estate Operations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Corporate and Other . . . . . . . . . . . . . . . . . . . . . . . . . . . . . . . . . . .</w:t>
            </w:r>
          </w:p>
        </w:tc>
        <w:tc>
          <w:tcPr>
            <w:tcW w:w="1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40,222</w:t>
            </w:r>
          </w:p>
        </w:tc>
        <w:tc>
          <w:tcPr>
            <w:tcW w:w="1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Assets  . . . . . . .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$1,263,902</w:t>
            </w: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$1,181,644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40" w:firstLine="399"/>
        <w:spacing w:after="0" w:line="258" w:lineRule="auto"/>
        <w:rPr>
          <w:sz w:val="20"/>
          <w:szCs w:val="20"/>
          <w:color w:val="auto"/>
        </w:rPr>
      </w:pPr>
      <w:r>
        <w:rPr>
          <w:rFonts w:ascii="Times New Roman" w:cs="Times New Roman" w:eastAsia="Times New Roman" w:hAnsi="Times New Roman"/>
          <w:sz w:val="20"/>
          <w:szCs w:val="20"/>
          <w:color w:val="auto"/>
        </w:rPr>
        <w:t>Identifiable assets by segment are those assets that are used in the Company’s operations in each segment. Real Estate Operations includes the identifiable assets of certain real estate operations receivables as well as Subsurface Interests and mitigation credits. Corporate and other assets consist primarily of cash and restricted cash, property, plant, and equipment related to the other operations, as well as the general and corporate operations.</w:t>
      </w:r>
    </w:p>
    <w:p>
      <w:pPr>
        <w:spacing w:after="0" w:line="121" w:lineRule="exact"/>
        <w:rPr>
          <w:sz w:val="20"/>
          <w:szCs w:val="20"/>
          <w:color w:val="auto"/>
        </w:rPr>
      </w:pPr>
    </w:p>
    <w:p>
      <w:pPr>
        <w:ind w:right="320" w:firstLine="399"/>
        <w:spacing w:after="0" w:line="284" w:lineRule="auto"/>
        <w:rPr>
          <w:sz w:val="20"/>
          <w:szCs w:val="20"/>
          <w:color w:val="auto"/>
        </w:rPr>
      </w:pPr>
      <w:r>
        <w:rPr>
          <w:rFonts w:ascii="Times New Roman" w:cs="Times New Roman" w:eastAsia="Times New Roman" w:hAnsi="Times New Roman"/>
          <w:sz w:val="20"/>
          <w:szCs w:val="20"/>
          <w:color w:val="auto"/>
        </w:rPr>
        <w:t>The Management Services and Real Estate Operations segments had no capital expenditures during the years ended December 31, 2025, 2024 or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24. SUBSEQUENT EVENTS</w:t>
      </w:r>
    </w:p>
    <w:p>
      <w:pPr>
        <w:spacing w:after="0" w:line="171" w:lineRule="exact"/>
        <w:rPr>
          <w:sz w:val="20"/>
          <w:szCs w:val="20"/>
          <w:color w:val="auto"/>
        </w:rPr>
      </w:pPr>
    </w:p>
    <w:p>
      <w:pPr>
        <w:ind w:firstLine="399"/>
        <w:spacing w:after="0" w:line="284" w:lineRule="auto"/>
        <w:rPr>
          <w:sz w:val="20"/>
          <w:szCs w:val="20"/>
          <w:color w:val="auto"/>
        </w:rPr>
      </w:pPr>
      <w:r>
        <w:rPr>
          <w:rFonts w:ascii="Times New Roman" w:cs="Times New Roman" w:eastAsia="Times New Roman" w:hAnsi="Times New Roman"/>
          <w:sz w:val="20"/>
          <w:szCs w:val="20"/>
          <w:color w:val="auto"/>
        </w:rPr>
        <w:t>Subsequent events and transactions were evaluated through February 19, 2026, the date the consolidated financial statements were issued. There were no reportable subsequent events or transactions.</w:t>
      </w:r>
    </w:p>
    <w:p>
      <w:pPr>
        <w:sectPr>
          <w:pgSz w:w="11880" w:h="15480" w:orient="portrait"/>
          <w:cols w:equalWidth="0" w:num="1">
            <w:col w:w="9120"/>
          </w:cols>
          <w:pgMar w:left="138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F-52</w:t>
      </w:r>
    </w:p>
    <w:p>
      <w:pPr>
        <w:sectPr>
          <w:pgSz w:w="11880" w:h="15480" w:orient="portrait"/>
          <w:cols w:equalWidth="0" w:num="1">
            <w:col w:w="9120"/>
          </w:cols>
          <w:pgMar w:left="1380" w:top="1025" w:right="1380" w:bottom="70" w:gutter="0" w:footer="0" w:header="0"/>
          <w:type w:val="continuous"/>
        </w:sectPr>
      </w:pPr>
    </w:p>
    <w:bookmarkStart w:id="128" w:name="page129"/>
    <w:bookmarkEnd w:id="128"/>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REAL ESTATE AND ACCUMULATED DEPRECIATION</w:t>
      </w:r>
    </w:p>
    <w:p>
      <w:pPr>
        <w:spacing w:after="0" w:line="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7"/>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Costs Capitalized</w:t>
            </w:r>
          </w:p>
        </w:tc>
      </w:tr>
      <w:tr>
        <w:trPr>
          <w:trHeight w:val="180"/>
        </w:trPr>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7"/>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Subsequent to</w:t>
            </w:r>
          </w:p>
        </w:tc>
      </w:tr>
      <w:tr>
        <w:trPr>
          <w:trHeight w:val="203"/>
        </w:trPr>
        <w:tc>
          <w:tcPr>
            <w:tcW w:w="2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Initial Cost to Company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7"/>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Acquisition</w:t>
            </w:r>
          </w:p>
        </w:tc>
      </w:tr>
      <w:tr>
        <w:trPr>
          <w:trHeight w:val="30"/>
        </w:trPr>
        <w:tc>
          <w:tcPr>
            <w:tcW w:w="2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96"/>
        </w:trPr>
        <w:tc>
          <w:tcPr>
            <w:tcW w:w="2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Buildings &amp;</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3"/>
        </w:trPr>
        <w:tc>
          <w:tcPr>
            <w:tcW w:w="4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1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Encumbrances</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Land</w:t>
            </w: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2"/>
              </w:rPr>
              <w:t>Improvements</w:t>
            </w: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Improvements</w:t>
            </w:r>
          </w:p>
        </w:tc>
        <w:tc>
          <w:tcPr>
            <w:tcW w:w="6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Costs</w:t>
            </w:r>
          </w:p>
        </w:tc>
      </w:tr>
      <w:tr>
        <w:trPr>
          <w:trHeight w:val="30"/>
        </w:trPr>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84"/>
        </w:trPr>
        <w:tc>
          <w:tcPr>
            <w:tcW w:w="4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Properties: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9"/>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Crabby’s Oceanside, Daytona Beach, FL . . . .</w:t>
            </w:r>
          </w:p>
        </w:tc>
        <w:tc>
          <w:tcPr>
            <w:tcW w:w="16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5,836</w:t>
            </w:r>
          </w:p>
        </w:tc>
        <w:tc>
          <w:tcPr>
            <w:tcW w:w="1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4,249</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260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76"/>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LandShark Bar &amp; Grill, Daytona Beach,</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4460" w:type="dxa"/>
            <w:vAlign w:val="bottom"/>
            <w:gridSpan w:val="4"/>
          </w:tcPr>
          <w:p>
            <w:pPr>
              <w:ind w:left="380"/>
              <w:spacing w:after="0"/>
              <w:rPr>
                <w:sz w:val="20"/>
                <w:szCs w:val="20"/>
                <w:color w:val="auto"/>
              </w:rPr>
            </w:pPr>
            <w:r>
              <w:rPr>
                <w:rFonts w:ascii="Times New Roman" w:cs="Times New Roman" w:eastAsia="Times New Roman" w:hAnsi="Times New Roman"/>
                <w:sz w:val="20"/>
                <w:szCs w:val="20"/>
                <w:color w:val="auto"/>
              </w:rPr>
              <w:t>FL . . . . . . . . . . . . . . . . . . . . .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5,836</w:t>
            </w:r>
          </w:p>
        </w:tc>
        <w:tc>
          <w:tcPr>
            <w:tcW w:w="140" w:type="dxa"/>
            <w:vAlign w:val="bottom"/>
          </w:tcPr>
          <w:p>
            <w:pPr>
              <w:spacing w:after="0"/>
              <w:rPr>
                <w:sz w:val="22"/>
                <w:szCs w:val="22"/>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4,577</w:t>
            </w:r>
          </w:p>
        </w:tc>
        <w:tc>
          <w:tcPr>
            <w:tcW w:w="80" w:type="dxa"/>
            <w:vAlign w:val="bottom"/>
          </w:tcPr>
          <w:p>
            <w:pPr>
              <w:spacing w:after="0"/>
              <w:rPr>
                <w:sz w:val="22"/>
                <w:szCs w:val="22"/>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5401 Watson Dr. SE, Albuquerque, NM  . . . .</w:t>
            </w:r>
          </w:p>
        </w:tc>
        <w:tc>
          <w:tcPr>
            <w:tcW w:w="16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5,739</w:t>
            </w:r>
          </w:p>
        </w:tc>
        <w:tc>
          <w:tcPr>
            <w:tcW w:w="1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29,537</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76"/>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The Strand at St. Johns Town Center,</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4460" w:type="dxa"/>
            <w:vAlign w:val="bottom"/>
            <w:gridSpan w:val="4"/>
          </w:tcPr>
          <w:p>
            <w:pPr>
              <w:ind w:left="380"/>
              <w:spacing w:after="0"/>
              <w:rPr>
                <w:sz w:val="20"/>
                <w:szCs w:val="20"/>
                <w:color w:val="auto"/>
              </w:rPr>
            </w:pPr>
            <w:r>
              <w:rPr>
                <w:rFonts w:ascii="Times New Roman" w:cs="Times New Roman" w:eastAsia="Times New Roman" w:hAnsi="Times New Roman"/>
                <w:sz w:val="20"/>
                <w:szCs w:val="20"/>
                <w:color w:val="auto"/>
              </w:rPr>
              <w:t>Jacksonville, FL  . . . . . . . . . . .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12,551</w:t>
            </w:r>
          </w:p>
        </w:tc>
        <w:tc>
          <w:tcPr>
            <w:tcW w:w="140" w:type="dxa"/>
            <w:vAlign w:val="bottom"/>
          </w:tcPr>
          <w:p>
            <w:pPr>
              <w:spacing w:after="0"/>
              <w:rPr>
                <w:sz w:val="22"/>
                <w:szCs w:val="22"/>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36,431</w:t>
            </w:r>
          </w:p>
        </w:tc>
        <w:tc>
          <w:tcPr>
            <w:tcW w:w="80" w:type="dxa"/>
            <w:vAlign w:val="bottom"/>
          </w:tcPr>
          <w:p>
            <w:pPr>
              <w:spacing w:after="0"/>
              <w:rPr>
                <w:sz w:val="22"/>
                <w:szCs w:val="22"/>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1,498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Crossroads Towne Center, Chandler, AZ . . . .</w:t>
            </w:r>
          </w:p>
        </w:tc>
        <w:tc>
          <w:tcPr>
            <w:tcW w:w="16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5,842</w:t>
            </w:r>
          </w:p>
        </w:tc>
        <w:tc>
          <w:tcPr>
            <w:tcW w:w="1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38,881</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184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Ashford Lane, Atlanta, GA . . . . .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37,717</w:t>
            </w:r>
          </w:p>
        </w:tc>
        <w:tc>
          <w:tcPr>
            <w:tcW w:w="1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33,422</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32,039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Beaver Creek Crossings, Apex, NC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21,391</w:t>
            </w:r>
          </w:p>
        </w:tc>
        <w:tc>
          <w:tcPr>
            <w:tcW w:w="1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39,194</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5,362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369 N. New York Ave., Winter Park, FL  . . . .</w:t>
            </w:r>
          </w:p>
        </w:tc>
        <w:tc>
          <w:tcPr>
            <w:tcW w:w="16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8,537</w:t>
            </w:r>
          </w:p>
        </w:tc>
        <w:tc>
          <w:tcPr>
            <w:tcW w:w="1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6,023</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1,542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The Exchange at Gwinnett, Buford, GA  . . . .</w:t>
            </w:r>
          </w:p>
        </w:tc>
        <w:tc>
          <w:tcPr>
            <w:tcW w:w="16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6,980</w:t>
            </w:r>
          </w:p>
        </w:tc>
        <w:tc>
          <w:tcPr>
            <w:tcW w:w="1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38,100</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Price Plaza, Katy, TX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15,633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17,978</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1,127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Madison Yards, Atlanta, GA . . . .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19,780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47,938</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748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West Broad Village, Glen Allen, VA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13,650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65,829</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4,087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Collection at Forsyth, Cummings, GA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13,156</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75,286</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5,619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Plaza at Rockwall, Rockwall, TX  .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14,793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42,391</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2,738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76"/>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Marketplace at Seminole Towne Center,</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4460" w:type="dxa"/>
            <w:vAlign w:val="bottom"/>
            <w:gridSpan w:val="4"/>
          </w:tcPr>
          <w:p>
            <w:pPr>
              <w:ind w:left="380"/>
              <w:spacing w:after="0"/>
              <w:rPr>
                <w:sz w:val="20"/>
                <w:szCs w:val="20"/>
                <w:color w:val="auto"/>
              </w:rPr>
            </w:pPr>
            <w:r>
              <w:rPr>
                <w:rFonts w:ascii="Times New Roman" w:cs="Times New Roman" w:eastAsia="Times New Roman" w:hAnsi="Times New Roman"/>
                <w:sz w:val="20"/>
                <w:szCs w:val="20"/>
                <w:color w:val="auto"/>
              </w:rPr>
              <w:t>Sanford, FL . . . . . . . . . . . . . .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12,555</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50,336</w:t>
            </w:r>
          </w:p>
        </w:tc>
        <w:tc>
          <w:tcPr>
            <w:tcW w:w="80" w:type="dxa"/>
            <w:vAlign w:val="bottom"/>
          </w:tcPr>
          <w:p>
            <w:pPr>
              <w:spacing w:after="0"/>
              <w:rPr>
                <w:sz w:val="22"/>
                <w:szCs w:val="22"/>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586</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Carolina Pavilion, Charlotte, NC  .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18,666</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64,106</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1,599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Lake Brandon Village, Brandon, FL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4,426</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9,718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Millenia Crossing, Orlando, FL . .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4,971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18,957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Granada Plaza, Dunedin, FL . . . .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4,010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11,921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4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Ashley Park, Newnan, GA . . . . . . . . . . . . . .</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26,004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40,964</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670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4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Pompano Citi Centre, Pompano Beach, FL . .</w:t>
            </w:r>
          </w:p>
        </w:tc>
        <w:tc>
          <w:tcPr>
            <w:tcW w:w="16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30,939</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32,369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2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89"/>
        </w:trPr>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$289,012</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$708,207</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$58,164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3"/>
              </w:rPr>
              <w:t>$—</w:t>
            </w:r>
          </w:p>
        </w:tc>
      </w:tr>
      <w:tr>
        <w:trPr>
          <w:trHeight w:val="20"/>
        </w:trPr>
        <w:tc>
          <w:tcPr>
            <w:tcW w:w="2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2140" w:type="dxa"/>
            <w:vAlign w:val="bottom"/>
            <w:tcBorders>
              <w:bottom w:val="single" w:sz="8" w:color="auto"/>
            </w:tcBorders>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118" w:lineRule="exact"/>
        <w:rPr>
          <w:sz w:val="20"/>
          <w:szCs w:val="20"/>
          <w:color w:val="auto"/>
        </w:rPr>
      </w:pPr>
    </w:p>
    <w:p>
      <w:pPr>
        <w:ind w:left="390" w:right="140" w:hanging="390"/>
        <w:spacing w:after="0" w:line="295" w:lineRule="auto"/>
        <w:tabs>
          <w:tab w:leader="none" w:pos="39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cost, net of deferred tax liabilities, of Income Properties, Land, Buildings, and Improvements for Federal income tax purposes at December 31, 2025 is approximately $844.1 million.</w:t>
      </w:r>
    </w:p>
    <w:p>
      <w:pPr>
        <w:sectPr>
          <w:pgSz w:w="11880" w:h="15480" w:orient="portrait"/>
          <w:cols w:equalWidth="0" w:num="1">
            <w:col w:w="9110"/>
          </w:cols>
          <w:pgMar w:left="139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F-53</w:t>
      </w:r>
    </w:p>
    <w:p>
      <w:pPr>
        <w:sectPr>
          <w:pgSz w:w="11880" w:h="15480" w:orient="portrait"/>
          <w:cols w:equalWidth="0" w:num="1">
            <w:col w:w="9110"/>
          </w:cols>
          <w:pgMar w:left="1390" w:top="1023" w:right="1380" w:bottom="7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Gross Amount at Which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Carried at Close of Period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4"/>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Buildings &amp;</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Completion of</w:t>
            </w:r>
          </w:p>
        </w:tc>
        <w:tc>
          <w:tcPr>
            <w:tcW w:w="106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Date</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Land</w:t>
            </w: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2"/>
              </w:rPr>
              <w:t>Improvements</w:t>
            </w:r>
          </w:p>
        </w:tc>
        <w:tc>
          <w:tcPr>
            <w:tcW w:w="104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Construction</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30"/>
        </w:trPr>
        <w:tc>
          <w:tcPr>
            <w:tcW w:w="4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Properties:</w:t>
            </w: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Crabby’s Oceanside, Daytona Beach, FL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5,836</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4,509</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10,345</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1,788</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01/25/18</w:t>
            </w: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N/A</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40 Yrs.</w:t>
            </w:r>
          </w:p>
        </w:tc>
        <w:tc>
          <w:tcPr>
            <w:tcW w:w="0" w:type="dxa"/>
            <w:vAlign w:val="bottom"/>
          </w:tcPr>
          <w:p>
            <w:pPr>
              <w:spacing w:after="0"/>
              <w:rPr>
                <w:sz w:val="1"/>
                <w:szCs w:val="1"/>
                <w:color w:val="auto"/>
              </w:rPr>
            </w:pPr>
          </w:p>
        </w:tc>
      </w:tr>
      <w:tr>
        <w:trPr>
          <w:trHeight w:val="276"/>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LandShark Bar &amp; Grill, Daytona Beach,</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FL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5,836</w:t>
            </w:r>
          </w:p>
        </w:tc>
        <w:tc>
          <w:tcPr>
            <w:tcW w:w="14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4,587</w:t>
            </w:r>
          </w:p>
        </w:tc>
        <w:tc>
          <w:tcPr>
            <w:tcW w:w="140" w:type="dxa"/>
            <w:vAlign w:val="bottom"/>
          </w:tcPr>
          <w:p>
            <w:pPr>
              <w:spacing w:after="0"/>
              <w:rPr>
                <w:sz w:val="22"/>
                <w:szCs w:val="22"/>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10,423</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1,788</w:t>
            </w:r>
          </w:p>
        </w:tc>
        <w:tc>
          <w:tcPr>
            <w:tcW w:w="1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01/25/18</w:t>
            </w:r>
          </w:p>
        </w:tc>
        <w:tc>
          <w:tcPr>
            <w:tcW w:w="120" w:type="dxa"/>
            <w:vAlign w:val="bottom"/>
          </w:tcPr>
          <w:p>
            <w:pPr>
              <w:spacing w:after="0"/>
              <w:rPr>
                <w:sz w:val="22"/>
                <w:szCs w:val="22"/>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N/A</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40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5401 Watson Dr. SE, Albuquerque, NM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5,739</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29,549</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35,288</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8,152</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10/4/2018</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45 Yrs.</w:t>
            </w:r>
          </w:p>
        </w:tc>
        <w:tc>
          <w:tcPr>
            <w:tcW w:w="0" w:type="dxa"/>
            <w:vAlign w:val="bottom"/>
          </w:tcPr>
          <w:p>
            <w:pPr>
              <w:spacing w:after="0"/>
              <w:rPr>
                <w:sz w:val="1"/>
                <w:szCs w:val="1"/>
                <w:color w:val="auto"/>
              </w:rPr>
            </w:pPr>
          </w:p>
        </w:tc>
      </w:tr>
      <w:tr>
        <w:trPr>
          <w:trHeight w:val="276"/>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The Strand at St. Johns Town Center,</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Jacksonville, FL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12,551</w:t>
            </w:r>
          </w:p>
        </w:tc>
        <w:tc>
          <w:tcPr>
            <w:tcW w:w="14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37,929</w:t>
            </w:r>
          </w:p>
        </w:tc>
        <w:tc>
          <w:tcPr>
            <w:tcW w:w="140" w:type="dxa"/>
            <w:vAlign w:val="bottom"/>
          </w:tcPr>
          <w:p>
            <w:pPr>
              <w:spacing w:after="0"/>
              <w:rPr>
                <w:sz w:val="22"/>
                <w:szCs w:val="22"/>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50,480</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8,767</w:t>
            </w:r>
          </w:p>
        </w:tc>
        <w:tc>
          <w:tcPr>
            <w:tcW w:w="14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12/9/2019</w:t>
            </w:r>
          </w:p>
        </w:tc>
        <w:tc>
          <w:tcPr>
            <w:tcW w:w="14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48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Crossroads Towne Center, Chandler, AZ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5,842</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39,065</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44,907</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7,754</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1/24/2020</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35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Ashford Lane, Atlanta, GA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37,717</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65,461</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103,176</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15,018</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3/18/2020</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36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Beaver Creek Crossings, Apex, NC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21,391</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44,556</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65,947</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7,896</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12/2/2021</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30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369 N. New York Ave., Winter Park, FL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8,537</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7,565</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16,102</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2,325</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12/20/2021</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30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The Exchange at Gwinnett, Buford, GA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6,980</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38,185</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45,165</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4,309</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12/30/2021</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45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Price Plaza, Katy, TX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15,633</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19,105</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34,738</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4,218</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3/3/2022</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25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Madison Yards, Atlanta, GA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19,780</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48,686</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68,466</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4,719</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7/8/2022</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West Broad Village, Glen Allen, VA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13,650</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69,916</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83,566</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9,263</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10/14/2022</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40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Collection at Forsyth, Cummings, GA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13,156</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80,905</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94,061</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12,258</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12/29/2022</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Plaza at Rockwall, Rockwall, TX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14,793</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45,129</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59,922</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5,242</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6/9/2023</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40 Yrs.</w:t>
            </w:r>
          </w:p>
        </w:tc>
        <w:tc>
          <w:tcPr>
            <w:tcW w:w="0" w:type="dxa"/>
            <w:vAlign w:val="bottom"/>
          </w:tcPr>
          <w:p>
            <w:pPr>
              <w:spacing w:after="0"/>
              <w:rPr>
                <w:sz w:val="1"/>
                <w:szCs w:val="1"/>
                <w:color w:val="auto"/>
              </w:rPr>
            </w:pPr>
          </w:p>
        </w:tc>
      </w:tr>
      <w:tr>
        <w:trPr>
          <w:trHeight w:val="276"/>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Marketplace at Seminole Towne Center,</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Sanford, FL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12,555</w:t>
            </w:r>
          </w:p>
        </w:tc>
        <w:tc>
          <w:tcPr>
            <w:tcW w:w="14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50,922</w:t>
            </w:r>
          </w:p>
        </w:tc>
        <w:tc>
          <w:tcPr>
            <w:tcW w:w="140" w:type="dxa"/>
            <w:vAlign w:val="bottom"/>
          </w:tcPr>
          <w:p>
            <w:pPr>
              <w:spacing w:after="0"/>
              <w:rPr>
                <w:sz w:val="22"/>
                <w:szCs w:val="22"/>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63,477</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3,026</w:t>
            </w:r>
          </w:p>
        </w:tc>
        <w:tc>
          <w:tcPr>
            <w:tcW w:w="14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3/20/2024</w:t>
            </w:r>
          </w:p>
        </w:tc>
        <w:tc>
          <w:tcPr>
            <w:tcW w:w="14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45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Carolina Pavilion, Charlotte, NC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18,666</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65,705</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84,371</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5,944</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8/20/2024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25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Lake Brandon Village, Brandon, FL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4,426</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9,718</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14,144</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961</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8/20/2024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Millenia Crossing, Orlando, FL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4,971</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18,957</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23,928</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1,089</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8/20/2024</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40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Granada Plaza, Dunedin, FL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4,010</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11,921</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15,931</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502</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12/16/2024</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35 Yrs.</w:t>
            </w:r>
          </w:p>
        </w:tc>
        <w:tc>
          <w:tcPr>
            <w:tcW w:w="0" w:type="dxa"/>
            <w:vAlign w:val="bottom"/>
          </w:tcPr>
          <w:p>
            <w:pPr>
              <w:spacing w:after="0"/>
              <w:rPr>
                <w:sz w:val="1"/>
                <w:szCs w:val="1"/>
                <w:color w:val="auto"/>
              </w:rPr>
            </w:pPr>
          </w:p>
        </w:tc>
      </w:tr>
      <w:tr>
        <w:trPr>
          <w:trHeight w:val="299"/>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Ashley Park, Newnan, GA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26,004</w:t>
            </w:r>
          </w:p>
        </w:tc>
        <w:tc>
          <w:tcPr>
            <w:tcW w:w="14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41,634</w:t>
            </w: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67,638</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2,248</w:t>
            </w: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3/3/2025</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 Yrs.</w:t>
            </w:r>
          </w:p>
        </w:tc>
        <w:tc>
          <w:tcPr>
            <w:tcW w:w="0" w:type="dxa"/>
            <w:vAlign w:val="bottom"/>
          </w:tcPr>
          <w:p>
            <w:pPr>
              <w:spacing w:after="0"/>
              <w:rPr>
                <w:sz w:val="1"/>
                <w:szCs w:val="1"/>
                <w:color w:val="auto"/>
              </w:rPr>
            </w:pPr>
          </w:p>
        </w:tc>
      </w:tr>
      <w:tr>
        <w:trPr>
          <w:trHeight w:val="276"/>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Pompano Citi Centre, Pompano Beach,</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FL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30,939</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32,369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63,308</w:t>
            </w:r>
          </w:p>
        </w:tc>
        <w:tc>
          <w:tcPr>
            <w:tcW w:w="60" w:type="dxa"/>
            <w:vAlign w:val="bottom"/>
          </w:tcPr>
          <w:p>
            <w:pPr>
              <w:spacing w:after="0"/>
              <w:rPr>
                <w:sz w:val="23"/>
                <w:szCs w:val="23"/>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N/A</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12/17/2025</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30 Yrs.</w:t>
            </w:r>
          </w:p>
        </w:tc>
        <w:tc>
          <w:tcPr>
            <w:tcW w:w="0" w:type="dxa"/>
            <w:vAlign w:val="bottom"/>
          </w:tcPr>
          <w:p>
            <w:pPr>
              <w:spacing w:after="0"/>
              <w:rPr>
                <w:sz w:val="1"/>
                <w:szCs w:val="1"/>
                <w:color w:val="auto"/>
              </w:rPr>
            </w:pPr>
          </w:p>
        </w:tc>
      </w:tr>
      <w:tr>
        <w:trPr>
          <w:trHeight w:val="20"/>
        </w:trPr>
        <w:tc>
          <w:tcPr>
            <w:tcW w:w="40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$289,012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$766,371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7"/>
              </w:rPr>
              <w:t>$1,055,383</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$107,268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023" w:right="54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F-54</w:t>
      </w:r>
    </w:p>
    <w:p>
      <w:pPr>
        <w:sectPr>
          <w:pgSz w:w="11880" w:h="15480" w:orient="portrait"/>
          <w:cols w:equalWidth="0" w:num="1">
            <w:col w:w="10800"/>
          </w:cols>
          <w:pgMar w:left="540" w:top="1023" w:right="540" w:bottom="70" w:gutter="0" w:footer="0" w:header="0"/>
          <w:type w:val="continuous"/>
        </w:sectPr>
      </w:pPr>
    </w:p>
    <w:bookmarkStart w:id="130" w:name="page131"/>
    <w:bookmarkEnd w:id="130"/>
    <w:p>
      <w:pPr>
        <w:jc w:val="center"/>
        <w:ind w:right="60"/>
        <w:spacing w:after="0" w:line="262" w:lineRule="auto"/>
        <w:rPr>
          <w:sz w:val="20"/>
          <w:szCs w:val="20"/>
          <w:color w:val="auto"/>
        </w:rPr>
      </w:pPr>
      <w:r>
        <w:rPr>
          <w:rFonts w:ascii="Times New Roman" w:cs="Times New Roman" w:eastAsia="Times New Roman" w:hAnsi="Times New Roman"/>
          <w:sz w:val="20"/>
          <w:szCs w:val="20"/>
          <w:b w:val="1"/>
          <w:bCs w:val="1"/>
          <w:color w:val="auto"/>
        </w:rPr>
        <w:t>REAL ESTATE AND ACCUMULATED DEPRECIATION FOR THE YEAR ENDED DECEMBER 31, 2025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Cost:</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Balance at Beginning of Year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978,228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781,621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763,959</w:t>
            </w:r>
          </w:p>
        </w:tc>
        <w:tc>
          <w:tcPr>
            <w:tcW w:w="0" w:type="dxa"/>
            <w:vAlign w:val="bottom"/>
          </w:tcPr>
          <w:p>
            <w:pPr>
              <w:spacing w:after="0"/>
              <w:rPr>
                <w:sz w:val="1"/>
                <w:szCs w:val="1"/>
                <w:color w:val="auto"/>
              </w:rPr>
            </w:pPr>
          </w:p>
        </w:tc>
      </w:tr>
      <w:tr>
        <w:trPr>
          <w:trHeight w:val="299"/>
        </w:trPr>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Additions and Improvements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145,632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227,843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Cost of Real Estate Sold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(68,477)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(31,236)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(80,110)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Balance at End of Year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1,055,383</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978,228</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781,621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Accumulated Depreciation:</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Balance at Beginning of Year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82,864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51,425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35,188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34,063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on Real Estate Sold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(10,784)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(2,624)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(9,751)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107,268</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82,864</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Reconciliation to Consolidated Balance Sheet at December 31, 2025:</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Properties, Land, Buildings, and Improvements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1,055,383</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978,228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1,055,383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978,228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Cost Basis of Assets Classified as Held for Sale on Balance Sheet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Per Schedule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1,055,383</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978,228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023" w:right="132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F-55</w:t>
      </w:r>
    </w:p>
    <w:p>
      <w:pPr>
        <w:sectPr>
          <w:pgSz w:w="11880" w:h="15480" w:orient="portrait"/>
          <w:cols w:equalWidth="0" w:num="1">
            <w:col w:w="9180"/>
          </w:cols>
          <w:pgMar w:left="1380" w:top="1023" w:right="1320" w:bottom="7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71" w:lineRule="exact"/>
        <w:rPr>
          <w:sz w:val="20"/>
          <w:szCs w:val="20"/>
          <w:color w:val="auto"/>
        </w:rPr>
      </w:pPr>
    </w:p>
    <w:p>
      <w:pPr>
        <w:ind w:left="860" w:right="880" w:firstLine="399"/>
        <w:spacing w:after="0" w:line="284" w:lineRule="auto"/>
        <w:rPr>
          <w:sz w:val="20"/>
          <w:szCs w:val="20"/>
          <w:color w:val="auto"/>
        </w:rPr>
      </w:pPr>
      <w:r>
        <w:rPr>
          <w:rFonts w:ascii="Times New Roman" w:cs="Times New Roman" w:eastAsia="Times New Roman" w:hAnsi="Times New Roman"/>
          <w:sz w:val="20"/>
          <w:szCs w:val="20"/>
          <w:color w:val="auto"/>
        </w:rPr>
        <w:t>There was a portfolio of four commercial loan investments and two preferred equity investments which are classified as a commercial loan investments as of December 31, 2025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Principal</w:t>
            </w: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Amount of</w:t>
            </w: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Carrying</w:t>
            </w:r>
          </w:p>
        </w:tc>
        <w:tc>
          <w:tcPr>
            <w:tcW w:w="11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Loans Subject to</w:t>
            </w: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1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Delinquent</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860" w:type="dxa"/>
            <w:vAlign w:val="bottom"/>
            <w:gridSpan w:val="3"/>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w w:val="93"/>
              </w:rPr>
              <w:t>Interest</w:t>
            </w:r>
          </w:p>
        </w:tc>
        <w:tc>
          <w:tcPr>
            <w:tcW w:w="1420" w:type="dxa"/>
            <w:vAlign w:val="bottom"/>
            <w:gridSpan w:val="2"/>
          </w:tcPr>
          <w:p>
            <w:pPr>
              <w:jc w:val="center"/>
              <w:ind w:right="60"/>
              <w:spacing w:after="0" w:line="172" w:lineRule="exact"/>
              <w:rPr>
                <w:sz w:val="20"/>
                <w:szCs w:val="20"/>
                <w:color w:val="auto"/>
              </w:rPr>
            </w:pPr>
            <w:r>
              <w:rPr>
                <w:rFonts w:ascii="Times New Roman" w:cs="Times New Roman" w:eastAsia="Times New Roman" w:hAnsi="Times New Roman"/>
                <w:sz w:val="16"/>
                <w:szCs w:val="16"/>
                <w:b w:val="1"/>
                <w:bCs w:val="1"/>
                <w:color w:val="auto"/>
                <w:w w:val="98"/>
              </w:rPr>
              <w:t>Final Maturity</w:t>
            </w:r>
          </w:p>
        </w:tc>
        <w:tc>
          <w:tcPr>
            <w:tcW w:w="60" w:type="dxa"/>
            <w:vAlign w:val="bottom"/>
          </w:tcPr>
          <w:p>
            <w:pPr>
              <w:spacing w:after="0"/>
              <w:rPr>
                <w:sz w:val="14"/>
                <w:szCs w:val="14"/>
                <w:color w:val="auto"/>
              </w:rPr>
            </w:pPr>
          </w:p>
        </w:tc>
        <w:tc>
          <w:tcPr>
            <w:tcW w:w="1560" w:type="dxa"/>
            <w:vAlign w:val="bottom"/>
            <w:gridSpan w:val="2"/>
          </w:tcPr>
          <w:p>
            <w:pPr>
              <w:jc w:val="center"/>
              <w:ind w:right="140"/>
              <w:spacing w:after="0" w:line="172" w:lineRule="exact"/>
              <w:rPr>
                <w:sz w:val="20"/>
                <w:szCs w:val="20"/>
                <w:color w:val="auto"/>
              </w:rPr>
            </w:pPr>
            <w:r>
              <w:rPr>
                <w:rFonts w:ascii="Times New Roman" w:cs="Times New Roman" w:eastAsia="Times New Roman" w:hAnsi="Times New Roman"/>
                <w:sz w:val="16"/>
                <w:szCs w:val="16"/>
                <w:b w:val="1"/>
                <w:bCs w:val="1"/>
                <w:color w:val="auto"/>
                <w:w w:val="97"/>
              </w:rPr>
              <w:t>Periodic Payment</w:t>
            </w:r>
          </w:p>
        </w:tc>
        <w:tc>
          <w:tcPr>
            <w:tcW w:w="480" w:type="dxa"/>
            <w:vAlign w:val="bottom"/>
            <w:gridSpan w:val="4"/>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Prior</w:t>
            </w:r>
          </w:p>
        </w:tc>
        <w:tc>
          <w:tcPr>
            <w:tcW w:w="1020" w:type="dxa"/>
            <w:vAlign w:val="bottom"/>
            <w:gridSpan w:val="4"/>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Face Amount</w:t>
            </w:r>
          </w:p>
        </w:tc>
        <w:tc>
          <w:tcPr>
            <w:tcW w:w="140" w:type="dxa"/>
            <w:vAlign w:val="bottom"/>
          </w:tcPr>
          <w:p>
            <w:pPr>
              <w:spacing w:after="0"/>
              <w:rPr>
                <w:sz w:val="14"/>
                <w:szCs w:val="14"/>
                <w:color w:val="auto"/>
              </w:rPr>
            </w:pPr>
          </w:p>
        </w:tc>
        <w:tc>
          <w:tcPr>
            <w:tcW w:w="1020" w:type="dxa"/>
            <w:vAlign w:val="bottom"/>
            <w:gridSpan w:val="3"/>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auto"/>
                <w:w w:val="96"/>
              </w:rPr>
              <w:t>Amounts</w:t>
            </w:r>
          </w:p>
        </w:tc>
        <w:tc>
          <w:tcPr>
            <w:tcW w:w="1120" w:type="dxa"/>
            <w:vAlign w:val="bottom"/>
            <w:gridSpan w:val="3"/>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4"/>
              </w:rPr>
              <w:t>Principal</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Rate</w:t>
            </w:r>
          </w:p>
        </w:tc>
        <w:tc>
          <w:tcPr>
            <w:tcW w:w="2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Terms</w:t>
            </w:r>
          </w:p>
        </w:tc>
        <w:tc>
          <w:tcPr>
            <w:tcW w:w="120" w:type="dxa"/>
            <w:vAlign w:val="bottom"/>
          </w:tcPr>
          <w:p>
            <w:pPr>
              <w:spacing w:after="0"/>
              <w:rPr>
                <w:sz w:val="20"/>
                <w:szCs w:val="20"/>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0"/>
              </w:rPr>
              <w:t>Liens</w:t>
            </w:r>
          </w:p>
        </w:tc>
        <w:tc>
          <w:tcPr>
            <w:tcW w:w="1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of Mortgages</w:t>
            </w:r>
          </w:p>
        </w:tc>
        <w:tc>
          <w:tcPr>
            <w:tcW w:w="120" w:type="dxa"/>
            <w:vAlign w:val="bottom"/>
          </w:tcPr>
          <w:p>
            <w:pPr>
              <w:spacing w:after="0"/>
              <w:rPr>
                <w:sz w:val="20"/>
                <w:szCs w:val="20"/>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of Mortgages</w:t>
            </w:r>
            <w:r>
              <w:rPr>
                <w:rFonts w:ascii="Times New Roman" w:cs="Times New Roman" w:eastAsia="Times New Roman" w:hAnsi="Times New Roman"/>
                <w:sz w:val="19"/>
                <w:szCs w:val="19"/>
                <w:b w:val="1"/>
                <w:bCs w:val="1"/>
                <w:color w:val="auto"/>
                <w:w w:val="99"/>
                <w:vertAlign w:val="superscript"/>
              </w:rPr>
              <w:t>(2)</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or Interest</w:t>
            </w:r>
          </w:p>
        </w:tc>
        <w:tc>
          <w:tcPr>
            <w:tcW w:w="0" w:type="dxa"/>
            <w:vAlign w:val="bottom"/>
          </w:tcPr>
          <w:p>
            <w:pPr>
              <w:spacing w:after="0"/>
              <w:rPr>
                <w:sz w:val="1"/>
                <w:szCs w:val="1"/>
                <w:color w:val="auto"/>
              </w:rPr>
            </w:pPr>
          </w:p>
        </w:tc>
      </w:tr>
      <w:tr>
        <w:trPr>
          <w:trHeight w:val="260"/>
        </w:trPr>
        <w:tc>
          <w:tcPr>
            <w:tcW w:w="3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Preferred Investment – Watters</w:t>
            </w: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Monthly Interest</w:t>
            </w: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Creek – Allen, TX . . . . . . . . . . .</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9.50%</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April 2027</w:t>
            </w:r>
          </w:p>
        </w:tc>
        <w:tc>
          <w:tcPr>
            <w:tcW w:w="60" w:type="dxa"/>
            <w:vAlign w:val="bottom"/>
          </w:tcPr>
          <w:p>
            <w:pPr>
              <w:spacing w:after="0"/>
              <w:rPr>
                <w:sz w:val="22"/>
                <w:szCs w:val="22"/>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Payments</w:t>
            </w:r>
          </w:p>
        </w:tc>
        <w:tc>
          <w:tcPr>
            <w:tcW w:w="20" w:type="dxa"/>
            <w:vAlign w:val="bottom"/>
          </w:tcPr>
          <w:p>
            <w:pPr>
              <w:spacing w:after="0"/>
              <w:rPr>
                <w:sz w:val="22"/>
                <w:szCs w:val="22"/>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w w:val="93"/>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$ 30,000</w:t>
            </w:r>
          </w:p>
        </w:tc>
        <w:tc>
          <w:tcPr>
            <w:tcW w:w="120" w:type="dxa"/>
            <w:vAlign w:val="bottom"/>
          </w:tcPr>
          <w:p>
            <w:pPr>
              <w:spacing w:after="0"/>
              <w:rPr>
                <w:sz w:val="22"/>
                <w:szCs w:val="22"/>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$ 29,980</w:t>
            </w:r>
          </w:p>
        </w:tc>
        <w:tc>
          <w:tcPr>
            <w:tcW w:w="120" w:type="dxa"/>
            <w:vAlign w:val="bottom"/>
          </w:tcPr>
          <w:p>
            <w:pPr>
              <w:spacing w:after="0"/>
              <w:rPr>
                <w:sz w:val="22"/>
                <w:szCs w:val="22"/>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Mortgage Note – Founders Square –</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Monthly Interest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Dallas, TX</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8.75%</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rPr>
              <w:t>March 2027</w:t>
            </w:r>
          </w:p>
        </w:tc>
        <w:tc>
          <w:tcPr>
            <w:tcW w:w="60" w:type="dxa"/>
            <w:vAlign w:val="bottom"/>
          </w:tcPr>
          <w:p>
            <w:pPr>
              <w:spacing w:after="0"/>
              <w:rPr>
                <w:sz w:val="24"/>
                <w:szCs w:val="24"/>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Payments</w:t>
            </w:r>
          </w:p>
        </w:tc>
        <w:tc>
          <w:tcPr>
            <w:tcW w:w="20" w:type="dxa"/>
            <w:vAlign w:val="bottom"/>
          </w:tcPr>
          <w:p>
            <w:pPr>
              <w:spacing w:after="0"/>
              <w:rPr>
                <w:sz w:val="24"/>
                <w:szCs w:val="24"/>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15,000</w:t>
            </w:r>
          </w:p>
        </w:tc>
        <w:tc>
          <w:tcPr>
            <w:tcW w:w="12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14,992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Monthly Interest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Series A Preferred Investment . . . . .</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14.00%</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July 2029</w:t>
            </w:r>
          </w:p>
        </w:tc>
        <w:tc>
          <w:tcPr>
            <w:tcW w:w="60" w:type="dxa"/>
            <w:vAlign w:val="bottom"/>
          </w:tcPr>
          <w:p>
            <w:pPr>
              <w:spacing w:after="0"/>
              <w:rPr>
                <w:sz w:val="22"/>
                <w:szCs w:val="22"/>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Payments</w:t>
            </w:r>
          </w:p>
        </w:tc>
        <w:tc>
          <w:tcPr>
            <w:tcW w:w="20" w:type="dxa"/>
            <w:vAlign w:val="bottom"/>
          </w:tcPr>
          <w:p>
            <w:pPr>
              <w:spacing w:after="0"/>
              <w:rPr>
                <w:sz w:val="22"/>
                <w:szCs w:val="22"/>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10,000</w:t>
            </w:r>
          </w:p>
        </w:tc>
        <w:tc>
          <w:tcPr>
            <w:tcW w:w="120" w:type="dxa"/>
            <w:vAlign w:val="bottom"/>
          </w:tcPr>
          <w:p>
            <w:pPr>
              <w:spacing w:after="0"/>
              <w:rPr>
                <w:sz w:val="22"/>
                <w:szCs w:val="22"/>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9,929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Loan – Rivana –</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auto"/>
              </w:rPr>
              <w:t>Monthly Interest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Herndon, VA</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11.50%</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September 2028</w:t>
            </w:r>
          </w:p>
        </w:tc>
        <w:tc>
          <w:tcPr>
            <w:tcW w:w="60" w:type="dxa"/>
            <w:vAlign w:val="bottom"/>
          </w:tcPr>
          <w:p>
            <w:pPr>
              <w:spacing w:after="0"/>
              <w:rPr>
                <w:sz w:val="24"/>
                <w:szCs w:val="24"/>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Payments</w:t>
            </w:r>
          </w:p>
        </w:tc>
        <w:tc>
          <w:tcPr>
            <w:tcW w:w="20" w:type="dxa"/>
            <w:vAlign w:val="bottom"/>
          </w:tcPr>
          <w:p>
            <w:pPr>
              <w:spacing w:after="0"/>
              <w:rPr>
                <w:sz w:val="24"/>
                <w:szCs w:val="24"/>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59,450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32,478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Construction Loan – Whole Foods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auto"/>
              </w:rPr>
              <w:t>Monthly Interest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Forsyth, GA . . . . . . . . . . . . . . .</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12.15%</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May 2027</w:t>
            </w:r>
          </w:p>
        </w:tc>
        <w:tc>
          <w:tcPr>
            <w:tcW w:w="60" w:type="dxa"/>
            <w:vAlign w:val="bottom"/>
          </w:tcPr>
          <w:p>
            <w:pPr>
              <w:spacing w:after="0"/>
              <w:rPr>
                <w:sz w:val="22"/>
                <w:szCs w:val="22"/>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Payments</w:t>
            </w:r>
          </w:p>
        </w:tc>
        <w:tc>
          <w:tcPr>
            <w:tcW w:w="20" w:type="dxa"/>
            <w:vAlign w:val="bottom"/>
          </w:tcPr>
          <w:p>
            <w:pPr>
              <w:spacing w:after="0"/>
              <w:rPr>
                <w:sz w:val="22"/>
                <w:szCs w:val="22"/>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40,200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13,588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6"/>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Mortgage Note – Mainstreet –</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auto"/>
              </w:rPr>
              <w:t>Monthly Interest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Daytona Beach, FL . . . . . . . . . .</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6.50%</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August 2030</w:t>
            </w:r>
          </w:p>
        </w:tc>
        <w:tc>
          <w:tcPr>
            <w:tcW w:w="60" w:type="dxa"/>
            <w:vAlign w:val="bottom"/>
          </w:tcPr>
          <w:p>
            <w:pPr>
              <w:spacing w:after="0"/>
              <w:rPr>
                <w:sz w:val="23"/>
                <w:szCs w:val="23"/>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Payments</w:t>
            </w:r>
          </w:p>
        </w:tc>
        <w:tc>
          <w:tcPr>
            <w:tcW w:w="20" w:type="dxa"/>
            <w:vAlign w:val="bottom"/>
          </w:tcPr>
          <w:p>
            <w:pPr>
              <w:spacing w:after="0"/>
              <w:rPr>
                <w:sz w:val="23"/>
                <w:szCs w:val="23"/>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4,977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Totals  . . . . . . . . . . . . . . . . . . . . .</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w w:val="93"/>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$159,650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$105,944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CECL Reserve</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(1,140)</w:t>
            </w: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240" w:type="dxa"/>
            <w:vAlign w:val="bottom"/>
            <w:gridSpan w:val="2"/>
            <w:vMerge w:val="continue"/>
          </w:tcPr>
          <w:p>
            <w:pPr>
              <w:jc w:val="right"/>
              <w:ind w:right="23"/>
              <w:spacing w:after="0" w:line="206" w:lineRule="exact"/>
              <w:rPr>
                <w:sz w:val="20"/>
                <w:szCs w:val="20"/>
                <w:color w:val="auto"/>
              </w:rPr>
            </w:pPr>
            <w:r>
              <w:rPr>
                <w:rFonts w:ascii="Times New Roman" w:cs="Times New Roman" w:eastAsia="Times New Roman" w:hAnsi="Times New Roman"/>
                <w:sz w:val="20"/>
                <w:szCs w:val="20"/>
                <w:color w:val="auto"/>
              </w:rPr>
              <w:t>. . . . . . . . . . . . . .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Total Commercial Loans and</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Investments . . . . . . . . . . . . . . . .</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$104,804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023" w:right="54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F-56</w:t>
      </w:r>
    </w:p>
    <w:p>
      <w:pPr>
        <w:sectPr>
          <w:pgSz w:w="11880" w:h="15480" w:orient="portrait"/>
          <w:cols w:equalWidth="0" w:num="1">
            <w:col w:w="10800"/>
          </w:cols>
          <w:pgMar w:left="540" w:top="1023" w:right="540" w:bottom="70" w:gutter="0" w:footer="0" w:header="0"/>
          <w:type w:val="continuous"/>
        </w:sectPr>
      </w:pPr>
    </w:p>
    <w:bookmarkStart w:id="132" w:name="page133"/>
    <w:bookmarkEnd w:id="132"/>
    <w:p>
      <w:pPr>
        <w:jc w:val="center"/>
        <w:ind w:right="50"/>
        <w:spacing w:after="0"/>
        <w:rPr>
          <w:sz w:val="20"/>
          <w:szCs w:val="20"/>
          <w:color w:val="auto"/>
        </w:rPr>
      </w:pPr>
      <w:r>
        <w:rPr>
          <w:rFonts w:ascii="Times New Roman" w:cs="Times New Roman" w:eastAsia="Times New Roman" w:hAnsi="Times New Roman"/>
          <w:sz w:val="20"/>
          <w:szCs w:val="20"/>
          <w:b w:val="1"/>
          <w:bCs w:val="1"/>
          <w:color w:val="auto"/>
        </w:rPr>
        <w:t>SCHEDULE IV</w:t>
      </w:r>
    </w:p>
    <w:p>
      <w:pPr>
        <w:spacing w:after="0" w:line="9"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b w:val="1"/>
          <w:bCs w:val="1"/>
          <w:color w:val="auto"/>
        </w:rPr>
        <w:t>MORTGAGE LOANS ON REAL ESTATE</w:t>
      </w:r>
    </w:p>
    <w:p>
      <w:pPr>
        <w:spacing w:after="0" w:line="9"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b w:val="1"/>
          <w:bCs w:val="1"/>
          <w:color w:val="auto"/>
        </w:rPr>
        <w:t>FOR THE YEAR ENDED DECEMBER 31, 2025 (continued)</w:t>
      </w:r>
    </w:p>
    <w:p>
      <w:pPr>
        <w:spacing w:after="0" w:line="9"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71" w:lineRule="exact"/>
        <w:rPr>
          <w:sz w:val="20"/>
          <w:szCs w:val="20"/>
          <w:color w:val="auto"/>
        </w:rPr>
      </w:pPr>
    </w:p>
    <w:p>
      <w:pPr>
        <w:ind w:left="10" w:right="140" w:firstLine="399"/>
        <w:spacing w:after="0" w:line="284" w:lineRule="auto"/>
        <w:rPr>
          <w:sz w:val="20"/>
          <w:szCs w:val="20"/>
          <w:color w:val="auto"/>
        </w:rPr>
      </w:pPr>
      <w:r>
        <w:rPr>
          <w:rFonts w:ascii="Times New Roman" w:cs="Times New Roman" w:eastAsia="Times New Roman" w:hAnsi="Times New Roman"/>
          <w:sz w:val="20"/>
          <w:szCs w:val="20"/>
          <w:color w:val="auto"/>
        </w:rPr>
        <w:t>The following represents the activity within the Company’s commercial loans and investments segment for the years ended December 31, 2025, 2024, and 2023 (in thousands):</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r>
      <w:tr>
        <w:trPr>
          <w:trHeight w:val="30"/>
        </w:trPr>
        <w:tc>
          <w:tcPr>
            <w:tcW w:w="2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4"/>
        </w:trPr>
        <w:tc>
          <w:tcPr>
            <w:tcW w:w="6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Balance at Beginning of Year .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$105,043</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61,849</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$31,908</w:t>
            </w:r>
          </w:p>
        </w:tc>
        <w:tc>
          <w:tcPr>
            <w:tcW w:w="60" w:type="dxa"/>
            <w:vAlign w:val="bottom"/>
          </w:tcPr>
          <w:p>
            <w:pPr>
              <w:spacing w:after="0"/>
              <w:rPr>
                <w:sz w:val="24"/>
                <w:szCs w:val="24"/>
                <w:color w:val="auto"/>
              </w:rPr>
            </w:pPr>
          </w:p>
        </w:tc>
      </w:tr>
      <w:tr>
        <w:trPr>
          <w:trHeight w:val="299"/>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 During the Year:</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9"/>
        </w:trPr>
        <w:tc>
          <w:tcPr>
            <w:tcW w:w="6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New Mortgage Loans  . . . .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13,998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63,273</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32,711</w:t>
            </w:r>
          </w:p>
        </w:tc>
        <w:tc>
          <w:tcPr>
            <w:tcW w:w="60" w:type="dxa"/>
            <w:vAlign w:val="bottom"/>
          </w:tcPr>
          <w:p>
            <w:pPr>
              <w:spacing w:after="0"/>
              <w:rPr>
                <w:sz w:val="24"/>
                <w:szCs w:val="24"/>
                <w:color w:val="auto"/>
              </w:rPr>
            </w:pPr>
          </w:p>
        </w:tc>
      </w:tr>
      <w:tr>
        <w:trPr>
          <w:trHeight w:val="299"/>
        </w:trPr>
        <w:tc>
          <w:tcPr>
            <w:tcW w:w="6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Collection of Origination Fees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158</w:t>
            </w:r>
          </w:p>
        </w:tc>
        <w:tc>
          <w:tcPr>
            <w:tcW w:w="60" w:type="dxa"/>
            <w:vAlign w:val="bottom"/>
          </w:tcPr>
          <w:p>
            <w:pPr>
              <w:spacing w:after="0"/>
              <w:rPr>
                <w:sz w:val="24"/>
                <w:szCs w:val="24"/>
                <w:color w:val="auto"/>
              </w:rPr>
            </w:pPr>
          </w:p>
        </w:tc>
      </w:tr>
      <w:tr>
        <w:trPr>
          <w:trHeight w:val="336"/>
        </w:trPr>
        <w:tc>
          <w:tcPr>
            <w:tcW w:w="6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Accretion of Origination Fees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137</w:t>
            </w:r>
          </w:p>
        </w:tc>
        <w:tc>
          <w:tcPr>
            <w:tcW w:w="60" w:type="dxa"/>
            <w:vAlign w:val="bottom"/>
          </w:tcPr>
          <w:p>
            <w:pPr>
              <w:spacing w:after="0"/>
              <w:rPr>
                <w:sz w:val="24"/>
                <w:szCs w:val="24"/>
                <w:color w:val="auto"/>
              </w:rPr>
            </w:pPr>
          </w:p>
        </w:tc>
      </w:tr>
      <w:tr>
        <w:trPr>
          <w:trHeight w:val="263"/>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Deductions During the Year:</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9"/>
        </w:trPr>
        <w:tc>
          <w:tcPr>
            <w:tcW w:w="6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Collection of Principal . . . . . . . . . . . . . . . . . . . . . . . . . . . . . . . . .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(15,242)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(20,335)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(986)</w:t>
            </w:r>
          </w:p>
        </w:tc>
      </w:tr>
      <w:tr>
        <w:trPr>
          <w:trHeight w:val="299"/>
        </w:trPr>
        <w:tc>
          <w:tcPr>
            <w:tcW w:w="6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Foreclosure . . . . . . . . . . . . . . . . . . . . . . . . . . . . . . . . . . . . . . . . . .</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(1,452)</w:t>
            </w:r>
          </w:p>
        </w:tc>
      </w:tr>
      <w:tr>
        <w:trPr>
          <w:trHeight w:val="302"/>
        </w:trPr>
        <w:tc>
          <w:tcPr>
            <w:tcW w:w="6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Impairment / CECL Reserve . . . . . . . . . . . . . . . . . . . . . . . . . . . . . .</w:t>
            </w: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(676)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(627)</w:t>
            </w:r>
          </w:p>
        </w:tc>
      </w:tr>
      <w:tr>
        <w:trPr>
          <w:trHeight w:val="20"/>
        </w:trPr>
        <w:tc>
          <w:tcPr>
            <w:tcW w:w="2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6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Balance at End of Year  . . . . .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$104,804</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105,043</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$61,849</w:t>
            </w:r>
          </w:p>
        </w:tc>
        <w:tc>
          <w:tcPr>
            <w:tcW w:w="6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2"/>
        </w:trPr>
        <w:tc>
          <w:tcPr>
            <w:tcW w:w="2140" w:type="dxa"/>
            <w:vAlign w:val="bottom"/>
            <w:tcBorders>
              <w:bottom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118" w:lineRule="exact"/>
        <w:rPr>
          <w:sz w:val="20"/>
          <w:szCs w:val="20"/>
          <w:color w:val="auto"/>
        </w:rPr>
      </w:pPr>
    </w:p>
    <w:p>
      <w:pPr>
        <w:ind w:left="390" w:hanging="390"/>
        <w:spacing w:after="0"/>
        <w:tabs>
          <w:tab w:leader="none" w:pos="39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Non-cash accretion of loan origination fees.</w:t>
      </w:r>
    </w:p>
    <w:p>
      <w:pPr>
        <w:spacing w:after="0" w:line="95"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carrying amount of mortgages for Federal income tax purposes at December 31, 2025 totaled $108.0 million.</w:t>
      </w:r>
    </w:p>
    <w:p>
      <w:pPr>
        <w:sectPr>
          <w:pgSz w:w="11880" w:h="15480" w:orient="portrait"/>
          <w:cols w:equalWidth="0" w:num="1">
            <w:col w:w="9170"/>
          </w:cols>
          <w:pgMar w:left="1390" w:top="1023" w:right="132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0"/>
          <w:szCs w:val="20"/>
          <w:color w:val="auto"/>
        </w:rPr>
        <w:t>F-57</w:t>
      </w:r>
    </w:p>
    <w:p>
      <w:pPr>
        <w:sectPr>
          <w:pgSz w:w="11880" w:h="15480" w:orient="portrait"/>
          <w:cols w:equalWidth="0" w:num="1">
            <w:col w:w="9170"/>
          </w:cols>
          <w:pgMar w:left="1390" w:top="1023" w:right="1320" w:bottom="70" w:gutter="0" w:footer="0" w:header="0"/>
          <w:type w:val="continuous"/>
        </w:sectPr>
      </w:pPr>
    </w:p>
    <w:bookmarkStart w:id="133" w:name="page134"/>
    <w:bookmarkEnd w:id="133"/>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334010</wp:posOffset>
                </wp:positionH>
                <wp:positionV relativeFrom="page">
                  <wp:posOffset>2294890</wp:posOffset>
                </wp:positionV>
                <wp:extent cx="6871335" cy="42037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1335" cy="420370"/>
                        </a:xfrm>
                        <a:prstGeom prst="rect">
                          <a:avLst/>
                        </a:prstGeom>
                        <a:solidFill>
                          <a:srgbClr val="3B3B3B"/>
                        </a:solidFill>
                      </wps:spPr>
                      <wps:bodyPr/>
                    </wps:wsp>
                  </a:graphicData>
                </a:graphic>
              </wp:anchor>
            </w:drawing>
          </mc:Choice>
          <mc:Fallback>
            <w:pict>
              <v:rect id="Shape 30" o:spid="_x0000_s1055" style="position:absolute;margin-left:26.3pt;margin-top:180.7pt;width:541.05pt;height:33.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3B3B3B" stroked="f">
                <w10:wrap anchorx="page" anchory="page"/>
              </v:rect>
            </w:pict>
          </mc:Fallback>
        </mc:AlternateContent>
        <w:drawing>
          <wp:anchor simplePos="0" relativeHeight="251657728" behindDoc="1" locked="0" layoutInCell="0" allowOverlap="1">
            <wp:simplePos x="0" y="0"/>
            <wp:positionH relativeFrom="page">
              <wp:posOffset>2505710</wp:posOffset>
            </wp:positionH>
            <wp:positionV relativeFrom="page">
              <wp:posOffset>228600</wp:posOffset>
            </wp:positionV>
            <wp:extent cx="2528570" cy="1818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528570" cy="181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FFFFFF"/>
        </w:rPr>
        <w:t>CORPORATE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2075815</wp:posOffset>
                </wp:positionH>
                <wp:positionV relativeFrom="paragraph">
                  <wp:posOffset>349250</wp:posOffset>
                </wp:positionV>
                <wp:extent cx="2701925" cy="24638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01925" cy="246380"/>
                        </a:xfrm>
                        <a:prstGeom prst="rect">
                          <a:avLst/>
                        </a:prstGeom>
                        <a:solidFill>
                          <a:srgbClr val="3B3B3B"/>
                        </a:solidFill>
                      </wps:spPr>
                      <wps:bodyPr/>
                    </wps:wsp>
                  </a:graphicData>
                </a:graphic>
              </wp:anchor>
            </w:drawing>
          </mc:Choice>
          <mc:Fallback>
            <w:pict>
              <v:rect id="Shape 32" o:spid="_x0000_s1057" style="position:absolute;margin-left:163.45pt;margin-top:27.5pt;width:212.75pt;height:19.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B3B3B" stroked="f"/>
            </w:pict>
          </mc:Fallback>
        </mc:AlternateContent>
      </w:r>
    </w:p>
    <w:p>
      <w:pPr>
        <w:sectPr>
          <w:pgSz w:w="11880" w:h="15480" w:orient="portrait"/>
          <w:cols w:equalWidth="0" w:num="1">
            <w:col w:w="10800"/>
          </w:cols>
          <w:pgMar w:left="540" w:top="1440" w:right="54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FFFFFF"/>
        </w:rPr>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6851015</wp:posOffset>
                </wp:positionH>
                <wp:positionV relativeFrom="paragraph">
                  <wp:posOffset>-103505</wp:posOffset>
                </wp:positionV>
                <wp:extent cx="0" cy="240220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02205"/>
                        </a:xfrm>
                        <a:prstGeom prst="line">
                          <a:avLst/>
                        </a:prstGeom>
                        <a:solidFill>
                          <a:srgbClr val="FFFFFF"/>
                        </a:solidFill>
                        <a:ln w="12700">
                          <a:solidFill>
                            <a:srgbClr val="3B3B3B"/>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45pt,-8.1499pt" to="539.45pt,181pt" o:allowincell="f" strokecolor="#3B3B3B" strokeweight="1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-97155</wp:posOffset>
                </wp:positionV>
                <wp:extent cx="207899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8990" cy="4763"/>
                        </a:xfrm>
                        <a:prstGeom prst="line">
                          <a:avLst/>
                        </a:prstGeom>
                        <a:solidFill>
                          <a:srgbClr val="FFFFFF"/>
                        </a:solidFill>
                        <a:ln w="12700">
                          <a:solidFill>
                            <a:srgbClr val="3B3B3B"/>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7.6499pt" to="163.45pt,-7.6499pt" o:allowincell="f" strokecolor="#3B3B3B" strokeweight="1pt"/>
            </w:pict>
          </mc:Fallback>
        </mc:AlternateContent>
        <mc:AlternateContent>
          <mc:Choice Requires="wps">
            <w:drawing>
              <wp:anchor simplePos="0" relativeHeight="251657728" behindDoc="1" locked="0" layoutInCell="0" allowOverlap="1">
                <wp:simplePos x="0" y="0"/>
                <wp:positionH relativeFrom="column">
                  <wp:posOffset>4777740</wp:posOffset>
                </wp:positionH>
                <wp:positionV relativeFrom="paragraph">
                  <wp:posOffset>-97155</wp:posOffset>
                </wp:positionV>
                <wp:extent cx="207962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9625" cy="4763"/>
                        </a:xfrm>
                        <a:prstGeom prst="line">
                          <a:avLst/>
                        </a:prstGeom>
                        <a:solidFill>
                          <a:srgbClr val="FFFFFF"/>
                        </a:solidFill>
                        <a:ln w="12700">
                          <a:solidFill>
                            <a:srgbClr val="3B3B3B"/>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2pt,-7.6499pt" to="539.95pt,-7.6499pt" o:allowincell="f" strokecolor="#3B3B3B" strokeweight="1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-103505</wp:posOffset>
                </wp:positionV>
                <wp:extent cx="0" cy="240220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02205"/>
                        </a:xfrm>
                        <a:prstGeom prst="line">
                          <a:avLst/>
                        </a:prstGeom>
                        <a:solidFill>
                          <a:srgbClr val="FFFFFF"/>
                        </a:solidFill>
                        <a:ln w="12700">
                          <a:solidFill>
                            <a:srgbClr val="3B3B3B"/>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8.1499pt" to="0.2pt,181pt" o:allowincell="f" strokecolor="#3B3B3B" strokeweight="1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2292350</wp:posOffset>
                </wp:positionV>
                <wp:extent cx="686054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0540" cy="4763"/>
                        </a:xfrm>
                        <a:prstGeom prst="line">
                          <a:avLst/>
                        </a:prstGeom>
                        <a:solidFill>
                          <a:srgbClr val="FFFFFF"/>
                        </a:solidFill>
                        <a:ln w="12700">
                          <a:solidFill>
                            <a:srgbClr val="3B3B3B"/>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80.5pt" to="539.95pt,180.5pt" o:allowincell="f" strokecolor="#3B3B3B" strokeweight="1pt"/>
            </w:pict>
          </mc:Fallback>
        </mc:AlternateContent>
      </w:r>
    </w:p>
    <w:p>
      <w:pPr>
        <w:spacing w:after="0" w:line="240"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20"/>
          <w:szCs w:val="20"/>
          <w:color w:val="3B3B3B"/>
        </w:rPr>
        <w:t>Laura M. Franklin (Chairman of the Board)</w:t>
      </w:r>
      <w:r>
        <w:rPr>
          <w:sz w:val="20"/>
          <w:szCs w:val="20"/>
          <w:color w:val="auto"/>
        </w:rPr>
        <w:tab/>
      </w:r>
      <w:r>
        <w:rPr>
          <w:rFonts w:ascii="Arial" w:cs="Arial" w:eastAsia="Arial" w:hAnsi="Arial"/>
          <w:sz w:val="20"/>
          <w:szCs w:val="20"/>
          <w:color w:val="3B3B3B"/>
        </w:rPr>
        <w:t>Christopher J. Drew</w:t>
      </w:r>
    </w:p>
    <w:p>
      <w:pPr>
        <w:spacing w:after="0" w:line="10" w:lineRule="exact"/>
        <w:rPr>
          <w:sz w:val="20"/>
          <w:szCs w:val="20"/>
          <w:color w:val="auto"/>
        </w:rPr>
      </w:pPr>
    </w:p>
    <w:p>
      <w:pPr>
        <w:ind w:left="200" w:right="440"/>
        <w:spacing w:after="0" w:line="250" w:lineRule="auto"/>
        <w:rPr>
          <w:sz w:val="20"/>
          <w:szCs w:val="20"/>
          <w:color w:val="auto"/>
        </w:rPr>
      </w:pPr>
      <w:r>
        <w:rPr>
          <w:rFonts w:ascii="Arial" w:cs="Arial" w:eastAsia="Arial" w:hAnsi="Arial"/>
          <w:sz w:val="20"/>
          <w:szCs w:val="20"/>
          <w:color w:val="3B3B3B"/>
        </w:rPr>
        <w:t>Retired (2015) Executive Vice President, Accounting and Senior Managing Director of JLL Capital Markets, Administration and Corporate Secretary of Washington Americas and co-head of JLL’s Captial Markets’ Miami</w:t>
      </w:r>
    </w:p>
    <w:p>
      <w:pPr>
        <w:spacing w:after="0" w:line="1"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20"/>
          <w:szCs w:val="20"/>
          <w:color w:val="3B3B3B"/>
        </w:rPr>
        <w:t>Real Estate Investment Trust (now Elme Communities)</w:t>
      </w:r>
      <w:r>
        <w:rPr>
          <w:sz w:val="20"/>
          <w:szCs w:val="20"/>
          <w:color w:val="auto"/>
        </w:rPr>
        <w:tab/>
      </w:r>
      <w:r>
        <w:rPr>
          <w:rFonts w:ascii="Arial" w:cs="Arial" w:eastAsia="Arial" w:hAnsi="Arial"/>
          <w:sz w:val="20"/>
          <w:szCs w:val="20"/>
          <w:color w:val="3B3B3B"/>
        </w:rPr>
        <w:t>office</w:t>
      </w:r>
    </w:p>
    <w:p>
      <w:pPr>
        <w:spacing w:after="0" w:line="250"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20"/>
          <w:szCs w:val="20"/>
          <w:color w:val="3B3B3B"/>
        </w:rPr>
        <w:t>George R. Brokaw (Vice Chairman of the Board)</w:t>
      </w:r>
      <w:r>
        <w:rPr>
          <w:sz w:val="20"/>
          <w:szCs w:val="20"/>
          <w:color w:val="auto"/>
        </w:rPr>
        <w:tab/>
      </w:r>
      <w:r>
        <w:rPr>
          <w:rFonts w:ascii="Arial" w:cs="Arial" w:eastAsia="Arial" w:hAnsi="Arial"/>
          <w:sz w:val="20"/>
          <w:szCs w:val="20"/>
          <w:color w:val="3B3B3B"/>
        </w:rPr>
        <w:t>R. Blakeslee Gable</w:t>
      </w:r>
    </w:p>
    <w:p>
      <w:pPr>
        <w:spacing w:after="0" w:line="10"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20"/>
          <w:szCs w:val="20"/>
          <w:color w:val="3B3B3B"/>
        </w:rPr>
        <w:t>Private Investor, and member of the board of directors</w:t>
      </w:r>
      <w:r>
        <w:rPr>
          <w:sz w:val="20"/>
          <w:szCs w:val="20"/>
          <w:color w:val="auto"/>
        </w:rPr>
        <w:tab/>
      </w:r>
      <w:r>
        <w:rPr>
          <w:rFonts w:ascii="Arial" w:cs="Arial" w:eastAsia="Arial" w:hAnsi="Arial"/>
          <w:sz w:val="20"/>
          <w:szCs w:val="20"/>
          <w:color w:val="3B3B3B"/>
        </w:rPr>
        <w:t>Chief Executive Officer of Barron Collier Companies</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20"/>
          <w:szCs w:val="20"/>
          <w:color w:val="3B3B3B"/>
        </w:rPr>
        <w:t>of Alico, Inc., EchoStar Corporation and The Chemours</w:t>
      </w:r>
    </w:p>
    <w:p>
      <w:pPr>
        <w:spacing w:after="0" w:line="10"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20"/>
          <w:szCs w:val="20"/>
          <w:color w:val="3B3B3B"/>
        </w:rPr>
        <w:t>Company</w:t>
      </w:r>
      <w:r>
        <w:rPr>
          <w:sz w:val="20"/>
          <w:szCs w:val="20"/>
          <w:color w:val="auto"/>
        </w:rPr>
        <w:tab/>
      </w:r>
      <w:r>
        <w:rPr>
          <w:rFonts w:ascii="Arial" w:cs="Arial" w:eastAsia="Arial" w:hAnsi="Arial"/>
          <w:sz w:val="20"/>
          <w:szCs w:val="20"/>
          <w:color w:val="3B3B3B"/>
        </w:rPr>
        <w:t>Christopher W. Haga</w:t>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20"/>
          <w:szCs w:val="20"/>
          <w:color w:val="3B3B3B"/>
        </w:rPr>
        <w:t>Operating Partner, MGG Investment Group</w:t>
      </w:r>
    </w:p>
    <w:p>
      <w:pPr>
        <w:spacing w:after="0" w:line="10"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20"/>
          <w:szCs w:val="20"/>
          <w:color w:val="3B3B3B"/>
        </w:rPr>
        <w:t>John P. Albright</w:t>
      </w:r>
      <w:r>
        <w:rPr>
          <w:sz w:val="20"/>
          <w:szCs w:val="20"/>
          <w:color w:val="auto"/>
        </w:rPr>
        <w:tab/>
      </w:r>
      <w:r>
        <w:rPr>
          <w:rFonts w:ascii="Arial" w:cs="Arial" w:eastAsia="Arial" w:hAnsi="Arial"/>
          <w:sz w:val="19"/>
          <w:szCs w:val="19"/>
          <w:color w:val="3B3B3B"/>
        </w:rPr>
        <w:t>and Chairman of MGG RMC SPV LLC</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20"/>
          <w:szCs w:val="20"/>
          <w:color w:val="3B3B3B"/>
        </w:rPr>
        <w:t>President &amp; Chief Executive Officer of</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20"/>
          <w:szCs w:val="20"/>
          <w:color w:val="3B3B3B"/>
        </w:rPr>
        <w:t>CTO Realty Growth,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2535555</wp:posOffset>
                </wp:positionH>
                <wp:positionV relativeFrom="paragraph">
                  <wp:posOffset>332740</wp:posOffset>
                </wp:positionV>
                <wp:extent cx="1783080" cy="24638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246380"/>
                        </a:xfrm>
                        <a:prstGeom prst="rect">
                          <a:avLst/>
                        </a:prstGeom>
                        <a:solidFill>
                          <a:srgbClr val="3B3B3B"/>
                        </a:solidFill>
                      </wps:spPr>
                      <wps:bodyPr/>
                    </wps:wsp>
                  </a:graphicData>
                </a:graphic>
              </wp:anchor>
            </w:drawing>
          </mc:Choice>
          <mc:Fallback>
            <w:pict>
              <v:rect id="Shape 38" o:spid="_x0000_s1063" style="position:absolute;margin-left:199.65pt;margin-top:26.2pt;width:140.4pt;height:19.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B3B3B" stroked="f"/>
            </w:pict>
          </mc:Fallback>
        </mc:AlternateConten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FFFFFF"/>
        </w:rPr>
        <w:t>EXECUTIVES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6851015</wp:posOffset>
                </wp:positionH>
                <wp:positionV relativeFrom="paragraph">
                  <wp:posOffset>-115570</wp:posOffset>
                </wp:positionV>
                <wp:extent cx="0" cy="162877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28775"/>
                        </a:xfrm>
                        <a:prstGeom prst="line">
                          <a:avLst/>
                        </a:prstGeom>
                        <a:solidFill>
                          <a:srgbClr val="FFFFFF"/>
                        </a:solidFill>
                        <a:ln w="12700">
                          <a:solidFill>
                            <a:srgbClr val="3B3B3B"/>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45pt,-9.0999pt" to="539.45pt,119.15pt" o:allowincell="f" strokecolor="#3B3B3B" strokeweight="1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-109220</wp:posOffset>
                </wp:positionV>
                <wp:extent cx="253809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8095" cy="4763"/>
                        </a:xfrm>
                        <a:prstGeom prst="line">
                          <a:avLst/>
                        </a:prstGeom>
                        <a:solidFill>
                          <a:srgbClr val="FFFFFF"/>
                        </a:solidFill>
                        <a:ln w="12700">
                          <a:solidFill>
                            <a:srgbClr val="3B3B3B"/>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8.5999pt" to="199.6pt,-8.5999pt" o:allowincell="f" strokecolor="#3B3B3B" strokeweight="1pt"/>
            </w:pict>
          </mc:Fallback>
        </mc:AlternateContent>
        <mc:AlternateContent>
          <mc:Choice Requires="wps">
            <w:drawing>
              <wp:anchor simplePos="0" relativeHeight="251657728" behindDoc="1" locked="0" layoutInCell="0" allowOverlap="1">
                <wp:simplePos x="0" y="0"/>
                <wp:positionH relativeFrom="column">
                  <wp:posOffset>4318000</wp:posOffset>
                </wp:positionH>
                <wp:positionV relativeFrom="paragraph">
                  <wp:posOffset>-109220</wp:posOffset>
                </wp:positionV>
                <wp:extent cx="253936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9365" cy="4763"/>
                        </a:xfrm>
                        <a:prstGeom prst="line">
                          <a:avLst/>
                        </a:prstGeom>
                        <a:solidFill>
                          <a:srgbClr val="FFFFFF"/>
                        </a:solidFill>
                        <a:ln w="12700">
                          <a:solidFill>
                            <a:srgbClr val="3B3B3B"/>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pt,-8.5999pt" to="539.95pt,-8.5999pt" o:allowincell="f" strokecolor="#3B3B3B" strokeweight="1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-115570</wp:posOffset>
                </wp:positionV>
                <wp:extent cx="0" cy="162877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28775"/>
                        </a:xfrm>
                        <a:prstGeom prst="line">
                          <a:avLst/>
                        </a:prstGeom>
                        <a:solidFill>
                          <a:srgbClr val="FFFFFF"/>
                        </a:solidFill>
                        <a:ln w="12700">
                          <a:solidFill>
                            <a:srgbClr val="3B3B3B"/>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9.0999pt" to="0.2pt,119.15pt" o:allowincell="f" strokecolor="#3B3B3B" strokeweight="1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1506855</wp:posOffset>
                </wp:positionV>
                <wp:extent cx="686054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0540" cy="4763"/>
                        </a:xfrm>
                        <a:prstGeom prst="line">
                          <a:avLst/>
                        </a:prstGeom>
                        <a:solidFill>
                          <a:srgbClr val="FFFFFF"/>
                        </a:solidFill>
                        <a:ln w="12700">
                          <a:solidFill>
                            <a:srgbClr val="3B3B3B"/>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18.65pt" to="539.95pt,118.65pt" o:allowincell="f" strokecolor="#3B3B3B" strokeweight="1pt"/>
            </w:pict>
          </mc:Fallback>
        </mc:AlternateContent>
      </w:r>
    </w:p>
    <w:p>
      <w:pPr>
        <w:spacing w:after="0" w:line="233"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20"/>
          <w:szCs w:val="20"/>
          <w:color w:val="3B3B3B"/>
        </w:rPr>
        <w:t>John P. Albright</w:t>
      </w:r>
      <w:r>
        <w:rPr>
          <w:sz w:val="20"/>
          <w:szCs w:val="20"/>
          <w:color w:val="auto"/>
        </w:rPr>
        <w:tab/>
      </w:r>
      <w:r>
        <w:rPr>
          <w:rFonts w:ascii="Arial" w:cs="Arial" w:eastAsia="Arial" w:hAnsi="Arial"/>
          <w:sz w:val="20"/>
          <w:szCs w:val="20"/>
          <w:color w:val="3B3B3B"/>
        </w:rPr>
        <w:t>Philip R. Mays</w:t>
      </w:r>
    </w:p>
    <w:p>
      <w:pPr>
        <w:spacing w:after="0" w:line="6"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20"/>
          <w:szCs w:val="20"/>
          <w:color w:val="3B3B3B"/>
        </w:rPr>
        <w:t>President and Chief Executive Officer</w:t>
      </w:r>
      <w:r>
        <w:rPr>
          <w:sz w:val="20"/>
          <w:szCs w:val="20"/>
          <w:color w:val="auto"/>
        </w:rPr>
        <w:tab/>
      </w:r>
      <w:r>
        <w:rPr>
          <w:rFonts w:ascii="Arial" w:cs="Arial" w:eastAsia="Arial" w:hAnsi="Arial"/>
          <w:sz w:val="19"/>
          <w:szCs w:val="19"/>
          <w:color w:val="3B3B3B"/>
        </w:rPr>
        <w:t>Senior Vice President, Chief Financial Officer and</w:t>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20"/>
          <w:szCs w:val="20"/>
          <w:color w:val="3B3B3B"/>
        </w:rPr>
        <w:t>Treasurer</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0"/>
          <w:szCs w:val="20"/>
          <w:color w:val="3B3B3B"/>
        </w:rPr>
        <w:t>Steven R. Greathouse</w:t>
      </w:r>
    </w:p>
    <w:p>
      <w:pPr>
        <w:spacing w:after="0" w:line="6"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20"/>
          <w:szCs w:val="20"/>
          <w:color w:val="3B3B3B"/>
        </w:rPr>
        <w:t>Senior Vice President and Chief Investment Officer</w:t>
      </w:r>
      <w:r>
        <w:rPr>
          <w:sz w:val="20"/>
          <w:szCs w:val="20"/>
          <w:color w:val="auto"/>
        </w:rPr>
        <w:tab/>
      </w:r>
      <w:r>
        <w:rPr>
          <w:rFonts w:ascii="Arial" w:cs="Arial" w:eastAsia="Arial" w:hAnsi="Arial"/>
          <w:sz w:val="20"/>
          <w:szCs w:val="20"/>
          <w:color w:val="3B3B3B"/>
        </w:rPr>
        <w:t>Daniel E. Smith</w:t>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20"/>
          <w:szCs w:val="20"/>
          <w:color w:val="3B3B3B"/>
        </w:rPr>
        <w:t>Senior Vice President, General Counsel and Corporate</w:t>
      </w:r>
    </w:p>
    <w:p>
      <w:pPr>
        <w:spacing w:after="0" w:line="10"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20"/>
          <w:szCs w:val="20"/>
          <w:color w:val="3B3B3B"/>
        </w:rPr>
        <w:t>Lisa M. Vorakoun</w:t>
      </w:r>
      <w:r>
        <w:rPr>
          <w:sz w:val="20"/>
          <w:szCs w:val="20"/>
          <w:color w:val="auto"/>
        </w:rPr>
        <w:tab/>
      </w:r>
      <w:r>
        <w:rPr>
          <w:rFonts w:ascii="Arial" w:cs="Arial" w:eastAsia="Arial" w:hAnsi="Arial"/>
          <w:sz w:val="19"/>
          <w:szCs w:val="19"/>
          <w:color w:val="3B3B3B"/>
        </w:rPr>
        <w:t>Secretary</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20"/>
          <w:szCs w:val="20"/>
          <w:color w:val="3B3B3B"/>
        </w:rPr>
        <w:t>Senior Vice President and Chief Accounting Officer</w:t>
      </w:r>
    </w:p>
    <w:p>
      <w:pPr>
        <w:spacing w:after="0" w:line="200" w:lineRule="exact"/>
        <w:rPr>
          <w:sz w:val="20"/>
          <w:szCs w:val="20"/>
          <w:color w:val="auto"/>
        </w:rPr>
      </w:pP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00" w:type="dxa"/>
            <w:vAlign w:val="bottom"/>
            <w:tcBorders>
              <w:bottom w:val="single" w:sz="8" w:color="3B3B3B"/>
            </w:tcBorders>
          </w:tcPr>
          <w:p>
            <w:pPr>
              <w:spacing w:after="0"/>
              <w:rPr>
                <w:sz w:val="16"/>
                <w:szCs w:val="16"/>
                <w:color w:val="auto"/>
              </w:rPr>
            </w:pPr>
          </w:p>
        </w:tc>
        <w:tc>
          <w:tcPr>
            <w:tcW w:w="2800" w:type="dxa"/>
            <w:vAlign w:val="bottom"/>
            <w:tcBorders>
              <w:bottom w:val="single" w:sz="8" w:color="3B3B3B"/>
            </w:tcBorders>
            <w:vMerge w:val="restart"/>
            <w:shd w:val="clear" w:color="auto" w:fill="3B3B3B"/>
          </w:tcPr>
          <w:p>
            <w:pPr>
              <w:ind w:left="380"/>
              <w:spacing w:after="0"/>
              <w:rPr>
                <w:sz w:val="20"/>
                <w:szCs w:val="20"/>
                <w:color w:val="auto"/>
              </w:rPr>
            </w:pPr>
            <w:r>
              <w:rPr>
                <w:rFonts w:ascii="Times New Roman" w:cs="Times New Roman" w:eastAsia="Times New Roman" w:hAnsi="Times New Roman"/>
                <w:sz w:val="28"/>
                <w:szCs w:val="28"/>
                <w:b w:val="1"/>
                <w:bCs w:val="1"/>
                <w:color w:val="FFFFFF"/>
              </w:rPr>
              <w:t>INFORMATION</w:t>
            </w:r>
          </w:p>
        </w:tc>
        <w:tc>
          <w:tcPr>
            <w:tcW w:w="4000" w:type="dxa"/>
            <w:vAlign w:val="bottom"/>
            <w:tcBorders>
              <w:bottom w:val="single" w:sz="8" w:color="3B3B3B"/>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00" w:type="dxa"/>
            <w:vAlign w:val="bottom"/>
            <w:tcBorders>
              <w:left w:val="single" w:sz="8" w:color="3B3B3B"/>
            </w:tcBorders>
          </w:tcPr>
          <w:p>
            <w:pPr>
              <w:spacing w:after="0"/>
              <w:rPr>
                <w:sz w:val="16"/>
                <w:szCs w:val="16"/>
                <w:color w:val="auto"/>
              </w:rPr>
            </w:pPr>
          </w:p>
        </w:tc>
        <w:tc>
          <w:tcPr>
            <w:tcW w:w="2800" w:type="dxa"/>
            <w:vAlign w:val="bottom"/>
            <w:vMerge w:val="continue"/>
            <w:shd w:val="clear" w:color="auto" w:fill="3B3B3B"/>
          </w:tcPr>
          <w:p>
            <w:pPr>
              <w:spacing w:after="0"/>
              <w:rPr>
                <w:sz w:val="16"/>
                <w:szCs w:val="16"/>
                <w:color w:val="auto"/>
              </w:rPr>
            </w:pPr>
          </w:p>
        </w:tc>
        <w:tc>
          <w:tcPr>
            <w:tcW w:w="4000" w:type="dxa"/>
            <w:vAlign w:val="bottom"/>
            <w:tcBorders>
              <w:right w:val="single" w:sz="8" w:color="3B3B3B"/>
            </w:tcBorders>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4000" w:type="dxa"/>
            <w:vAlign w:val="bottom"/>
            <w:tcBorders>
              <w:left w:val="single" w:sz="8" w:color="3B3B3B"/>
            </w:tcBorders>
          </w:tcPr>
          <w:p>
            <w:pPr>
              <w:ind w:left="200"/>
              <w:spacing w:after="0"/>
              <w:rPr>
                <w:sz w:val="20"/>
                <w:szCs w:val="20"/>
                <w:color w:val="auto"/>
              </w:rPr>
            </w:pPr>
            <w:r>
              <w:rPr>
                <w:rFonts w:ascii="Arial" w:cs="Arial" w:eastAsia="Arial" w:hAnsi="Arial"/>
                <w:sz w:val="20"/>
                <w:szCs w:val="20"/>
                <w:color w:val="3B3B3B"/>
              </w:rPr>
              <w:t>Counsel</w:t>
            </w:r>
          </w:p>
        </w:tc>
        <w:tc>
          <w:tcPr>
            <w:tcW w:w="6800" w:type="dxa"/>
            <w:vAlign w:val="bottom"/>
            <w:tcBorders>
              <w:right w:val="single" w:sz="8" w:color="3B3B3B"/>
            </w:tcBorders>
            <w:gridSpan w:val="2"/>
          </w:tcPr>
          <w:p>
            <w:pPr>
              <w:ind w:left="1520"/>
              <w:spacing w:after="0"/>
              <w:rPr>
                <w:sz w:val="20"/>
                <w:szCs w:val="20"/>
                <w:color w:val="auto"/>
              </w:rPr>
            </w:pPr>
            <w:r>
              <w:rPr>
                <w:rFonts w:ascii="Arial" w:cs="Arial" w:eastAsia="Arial" w:hAnsi="Arial"/>
                <w:sz w:val="20"/>
                <w:szCs w:val="20"/>
                <w:color w:val="3B3B3B"/>
              </w:rPr>
              <w:t>Auditors</w:t>
            </w:r>
          </w:p>
        </w:tc>
        <w:tc>
          <w:tcPr>
            <w:tcW w:w="0" w:type="dxa"/>
            <w:vAlign w:val="bottom"/>
          </w:tcPr>
          <w:p>
            <w:pPr>
              <w:spacing w:after="0"/>
              <w:rPr>
                <w:sz w:val="1"/>
                <w:szCs w:val="1"/>
                <w:color w:val="auto"/>
              </w:rPr>
            </w:pPr>
          </w:p>
        </w:tc>
      </w:tr>
      <w:tr>
        <w:trPr>
          <w:trHeight w:val="240"/>
        </w:trPr>
        <w:tc>
          <w:tcPr>
            <w:tcW w:w="4000" w:type="dxa"/>
            <w:vAlign w:val="bottom"/>
            <w:tcBorders>
              <w:left w:val="single" w:sz="8" w:color="3B3B3B"/>
            </w:tcBorders>
          </w:tcPr>
          <w:p>
            <w:pPr>
              <w:ind w:left="200"/>
              <w:spacing w:after="0"/>
              <w:rPr>
                <w:sz w:val="20"/>
                <w:szCs w:val="20"/>
                <w:color w:val="auto"/>
              </w:rPr>
            </w:pPr>
            <w:r>
              <w:rPr>
                <w:rFonts w:ascii="Arial" w:cs="Arial" w:eastAsia="Arial" w:hAnsi="Arial"/>
                <w:sz w:val="20"/>
                <w:szCs w:val="20"/>
                <w:color w:val="3B3B3B"/>
              </w:rPr>
              <w:t>Vinson &amp; Elkins LLP</w:t>
            </w:r>
          </w:p>
        </w:tc>
        <w:tc>
          <w:tcPr>
            <w:tcW w:w="6800" w:type="dxa"/>
            <w:vAlign w:val="bottom"/>
            <w:tcBorders>
              <w:right w:val="single" w:sz="8" w:color="3B3B3B"/>
            </w:tcBorders>
            <w:gridSpan w:val="2"/>
          </w:tcPr>
          <w:p>
            <w:pPr>
              <w:ind w:left="1520"/>
              <w:spacing w:after="0"/>
              <w:rPr>
                <w:sz w:val="20"/>
                <w:szCs w:val="20"/>
                <w:color w:val="auto"/>
              </w:rPr>
            </w:pPr>
            <w:r>
              <w:rPr>
                <w:rFonts w:ascii="Arial" w:cs="Arial" w:eastAsia="Arial" w:hAnsi="Arial"/>
                <w:sz w:val="20"/>
                <w:szCs w:val="20"/>
                <w:color w:val="3B3B3B"/>
              </w:rPr>
              <w:t>Grant Thornton LLP</w:t>
            </w:r>
          </w:p>
        </w:tc>
        <w:tc>
          <w:tcPr>
            <w:tcW w:w="0" w:type="dxa"/>
            <w:vAlign w:val="bottom"/>
          </w:tcPr>
          <w:p>
            <w:pPr>
              <w:spacing w:after="0"/>
              <w:rPr>
                <w:sz w:val="1"/>
                <w:szCs w:val="1"/>
                <w:color w:val="auto"/>
              </w:rPr>
            </w:pPr>
          </w:p>
        </w:tc>
      </w:tr>
      <w:tr>
        <w:trPr>
          <w:trHeight w:val="240"/>
        </w:trPr>
        <w:tc>
          <w:tcPr>
            <w:tcW w:w="4000" w:type="dxa"/>
            <w:vAlign w:val="bottom"/>
            <w:tcBorders>
              <w:left w:val="single" w:sz="8" w:color="3B3B3B"/>
            </w:tcBorders>
          </w:tcPr>
          <w:p>
            <w:pPr>
              <w:ind w:left="200"/>
              <w:spacing w:after="0"/>
              <w:rPr>
                <w:sz w:val="20"/>
                <w:szCs w:val="20"/>
                <w:color w:val="auto"/>
              </w:rPr>
            </w:pPr>
            <w:r>
              <w:rPr>
                <w:rFonts w:ascii="Arial" w:cs="Arial" w:eastAsia="Arial" w:hAnsi="Arial"/>
                <w:sz w:val="20"/>
                <w:szCs w:val="20"/>
                <w:color w:val="3B3B3B"/>
              </w:rPr>
              <w:t>The Grace Building</w:t>
            </w:r>
          </w:p>
        </w:tc>
        <w:tc>
          <w:tcPr>
            <w:tcW w:w="6800" w:type="dxa"/>
            <w:vAlign w:val="bottom"/>
            <w:tcBorders>
              <w:right w:val="single" w:sz="8" w:color="3B3B3B"/>
            </w:tcBorders>
            <w:gridSpan w:val="2"/>
          </w:tcPr>
          <w:p>
            <w:pPr>
              <w:ind w:left="1520"/>
              <w:spacing w:after="0"/>
              <w:rPr>
                <w:sz w:val="20"/>
                <w:szCs w:val="20"/>
                <w:color w:val="auto"/>
              </w:rPr>
            </w:pPr>
            <w:r>
              <w:rPr>
                <w:rFonts w:ascii="Arial" w:cs="Arial" w:eastAsia="Arial" w:hAnsi="Arial"/>
                <w:sz w:val="20"/>
                <w:szCs w:val="20"/>
                <w:color w:val="3B3B3B"/>
              </w:rPr>
              <w:t>1415 Vantage Park Drive, Suite 500</w:t>
            </w:r>
          </w:p>
        </w:tc>
        <w:tc>
          <w:tcPr>
            <w:tcW w:w="0" w:type="dxa"/>
            <w:vAlign w:val="bottom"/>
          </w:tcPr>
          <w:p>
            <w:pPr>
              <w:spacing w:after="0"/>
              <w:rPr>
                <w:sz w:val="1"/>
                <w:szCs w:val="1"/>
                <w:color w:val="auto"/>
              </w:rPr>
            </w:pPr>
          </w:p>
        </w:tc>
      </w:tr>
      <w:tr>
        <w:trPr>
          <w:trHeight w:val="240"/>
        </w:trPr>
        <w:tc>
          <w:tcPr>
            <w:tcW w:w="4000" w:type="dxa"/>
            <w:vAlign w:val="bottom"/>
            <w:tcBorders>
              <w:left w:val="single" w:sz="8" w:color="3B3B3B"/>
            </w:tcBorders>
          </w:tcPr>
          <w:p>
            <w:pPr>
              <w:ind w:left="200"/>
              <w:spacing w:after="0"/>
              <w:rPr>
                <w:sz w:val="20"/>
                <w:szCs w:val="20"/>
                <w:color w:val="auto"/>
              </w:rPr>
            </w:pPr>
            <w:r>
              <w:rPr>
                <w:rFonts w:ascii="Arial" w:cs="Arial" w:eastAsia="Arial" w:hAnsi="Arial"/>
                <w:sz w:val="20"/>
                <w:szCs w:val="20"/>
                <w:color w:val="3B3B3B"/>
              </w:rPr>
              <w:t>1114 Avenue of the Americas, 32nd Floor</w:t>
            </w:r>
          </w:p>
        </w:tc>
        <w:tc>
          <w:tcPr>
            <w:tcW w:w="6800" w:type="dxa"/>
            <w:vAlign w:val="bottom"/>
            <w:tcBorders>
              <w:right w:val="single" w:sz="8" w:color="3B3B3B"/>
            </w:tcBorders>
            <w:gridSpan w:val="2"/>
          </w:tcPr>
          <w:p>
            <w:pPr>
              <w:ind w:left="1520"/>
              <w:spacing w:after="0"/>
              <w:rPr>
                <w:sz w:val="20"/>
                <w:szCs w:val="20"/>
                <w:color w:val="auto"/>
              </w:rPr>
            </w:pPr>
            <w:r>
              <w:rPr>
                <w:rFonts w:ascii="Arial" w:cs="Arial" w:eastAsia="Arial" w:hAnsi="Arial"/>
                <w:sz w:val="20"/>
                <w:szCs w:val="20"/>
                <w:color w:val="3B3B3B"/>
              </w:rPr>
              <w:t>Charlotte, NC 28203</w:t>
            </w:r>
          </w:p>
        </w:tc>
        <w:tc>
          <w:tcPr>
            <w:tcW w:w="0" w:type="dxa"/>
            <w:vAlign w:val="bottom"/>
          </w:tcPr>
          <w:p>
            <w:pPr>
              <w:spacing w:after="0"/>
              <w:rPr>
                <w:sz w:val="1"/>
                <w:szCs w:val="1"/>
                <w:color w:val="auto"/>
              </w:rPr>
            </w:pPr>
          </w:p>
        </w:tc>
      </w:tr>
      <w:tr>
        <w:trPr>
          <w:trHeight w:val="242"/>
        </w:trPr>
        <w:tc>
          <w:tcPr>
            <w:tcW w:w="4000" w:type="dxa"/>
            <w:vAlign w:val="bottom"/>
            <w:tcBorders>
              <w:left w:val="single" w:sz="8" w:color="3B3B3B"/>
            </w:tcBorders>
          </w:tcPr>
          <w:p>
            <w:pPr>
              <w:ind w:left="200"/>
              <w:spacing w:after="0"/>
              <w:rPr>
                <w:sz w:val="20"/>
                <w:szCs w:val="20"/>
                <w:color w:val="auto"/>
              </w:rPr>
            </w:pPr>
            <w:r>
              <w:rPr>
                <w:rFonts w:ascii="Arial" w:cs="Arial" w:eastAsia="Arial" w:hAnsi="Arial"/>
                <w:sz w:val="20"/>
                <w:szCs w:val="20"/>
                <w:color w:val="3B3B3B"/>
              </w:rPr>
              <w:t>New York, New York 10036</w:t>
            </w:r>
          </w:p>
        </w:tc>
        <w:tc>
          <w:tcPr>
            <w:tcW w:w="2800" w:type="dxa"/>
            <w:vAlign w:val="bottom"/>
          </w:tcPr>
          <w:p>
            <w:pPr>
              <w:spacing w:after="0"/>
              <w:rPr>
                <w:sz w:val="21"/>
                <w:szCs w:val="21"/>
                <w:color w:val="auto"/>
              </w:rPr>
            </w:pPr>
          </w:p>
        </w:tc>
        <w:tc>
          <w:tcPr>
            <w:tcW w:w="4000" w:type="dxa"/>
            <w:vAlign w:val="bottom"/>
            <w:tcBorders>
              <w:right w:val="single" w:sz="8" w:color="3B3B3B"/>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0" w:type="dxa"/>
            <w:vAlign w:val="bottom"/>
            <w:tcBorders>
              <w:left w:val="single" w:sz="8" w:color="3B3B3B"/>
            </w:tcBorders>
          </w:tcPr>
          <w:p>
            <w:pPr>
              <w:spacing w:after="0"/>
              <w:rPr>
                <w:sz w:val="20"/>
                <w:szCs w:val="20"/>
                <w:color w:val="auto"/>
              </w:rPr>
            </w:pPr>
          </w:p>
        </w:tc>
        <w:tc>
          <w:tcPr>
            <w:tcW w:w="6800" w:type="dxa"/>
            <w:vAlign w:val="bottom"/>
            <w:tcBorders>
              <w:right w:val="single" w:sz="8" w:color="3B3B3B"/>
            </w:tcBorders>
            <w:gridSpan w:val="2"/>
          </w:tcPr>
          <w:p>
            <w:pPr>
              <w:ind w:left="1520"/>
              <w:spacing w:after="0"/>
              <w:rPr>
                <w:sz w:val="20"/>
                <w:szCs w:val="20"/>
                <w:color w:val="auto"/>
              </w:rPr>
            </w:pPr>
            <w:r>
              <w:rPr>
                <w:rFonts w:ascii="Arial" w:cs="Arial" w:eastAsia="Arial" w:hAnsi="Arial"/>
                <w:sz w:val="20"/>
                <w:szCs w:val="20"/>
                <w:color w:val="3B3B3B"/>
              </w:rPr>
              <w:t>Mailing Address</w:t>
            </w:r>
          </w:p>
        </w:tc>
        <w:tc>
          <w:tcPr>
            <w:tcW w:w="0" w:type="dxa"/>
            <w:vAlign w:val="bottom"/>
          </w:tcPr>
          <w:p>
            <w:pPr>
              <w:spacing w:after="0"/>
              <w:rPr>
                <w:sz w:val="1"/>
                <w:szCs w:val="1"/>
                <w:color w:val="auto"/>
              </w:rPr>
            </w:pPr>
          </w:p>
        </w:tc>
      </w:tr>
      <w:tr>
        <w:trPr>
          <w:trHeight w:val="240"/>
        </w:trPr>
        <w:tc>
          <w:tcPr>
            <w:tcW w:w="4000" w:type="dxa"/>
            <w:vAlign w:val="bottom"/>
            <w:tcBorders>
              <w:left w:val="single" w:sz="8" w:color="3B3B3B"/>
            </w:tcBorders>
          </w:tcPr>
          <w:p>
            <w:pPr>
              <w:ind w:left="200"/>
              <w:spacing w:after="0"/>
              <w:rPr>
                <w:sz w:val="20"/>
                <w:szCs w:val="20"/>
                <w:color w:val="auto"/>
              </w:rPr>
            </w:pPr>
            <w:r>
              <w:rPr>
                <w:rFonts w:ascii="Arial" w:cs="Arial" w:eastAsia="Arial" w:hAnsi="Arial"/>
                <w:sz w:val="20"/>
                <w:szCs w:val="20"/>
                <w:color w:val="3B3B3B"/>
              </w:rPr>
              <w:t>Registrar and Stock Transfer Agent</w:t>
            </w:r>
          </w:p>
        </w:tc>
        <w:tc>
          <w:tcPr>
            <w:tcW w:w="6800" w:type="dxa"/>
            <w:vAlign w:val="bottom"/>
            <w:tcBorders>
              <w:right w:val="single" w:sz="8" w:color="3B3B3B"/>
            </w:tcBorders>
            <w:gridSpan w:val="2"/>
          </w:tcPr>
          <w:p>
            <w:pPr>
              <w:ind w:left="1520"/>
              <w:spacing w:after="0"/>
              <w:rPr>
                <w:sz w:val="20"/>
                <w:szCs w:val="20"/>
                <w:color w:val="auto"/>
              </w:rPr>
            </w:pPr>
            <w:r>
              <w:rPr>
                <w:rFonts w:ascii="Arial" w:cs="Arial" w:eastAsia="Arial" w:hAnsi="Arial"/>
                <w:sz w:val="20"/>
                <w:szCs w:val="20"/>
                <w:color w:val="3B3B3B"/>
              </w:rPr>
              <w:t>CTO Realty Growth, Inc.</w:t>
            </w:r>
          </w:p>
        </w:tc>
        <w:tc>
          <w:tcPr>
            <w:tcW w:w="0" w:type="dxa"/>
            <w:vAlign w:val="bottom"/>
          </w:tcPr>
          <w:p>
            <w:pPr>
              <w:spacing w:after="0"/>
              <w:rPr>
                <w:sz w:val="1"/>
                <w:szCs w:val="1"/>
                <w:color w:val="auto"/>
              </w:rPr>
            </w:pPr>
          </w:p>
        </w:tc>
      </w:tr>
      <w:tr>
        <w:trPr>
          <w:trHeight w:val="240"/>
        </w:trPr>
        <w:tc>
          <w:tcPr>
            <w:tcW w:w="4000" w:type="dxa"/>
            <w:vAlign w:val="bottom"/>
            <w:tcBorders>
              <w:left w:val="single" w:sz="8" w:color="3B3B3B"/>
            </w:tcBorders>
          </w:tcPr>
          <w:p>
            <w:pPr>
              <w:ind w:left="200"/>
              <w:spacing w:after="0"/>
              <w:rPr>
                <w:sz w:val="20"/>
                <w:szCs w:val="20"/>
                <w:color w:val="auto"/>
              </w:rPr>
            </w:pPr>
            <w:r>
              <w:rPr>
                <w:rFonts w:ascii="Arial" w:cs="Arial" w:eastAsia="Arial" w:hAnsi="Arial"/>
                <w:sz w:val="20"/>
                <w:szCs w:val="20"/>
                <w:color w:val="3B3B3B"/>
              </w:rPr>
              <w:t>Computershare Trust Company N.A.</w:t>
            </w:r>
          </w:p>
        </w:tc>
        <w:tc>
          <w:tcPr>
            <w:tcW w:w="6800" w:type="dxa"/>
            <w:vAlign w:val="bottom"/>
            <w:tcBorders>
              <w:right w:val="single" w:sz="8" w:color="3B3B3B"/>
            </w:tcBorders>
            <w:gridSpan w:val="2"/>
          </w:tcPr>
          <w:p>
            <w:pPr>
              <w:ind w:left="1520"/>
              <w:spacing w:after="0"/>
              <w:rPr>
                <w:sz w:val="20"/>
                <w:szCs w:val="20"/>
                <w:color w:val="auto"/>
              </w:rPr>
            </w:pPr>
            <w:r>
              <w:rPr>
                <w:rFonts w:ascii="Arial" w:cs="Arial" w:eastAsia="Arial" w:hAnsi="Arial"/>
                <w:sz w:val="20"/>
                <w:szCs w:val="20"/>
                <w:color w:val="3B3B3B"/>
              </w:rPr>
              <w:t>369 N. New York Ave., Suite 201</w:t>
            </w:r>
          </w:p>
        </w:tc>
        <w:tc>
          <w:tcPr>
            <w:tcW w:w="0" w:type="dxa"/>
            <w:vAlign w:val="bottom"/>
          </w:tcPr>
          <w:p>
            <w:pPr>
              <w:spacing w:after="0"/>
              <w:rPr>
                <w:sz w:val="1"/>
                <w:szCs w:val="1"/>
                <w:color w:val="auto"/>
              </w:rPr>
            </w:pPr>
          </w:p>
        </w:tc>
      </w:tr>
      <w:tr>
        <w:trPr>
          <w:trHeight w:val="240"/>
        </w:trPr>
        <w:tc>
          <w:tcPr>
            <w:tcW w:w="4000" w:type="dxa"/>
            <w:vAlign w:val="bottom"/>
            <w:tcBorders>
              <w:left w:val="single" w:sz="8" w:color="3B3B3B"/>
            </w:tcBorders>
          </w:tcPr>
          <w:p>
            <w:pPr>
              <w:ind w:left="200"/>
              <w:spacing w:after="0"/>
              <w:rPr>
                <w:sz w:val="20"/>
                <w:szCs w:val="20"/>
                <w:color w:val="auto"/>
              </w:rPr>
            </w:pPr>
            <w:r>
              <w:rPr>
                <w:rFonts w:ascii="Arial" w:cs="Arial" w:eastAsia="Arial" w:hAnsi="Arial"/>
                <w:sz w:val="20"/>
                <w:szCs w:val="20"/>
                <w:color w:val="3B3B3B"/>
              </w:rPr>
              <w:t>150 Royall Street, Suite 100</w:t>
            </w:r>
          </w:p>
        </w:tc>
        <w:tc>
          <w:tcPr>
            <w:tcW w:w="6800" w:type="dxa"/>
            <w:vAlign w:val="bottom"/>
            <w:tcBorders>
              <w:right w:val="single" w:sz="8" w:color="3B3B3B"/>
            </w:tcBorders>
            <w:gridSpan w:val="2"/>
          </w:tcPr>
          <w:p>
            <w:pPr>
              <w:ind w:left="1520"/>
              <w:spacing w:after="0"/>
              <w:rPr>
                <w:sz w:val="20"/>
                <w:szCs w:val="20"/>
                <w:color w:val="auto"/>
              </w:rPr>
            </w:pPr>
            <w:r>
              <w:rPr>
                <w:rFonts w:ascii="Arial" w:cs="Arial" w:eastAsia="Arial" w:hAnsi="Arial"/>
                <w:sz w:val="20"/>
                <w:szCs w:val="20"/>
                <w:color w:val="3B3B3B"/>
              </w:rPr>
              <w:t>Winter Park, FL 32789</w:t>
            </w:r>
          </w:p>
        </w:tc>
        <w:tc>
          <w:tcPr>
            <w:tcW w:w="0" w:type="dxa"/>
            <w:vAlign w:val="bottom"/>
          </w:tcPr>
          <w:p>
            <w:pPr>
              <w:spacing w:after="0"/>
              <w:rPr>
                <w:sz w:val="1"/>
                <w:szCs w:val="1"/>
                <w:color w:val="auto"/>
              </w:rPr>
            </w:pPr>
          </w:p>
        </w:tc>
      </w:tr>
      <w:tr>
        <w:trPr>
          <w:trHeight w:val="242"/>
        </w:trPr>
        <w:tc>
          <w:tcPr>
            <w:tcW w:w="4000" w:type="dxa"/>
            <w:vAlign w:val="bottom"/>
            <w:tcBorders>
              <w:left w:val="single" w:sz="8" w:color="3B3B3B"/>
            </w:tcBorders>
          </w:tcPr>
          <w:p>
            <w:pPr>
              <w:ind w:left="200"/>
              <w:spacing w:after="0"/>
              <w:rPr>
                <w:sz w:val="20"/>
                <w:szCs w:val="20"/>
                <w:color w:val="auto"/>
              </w:rPr>
            </w:pPr>
            <w:r>
              <w:rPr>
                <w:rFonts w:ascii="Arial" w:cs="Arial" w:eastAsia="Arial" w:hAnsi="Arial"/>
                <w:sz w:val="20"/>
                <w:szCs w:val="20"/>
                <w:color w:val="3B3B3B"/>
              </w:rPr>
              <w:t>Canton, MA 02021</w:t>
            </w:r>
          </w:p>
        </w:tc>
        <w:tc>
          <w:tcPr>
            <w:tcW w:w="6800" w:type="dxa"/>
            <w:vAlign w:val="bottom"/>
            <w:tcBorders>
              <w:right w:val="single" w:sz="8" w:color="3B3B3B"/>
            </w:tcBorders>
            <w:gridSpan w:val="2"/>
          </w:tcPr>
          <w:p>
            <w:pPr>
              <w:ind w:left="1520"/>
              <w:spacing w:after="0"/>
              <w:rPr>
                <w:sz w:val="20"/>
                <w:szCs w:val="20"/>
                <w:color w:val="auto"/>
              </w:rPr>
            </w:pPr>
            <w:r>
              <w:rPr>
                <w:rFonts w:ascii="Arial" w:cs="Arial" w:eastAsia="Arial" w:hAnsi="Arial"/>
                <w:sz w:val="20"/>
                <w:szCs w:val="20"/>
                <w:color w:val="3B3B3B"/>
              </w:rPr>
              <w:t>www.ctoreit.com</w:t>
            </w:r>
          </w:p>
        </w:tc>
        <w:tc>
          <w:tcPr>
            <w:tcW w:w="0" w:type="dxa"/>
            <w:vAlign w:val="bottom"/>
          </w:tcPr>
          <w:p>
            <w:pPr>
              <w:spacing w:after="0"/>
              <w:rPr>
                <w:sz w:val="1"/>
                <w:szCs w:val="1"/>
                <w:color w:val="auto"/>
              </w:rPr>
            </w:pPr>
          </w:p>
        </w:tc>
      </w:tr>
      <w:tr>
        <w:trPr>
          <w:trHeight w:val="131"/>
        </w:trPr>
        <w:tc>
          <w:tcPr>
            <w:tcW w:w="4000" w:type="dxa"/>
            <w:vAlign w:val="bottom"/>
            <w:tcBorders>
              <w:left w:val="single" w:sz="8" w:color="3B3B3B"/>
              <w:bottom w:val="single" w:sz="8" w:color="3B3B3B"/>
            </w:tcBorders>
          </w:tcPr>
          <w:p>
            <w:pPr>
              <w:spacing w:after="0"/>
              <w:rPr>
                <w:sz w:val="11"/>
                <w:szCs w:val="11"/>
                <w:color w:val="auto"/>
              </w:rPr>
            </w:pPr>
          </w:p>
        </w:tc>
        <w:tc>
          <w:tcPr>
            <w:tcW w:w="2800" w:type="dxa"/>
            <w:vAlign w:val="bottom"/>
            <w:tcBorders>
              <w:bottom w:val="single" w:sz="8" w:color="3B3B3B"/>
            </w:tcBorders>
          </w:tcPr>
          <w:p>
            <w:pPr>
              <w:spacing w:after="0"/>
              <w:rPr>
                <w:sz w:val="11"/>
                <w:szCs w:val="11"/>
                <w:color w:val="auto"/>
              </w:rPr>
            </w:pPr>
          </w:p>
        </w:tc>
        <w:tc>
          <w:tcPr>
            <w:tcW w:w="4000" w:type="dxa"/>
            <w:vAlign w:val="bottom"/>
            <w:tcBorders>
              <w:bottom w:val="single" w:sz="8" w:color="3B3B3B"/>
              <w:right w:val="single" w:sz="8" w:color="3B3B3B"/>
            </w:tcBorders>
          </w:tcPr>
          <w:p>
            <w:pPr>
              <w:spacing w:after="0"/>
              <w:rPr>
                <w:sz w:val="11"/>
                <w:szCs w:val="11"/>
                <w:color w:val="auto"/>
              </w:rPr>
            </w:pPr>
          </w:p>
        </w:tc>
        <w:tc>
          <w:tcPr>
            <w:tcW w:w="0" w:type="dxa"/>
            <w:vAlign w:val="bottom"/>
          </w:tcPr>
          <w:p>
            <w:pPr>
              <w:spacing w:after="0"/>
              <w:rPr>
                <w:sz w:val="1"/>
                <w:szCs w:val="1"/>
                <w:color w:val="auto"/>
              </w:rPr>
            </w:pPr>
          </w:p>
        </w:tc>
      </w:tr>
    </w:tbl>
    <w:p>
      <w:pPr>
        <w:sectPr>
          <w:pgSz w:w="11880" w:h="15480" w:orient="portrait"/>
          <w:cols w:equalWidth="0" w:num="1">
            <w:col w:w="10800"/>
          </w:cols>
          <w:pgMar w:left="540" w:top="1440" w:right="540" w:bottom="0" w:gutter="0" w:footer="0" w:header="0"/>
          <w:type w:val="continuous"/>
        </w:sectPr>
      </w:pPr>
    </w:p>
    <w:bookmarkStart w:id="134" w:name="page135"/>
    <w:bookmarkEnd w:id="13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228600</wp:posOffset>
                </wp:positionH>
                <wp:positionV relativeFrom="page">
                  <wp:posOffset>254000</wp:posOffset>
                </wp:positionV>
                <wp:extent cx="70866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50800">
                          <a:solidFill>
                            <a:srgbClr val="3B3B3B"/>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8pt,20pt" to="576pt,20pt" o:allowincell="f" strokecolor="#3B3B3B" strokeweight="4pt">
                <w10:wrap anchorx="page" anchory="page"/>
              </v:line>
            </w:pict>
          </mc:Fallback>
        </mc:AlternateContent>
        <w:drawing>
          <wp:anchor simplePos="0" relativeHeight="251657728" behindDoc="1" locked="0" layoutInCell="0" allowOverlap="1">
            <wp:simplePos x="0" y="0"/>
            <wp:positionH relativeFrom="page">
              <wp:posOffset>1395095</wp:posOffset>
            </wp:positionH>
            <wp:positionV relativeFrom="page">
              <wp:posOffset>2313940</wp:posOffset>
            </wp:positionV>
            <wp:extent cx="4752975" cy="3418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752975" cy="341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3B3B3B"/>
        </w:rPr>
        <w:t>NYSE: CTO</w:t>
      </w:r>
    </w:p>
    <w:p>
      <w:pPr>
        <w:sectPr>
          <w:pgSz w:w="11880" w:h="15480" w:orient="portrait"/>
          <w:cols w:equalWidth="0" w:num="1">
            <w:col w:w="9000"/>
          </w:cols>
          <w:pgMar w:left="1440" w:top="1440" w:right="1440" w:bottom="323"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3B3B3B"/>
        </w:rPr>
        <w:t>ctoreit.com</w:t>
      </w:r>
    </w:p>
    <w:p>
      <w:pPr>
        <w:spacing w:after="0" w:line="387" w:lineRule="exact"/>
        <w:rPr>
          <w:sz w:val="20"/>
          <w:szCs w:val="20"/>
          <w:color w:val="auto"/>
        </w:rPr>
      </w:pPr>
    </w:p>
    <w:p>
      <w:pPr>
        <w:jc w:val="center"/>
        <w:ind w:right="100"/>
        <w:spacing w:after="0"/>
        <w:rPr>
          <w:sz w:val="20"/>
          <w:szCs w:val="20"/>
          <w:color w:val="auto"/>
        </w:rPr>
      </w:pPr>
      <w:r>
        <w:rPr>
          <w:sz w:val="1"/>
          <w:szCs w:val="1"/>
          <w:color w:val="auto"/>
        </w:rPr>
        <w:drawing>
          <wp:inline distT="0" distB="0" distL="0" distR="0">
            <wp:extent cx="302895" cy="30099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a:extLst>
                        <a:ext uri="{28A0092B-C50C-407E-A947-70E740481C1C}"/>
                      </a:extLst>
                    </a:blip>
                    <a:srcRect/>
                    <a:stretch>
                      <a:fillRect/>
                    </a:stretch>
                  </pic:blipFill>
                  <pic:spPr bwMode="auto">
                    <a:xfrm>
                      <a:off x="0" y="0"/>
                      <a:ext cx="302895" cy="300990"/>
                    </a:xfrm>
                    <a:prstGeom prst="rect">
                      <a:avLst/>
                    </a:prstGeom>
                    <a:noFill/>
                    <a:ln>
                      <a:noFill/>
                    </a:ln>
                  </pic:spPr>
                </pic:pic>
              </a:graphicData>
            </a:graphic>
          </wp:inline>
        </w:drawing>
      </w:r>
      <w:r>
        <w:rPr>
          <w:rFonts w:ascii="Times New Roman" w:cs="Times New Roman" w:eastAsia="Times New Roman" w:hAnsi="Times New Roman"/>
          <w:sz w:val="35"/>
          <w:szCs w:val="35"/>
          <w:b w:val="1"/>
          <w:bCs w:val="1"/>
          <w:color w:val="3B3B3B"/>
        </w:rPr>
        <w:t xml:space="preserve"> ctoreit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309880</wp:posOffset>
                </wp:positionV>
                <wp:extent cx="70866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50800">
                          <a:solidFill>
                            <a:srgbClr val="3B3B3B"/>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24.4pt" to="504pt,24.4pt" o:allowincell="f" strokecolor="#3B3B3B" strokeweight="4pt"/>
            </w:pict>
          </mc:Fallback>
        </mc:AlternateContent>
      </w:r>
    </w:p>
    <w:sectPr>
      <w:pgSz w:w="11880" w:h="15480" w:orient="portrait"/>
      <w:cols w:equalWidth="0" w:num="1">
        <w:col w:w="9000"/>
      </w:cols>
      <w:pgMar w:left="1440" w:top="1440" w:right="1440" w:bottom="3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
      <w:numFmt w:val="bullet"/>
      <w:start w:val="1"/>
    </w:lvl>
  </w:abstractNum>
  <w:abstractNum w:abstractNumId="1">
    <w:nsid w:val="22221A70"/>
    <w:multiLevelType w:val="hybridMultilevel"/>
    <w:lvl w:ilvl="0">
      <w:lvlJc w:val="left"/>
      <w:lvlText w:val=" "/>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lowerRoman"/>
      <w:start w:val="2"/>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lowerRoman"/>
      <w:start w:val="3"/>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lowerRoman"/>
      <w:start w:val="3"/>
    </w:lvl>
  </w:abstractNum>
  <w:abstractNum w:abstractNumId="26">
    <w:nsid w:val="57E4CCAF"/>
    <w:multiLevelType w:val="hybridMultilevel"/>
    <w:lvl w:ilvl="0">
      <w:lvlJc w:val="left"/>
      <w:lvlText w:val="(%1)"/>
      <w:numFmt w:val="lowerRoman"/>
      <w:start w:val="2"/>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lowerRoman"/>
      <w:start w:val="1"/>
    </w:lvl>
  </w:abstractNum>
  <w:abstractNum w:abstractNumId="30">
    <w:nsid w:val="6DE91B18"/>
    <w:multiLevelType w:val="hybridMultilevel"/>
    <w:lvl w:ilvl="0">
      <w:lvlJc w:val="left"/>
      <w:lvlText w:val="(%1)"/>
      <w:numFmt w:val="lowerRoman"/>
      <w:start w:val="3"/>
    </w:lvl>
  </w:abstractNum>
  <w:abstractNum w:abstractNumId="31">
    <w:nsid w:val="38437FDB"/>
    <w:multiLevelType w:val="hybridMultilevel"/>
    <w:lvl w:ilvl="0">
      <w:lvlJc w:val="left"/>
      <w:lvlText w:val="(%1)"/>
      <w:numFmt w:val="lowerRoman"/>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2"/>
    </w:lvl>
  </w:abstractNum>
  <w:abstractNum w:abstractNumId="34">
    <w:nsid w:val="684A481A"/>
    <w:multiLevelType w:val="hybridMultilevel"/>
    <w:lvl w:ilvl="0">
      <w:lvlJc w:val="left"/>
      <w:lvlText w:val="%1."/>
      <w:numFmt w:val="decimal"/>
      <w:start w:val="3"/>
    </w:lvl>
  </w:abstractNum>
  <w:abstractNum w:abstractNumId="35">
    <w:nsid w:val="579478FE"/>
    <w:multiLevelType w:val="hybridMultilevel"/>
    <w:lvl w:ilvl="0">
      <w:lvlJc w:val="left"/>
      <w:lvlText w:val="(%1)"/>
      <w:numFmt w:val="decimal"/>
      <w:start w:val="101"/>
    </w:lvl>
  </w:abstractNum>
  <w:abstractNum w:abstractNumId="36">
    <w:nsid w:val="749ABB43"/>
    <w:multiLevelType w:val="hybridMultilevel"/>
    <w:lvl w:ilvl="0">
      <w:lvlJc w:val="left"/>
      <w:lvlText w:val="(%1)"/>
      <w:numFmt w:val="decimal"/>
      <w:start w:val="104"/>
    </w:lvl>
  </w:abstractNum>
  <w:abstractNum w:abstractNumId="37">
    <w:nsid w:val="3DC240FB"/>
    <w:multiLevelType w:val="hybridMultilevel"/>
    <w:lvl w:ilvl="0">
      <w:lvlJc w:val="left"/>
      <w:lvlText w:val="*"/>
      <w:numFmt w:val="bullet"/>
      <w:start w:val="1"/>
    </w:lvl>
    <w:lvl w:ilvl="1">
      <w:lvlJc w:val="left"/>
      <w:lvlText w:val="%2"/>
      <w:numFmt w:val="decimal"/>
      <w:start w:val="104"/>
    </w:lvl>
  </w:abstractNum>
  <w:abstractNum w:abstractNumId="38">
    <w:nsid w:val="1BA026FA"/>
    <w:multiLevelType w:val="hybridMultilevel"/>
    <w:lvl w:ilvl="0">
      <w:lvlJc w:val="left"/>
      <w:lvlText w:val="**"/>
      <w:numFmt w:val="bullet"/>
      <w:start w:val="1"/>
    </w:lvl>
    <w:lvl w:ilvl="1">
      <w:lvlJc w:val="left"/>
      <w:lvlText w:val="%2"/>
      <w:numFmt w:val="decimal"/>
      <w:start w:val="1"/>
    </w:lvl>
  </w:abstractNum>
  <w:abstractNum w:abstractNumId="39">
    <w:nsid w:val="79A1DEAA"/>
    <w:multiLevelType w:val="hybridMultilevel"/>
    <w:lvl w:ilvl="0">
      <w:lvlJc w:val="left"/>
      <w:lvlText w:val="***"/>
      <w:numFmt w:val="bullet"/>
      <w:start w:val="1"/>
    </w:lvl>
    <w:lvl w:ilvl="1">
      <w:lvlJc w:val="left"/>
      <w:lvlText w:val="%2"/>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1)"/>
      <w:numFmt w:val="lowerRoman"/>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lowerRoman"/>
      <w:start w:val="2"/>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Roman"/>
      <w:start w:val="2"/>
    </w:lvl>
  </w:abstractNum>
  <w:abstractNum w:abstractNumId="55">
    <w:nsid w:val="15B5AF5C"/>
    <w:multiLevelType w:val="hybridMultilevel"/>
    <w:lvl w:ilvl="0">
      <w:lvlJc w:val="left"/>
      <w:lvlText w:val="(%1)"/>
      <w:numFmt w:val="lowerRoman"/>
      <w:start w:val="6"/>
    </w:lvl>
  </w:abstractNum>
  <w:abstractNum w:abstractNumId="56">
    <w:nsid w:val="741226BB"/>
    <w:multiLevelType w:val="hybridMultilevel"/>
    <w:lvl w:ilvl="0">
      <w:lvlJc w:val="left"/>
      <w:lvlText w:val="(%1)"/>
      <w:numFmt w:val="lowerLetter"/>
      <w:start w:val="4"/>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2026-04-28T16:53:32Z</dcterms:created>
  <dcterms:modified xsi:type="dcterms:W3CDTF">2026-04-28T16:53:32Z</dcterms:modified>
</cp:coreProperties>
</file>